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B084F1" w14:textId="77777777" w:rsidR="00733E69" w:rsidRDefault="00733E69" w:rsidP="00F12DD7">
      <w:pPr>
        <w:pStyle w:val="BodyText"/>
        <w:rPr>
          <w:noProof/>
          <w:lang w:eastAsia="en-GB"/>
        </w:rPr>
      </w:pPr>
      <w:bookmarkStart w:id="0" w:name="Undo_AECOM_Insert_Table_13x16z36"/>
      <w:bookmarkEnd w:id="0"/>
    </w:p>
    <w:p w14:paraId="08B75CE9" w14:textId="7879C611" w:rsidR="00BF01E0" w:rsidRDefault="00D54666" w:rsidP="00F12DD7">
      <w:pPr>
        <w:pStyle w:val="BodyText"/>
        <w:rPr>
          <w:noProof/>
          <w:lang w:eastAsia="en-GB"/>
        </w:rPr>
      </w:pPr>
      <w:r w:rsidRPr="00A87365">
        <w:rPr>
          <w:noProof/>
          <w:lang w:eastAsia="en-GB"/>
        </w:rPr>
        <mc:AlternateContent>
          <mc:Choice Requires="wps">
            <w:drawing>
              <wp:anchor distT="0" distB="0" distL="114300" distR="114300" simplePos="0" relativeHeight="251658244" behindDoc="1" locked="0" layoutInCell="0" allowOverlap="1" wp14:anchorId="36CEE657" wp14:editId="3A675F03">
                <wp:simplePos x="0" y="0"/>
                <wp:positionH relativeFrom="page">
                  <wp:posOffset>0</wp:posOffset>
                </wp:positionH>
                <wp:positionV relativeFrom="page">
                  <wp:posOffset>0</wp:posOffset>
                </wp:positionV>
                <wp:extent cx="7251700" cy="10607040"/>
                <wp:effectExtent l="0" t="0" r="2540" b="0"/>
                <wp:wrapNone/>
                <wp:docPr id="2" name="CoverGraphic">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251700" cy="1060704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wrap="square" rtlCol="0" anchor="ctr">
                        <a:noAutofit/>
                      </wps:bodyPr>
                    </wps:wsp>
                  </a:graphicData>
                </a:graphic>
                <wp14:sizeRelH relativeFrom="page">
                  <wp14:pctWidth>100000</wp14:pctWidth>
                </wp14:sizeRelH>
                <wp14:sizeRelV relativeFrom="page">
                  <wp14:pctHeight>100000</wp14:pctHeight>
                </wp14:sizeRelV>
              </wp:anchor>
            </w:drawing>
          </mc:Choice>
          <mc:Fallback>
            <w:pict>
              <v:rect w14:anchorId="62856D74" id="CoverGraphic" o:spid="_x0000_s1026" alt="&quot;&quot;" style="position:absolute;margin-left:0;margin-top:0;width:571pt;height:835.2pt;z-index:-251658236;visibility:visible;mso-wrap-style:square;mso-width-percent:1000;mso-height-percent:1000;mso-wrap-distance-left:9pt;mso-wrap-distance-top:0;mso-wrap-distance-right:9pt;mso-wrap-distance-bottom:0;mso-position-horizontal:absolute;mso-position-horizontal-relative:page;mso-position-vertical:absolute;mso-position-vertical-relative:page;mso-width-percent:100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" o:allowincell="f" fillcolor="#008768" stroked="f" strokeweight="2pt">
                <w10:wrap anchorx="page" anchory="page"/>
              </v:rect>
            </w:pict>
          </mc:Fallback>
        </mc:AlternateContent>
      </w:r>
      <w:r w:rsidR="0087529F" w:rsidRPr="008B05F5">
        <w:rPr>
          <w:noProof/>
          <w:lang w:eastAsia="en-GB"/>
        </w:rPr>
        <w:drawing>
          <wp:anchor distT="0" distB="0" distL="114300" distR="114300" simplePos="0" relativeHeight="251658245" behindDoc="0" locked="0" layoutInCell="1" allowOverlap="1" wp14:anchorId="344A348E" wp14:editId="36892A4A">
            <wp:simplePos x="0" y="0"/>
            <wp:positionH relativeFrom="page">
              <wp:align>left</wp:align>
            </wp:positionH>
            <mc:AlternateContent>
              <mc:Choice Requires="wp14">
                <wp:positionV relativeFrom="page">
                  <wp14:pctPosVOffset>54000</wp14:pctPosVOffset>
                </wp:positionV>
              </mc:Choice>
              <mc:Fallback>
                <wp:positionV relativeFrom="page">
                  <wp:posOffset>5773420</wp:posOffset>
                </wp:positionV>
              </mc:Fallback>
            </mc:AlternateContent>
            <wp:extent cx="7560310" cy="3048826"/>
            <wp:effectExtent l="0" t="0" r="2540" b="0"/>
            <wp:wrapNone/>
            <wp:docPr id="19" name="A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rc"/>
                    <pic:cNvPicPr/>
                  </pic:nvPicPr>
                  <pic:blipFill>
                    <a:blip r:embed="rId11">
                      <a:extLst>
                        <a:ext uri="{28A0092B-C50C-407E-A947-70E740481C1C}">
                          <a14:useLocalDpi xmlns:a14="http://schemas.microsoft.com/office/drawing/2010/main" val="0"/>
                        </a:ext>
                        <a:ext uri="{96DAC541-7B7A-43D3-8B79-37D633B846F1}">
                          <asvg:svgBlip xmlns:asvg="http://schemas.microsoft.com/office/drawing/2016/SVG/main" r:embed="rId12"/>
                        </a:ext>
                      </a:extLst>
                    </a:blip>
                    <a:stretch>
                      <a:fillRect/>
                    </a:stretch>
                  </pic:blipFill>
                  <pic:spPr>
                    <a:xfrm rot="10800000" flipH="1">
                      <a:off x="0" y="0"/>
                      <a:ext cx="7558560" cy="3048120"/>
                    </a:xfrm>
                    <a:prstGeom prst="rect">
                      <a:avLst/>
                    </a:prstGeom>
                  </pic:spPr>
                </pic:pic>
              </a:graphicData>
            </a:graphic>
            <wp14:sizeRelH relativeFrom="margin">
              <wp14:pctWidth>0</wp14:pctWidth>
            </wp14:sizeRelH>
            <wp14:sizeRelV relativeFrom="margin">
              <wp14:pctHeight>0</wp14:pctHeight>
            </wp14:sizeRelV>
          </wp:anchor>
        </w:drawing>
      </w:r>
    </w:p>
    <w:p w14:paraId="7D740EB0" w14:textId="77777777" w:rsidR="00F12DD7" w:rsidRDefault="00F12DD7" w:rsidP="00F12DD7">
      <w:pPr>
        <w:pStyle w:val="BodyText"/>
      </w:pPr>
    </w:p>
    <w:p w14:paraId="6864710B" w14:textId="00DF994A" w:rsidR="00F12DD7" w:rsidRDefault="00D54666" w:rsidP="00F12DD7">
      <w:pPr>
        <w:pStyle w:val="BodyText"/>
      </w:pPr>
      <w:r>
        <w:rPr>
          <w:noProof/>
          <w:lang w:eastAsia="en-GB"/>
        </w:rPr>
        <mc:AlternateContent>
          <mc:Choice Requires="wps">
            <w:drawing>
              <wp:anchor distT="0" distB="0" distL="114300" distR="114300" simplePos="0" relativeHeight="251658243" behindDoc="0" locked="0" layoutInCell="0" allowOverlap="1" wp14:anchorId="787470F1" wp14:editId="261DD626">
                <wp:simplePos x="0" y="0"/>
                <wp:positionH relativeFrom="column">
                  <wp:posOffset>0</wp:posOffset>
                </wp:positionH>
                <wp:positionV relativeFrom="page">
                  <wp:posOffset>357447</wp:posOffset>
                </wp:positionV>
                <wp:extent cx="4284345" cy="271780"/>
                <wp:effectExtent l="0" t="0" r="1905" b="13970"/>
                <wp:wrapNone/>
                <wp:docPr id="4" name="CoverAdditionalCompany"/>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271780"/>
                        </a:xfrm>
                        <a:prstGeom prst="rect">
                          <a:avLst/>
                        </a:prstGeom>
                        <a:noFill/>
                        <a:ln w="9525">
                          <a:noFill/>
                          <a:miter lim="800000"/>
                          <a:headEnd/>
                          <a:tailEnd/>
                        </a:ln>
                      </wps:spPr>
                      <wps:txbx>
                        <w:txbxContent>
                          <w:bookmarkStart w:id="1" w:name="Cover2"/>
                          <w:bookmarkStart w:id="2" w:name="Start"/>
                          <w:bookmarkStart w:id="3"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1"/>
                            <w:bookmarkEnd w:id="2"/>
                            <w:bookmarkEnd w:id="3"/>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87470F1" id="_x0000_t202" coordsize="21600,21600" o:spt="202" path="m,l,21600r21600,l21600,xe">
                <v:stroke joinstyle="miter"/>
                <v:path gradientshapeok="t" o:connecttype="rect"/>
              </v:shapetype>
              <v:shape id="CoverAdditionalCompany" o:spid="_x0000_s1026" type="#_x0000_t202" style="position:absolute;left:0;text-align:left;margin-left:0;margin-top:28.15pt;width:337.35pt;height:21.4pt;z-index:251658243;visibility:visible;mso-wrap-style:square;mso-width-percent:0;mso-height-percent:200;mso-wrap-distance-left:9pt;mso-wrap-distance-top:0;mso-wrap-distance-right:9pt;mso-wrap-distance-bottom:0;mso-position-horizontal:absolute;mso-position-horizontal-relative:text;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" o:allowincell="f" filled="f" stroked="f">
                <v:textbox style="mso-fit-shape-to-text:t" inset="0,0,0,0">
                  <w:txbxContent>
                    <w:bookmarkStart w:id="4" w:name="Cover2"/>
                    <w:bookmarkStart w:id="5" w:name="Start"/>
                    <w:bookmarkStart w:id="6" w:name="DRAFT"/>
                    <w:p w14:paraId="2FE34E46" w14:textId="0236F532" w:rsidR="00CF237B" w:rsidRPr="00F74319" w:rsidRDefault="00CF237B" w:rsidP="00F83749">
                      <w:pPr>
                        <w:pStyle w:val="Subtitleheading"/>
                        <w:rPr>
                          <w:b/>
                          <w:sz w:val="36"/>
                          <w:szCs w:val="36"/>
                        </w:rPr>
                      </w:pPr>
                      <w:r w:rsidRPr="0087529F">
                        <w:rPr>
                          <w:b/>
                          <w:color w:val="FFFFFF"/>
                          <w:sz w:val="36"/>
                          <w:szCs w:val="36"/>
                        </w:rPr>
                        <w:fldChar w:fldCharType="begin"/>
                      </w:r>
                      <w:r w:rsidRPr="0087529F">
                        <w:rPr>
                          <w:b/>
                          <w:color w:val="FFFFFF"/>
                          <w:sz w:val="36"/>
                          <w:szCs w:val="36"/>
                        </w:rPr>
                        <w:instrText xml:space="preserve"> DOCPROPERTY  Draft \* MERGEFORMAT </w:instrText>
                      </w:r>
                      <w:r w:rsidRPr="0087529F">
                        <w:rPr>
                          <w:b/>
                          <w:color w:val="FFFFFF"/>
                          <w:sz w:val="36"/>
                          <w:szCs w:val="36"/>
                        </w:rPr>
                        <w:fldChar w:fldCharType="separate"/>
                      </w:r>
                      <w:r w:rsidR="00AF4882">
                        <w:rPr>
                          <w:b/>
                          <w:color w:val="FFFFFF"/>
                          <w:sz w:val="36"/>
                          <w:szCs w:val="36"/>
                        </w:rPr>
                        <w:t>DRAFT</w:t>
                      </w:r>
                      <w:r w:rsidRPr="0087529F">
                        <w:rPr>
                          <w:b/>
                          <w:color w:val="FFFFFF"/>
                          <w:sz w:val="36"/>
                          <w:szCs w:val="36"/>
                        </w:rPr>
                        <w:fldChar w:fldCharType="end"/>
                      </w:r>
                      <w:r w:rsidRPr="0087529F">
                        <w:rPr>
                          <w:b/>
                          <w:color w:val="FFFFFF"/>
                          <w:sz w:val="36"/>
                          <w:szCs w:val="36"/>
                        </w:rPr>
                        <w:t xml:space="preserve"> </w:t>
                      </w:r>
                      <w:bookmarkEnd w:id="4"/>
                      <w:bookmarkEnd w:id="5"/>
                      <w:bookmarkEnd w:id="6"/>
                    </w:p>
                  </w:txbxContent>
                </v:textbox>
                <w10:wrap anchory="page"/>
              </v:shape>
            </w:pict>
          </mc:Fallback>
        </mc:AlternateContent>
      </w:r>
      <w:r w:rsidR="0087529F" w:rsidRPr="002D3999">
        <w:rPr>
          <w:noProof/>
          <w:lang w:eastAsia="en-GB"/>
        </w:rPr>
        <w:drawing>
          <wp:anchor distT="0" distB="0" distL="114300" distR="114300" simplePos="0" relativeHeight="251658246" behindDoc="0" locked="0" layoutInCell="1" allowOverlap="1" wp14:anchorId="1D086A73" wp14:editId="66E88AF4">
            <wp:simplePos x="0" y="0"/>
            <wp:positionH relativeFrom="rightMargin">
              <wp:posOffset>-612140</wp:posOffset>
            </wp:positionH>
            <wp:positionV relativeFrom="page">
              <wp:posOffset>367030</wp:posOffset>
            </wp:positionV>
            <wp:extent cx="961560" cy="216000"/>
            <wp:effectExtent l="0" t="0" r="0" b="0"/>
            <wp:wrapNone/>
            <wp:docPr id="10" name="AECOMLogo" descr="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AECOMLogo" descr="AECOM Logo"/>
                    <pic:cNvPicPr/>
                  </pic:nvPicPr>
                  <pic:blipFill>
                    <a:blip r:embed="rId13" cstate="print">
                      <a:extLst>
                        <a:ext uri="{28A0092B-C50C-407E-A947-70E740481C1C}">
                          <a14:useLocalDpi xmlns:a14="http://schemas.microsoft.com/office/drawing/2010/main" val="0"/>
                        </a:ext>
                        <a:ext uri="{96DAC541-7B7A-43D3-8B79-37D633B846F1}">
                          <asvg:svgBlip xmlns:asvg="http://schemas.microsoft.com/office/drawing/2016/SVG/main" r:embed="rId14"/>
                        </a:ext>
                      </a:extLst>
                    </a:blip>
                    <a:stretch>
                      <a:fillRect/>
                    </a:stretch>
                  </pic:blipFill>
                  <pic:spPr>
                    <a:xfrm>
                      <a:off x="0" y="0"/>
                      <a:ext cx="961560" cy="216000"/>
                    </a:xfrm>
                    <a:prstGeom prst="rect">
                      <a:avLst/>
                    </a:prstGeom>
                  </pic:spPr>
                </pic:pic>
              </a:graphicData>
            </a:graphic>
            <wp14:sizeRelH relativeFrom="margin">
              <wp14:pctWidth>0</wp14:pctWidth>
            </wp14:sizeRelH>
            <wp14:sizeRelV relativeFrom="margin">
              <wp14:pctHeight>0</wp14:pctHeight>
            </wp14:sizeRelV>
          </wp:anchor>
        </w:drawing>
      </w:r>
      <w:r w:rsidR="00EF62EF">
        <w:rPr>
          <w:noProof/>
          <w:lang w:eastAsia="en-GB"/>
        </w:rPr>
        <mc:AlternateContent>
          <mc:Choice Requires="wps">
            <w:drawing>
              <wp:anchor distT="0" distB="0" distL="114300" distR="114300" simplePos="0" relativeHeight="251658242" behindDoc="0" locked="0" layoutInCell="0" allowOverlap="1" wp14:anchorId="5F3D88F8" wp14:editId="68438203">
                <wp:simplePos x="0" y="0"/>
                <wp:positionH relativeFrom="margin">
                  <wp:posOffset>0</wp:posOffset>
                </wp:positionH>
                <wp:positionV relativeFrom="page">
                  <wp:align>bottom</wp:align>
                </wp:positionV>
                <wp:extent cx="5848350" cy="3081655"/>
                <wp:effectExtent l="0" t="0" r="2540" b="6985"/>
                <wp:wrapNone/>
                <wp:docPr id="7" name="CoverTitle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48350" cy="3081655"/>
                        </a:xfrm>
                        <a:prstGeom prst="rect">
                          <a:avLst/>
                        </a:prstGeom>
                        <a:noFill/>
                        <a:ln w="9525">
                          <a:noFill/>
                          <a:miter lim="800000"/>
                          <a:headEnd/>
                          <a:tailEnd/>
                        </a:ln>
                      </wps:spPr>
                      <wps:txbx>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7" w:name="Cover1" w:colFirst="0" w:colLast="1"/>
                                <w:bookmarkStart w:id="8"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160A2629" w:rsidR="00193A2F" w:rsidRPr="0087529F" w:rsidRDefault="00193A2F" w:rsidP="0087529F">
                                  <w:pPr>
                                    <w:pStyle w:val="Subtitleheading"/>
                                    <w:rPr>
                                      <w:color w:val="FFFFFF"/>
                                    </w:rPr>
                                  </w:pPr>
                                  <w:r>
                                    <w:rPr>
                                      <w:color w:val="FFFFFF"/>
                                    </w:rPr>
                                    <w:t xml:space="preserve">Chapter </w:t>
                                  </w:r>
                                  <w:r w:rsidR="00EF4750">
                                    <w:rPr>
                                      <w:color w:val="FFFFFF"/>
                                    </w:rPr>
                                    <w:t>1</w:t>
                                  </w:r>
                                  <w:r w:rsidR="00EF7AC5">
                                    <w:rPr>
                                      <w:color w:val="FFFFFF"/>
                                    </w:rPr>
                                    <w:t>5: Major Accidents and Disasters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4EA152B0" w:rsidR="00CF237B" w:rsidRPr="0087529F" w:rsidRDefault="006F049B" w:rsidP="0087529F">
                                  <w:pPr>
                                    <w:pStyle w:val="Coverfooter"/>
                                    <w:rPr>
                                      <w:color w:val="FFFFFF"/>
                                    </w:rPr>
                                  </w:pPr>
                                  <w:r>
                                    <w:rPr>
                                      <w:color w:val="FFFFFF"/>
                                    </w:rPr>
                                    <w:t xml:space="preserve">September </w:t>
                                  </w:r>
                                  <w:r w:rsidR="001F32CB">
                                    <w:rPr>
                                      <w:color w:val="FFFFFF"/>
                                    </w:rPr>
                                    <w:t>2026</w:t>
                                  </w:r>
                                </w:p>
                              </w:tc>
                            </w:tr>
                            <w:bookmarkEnd w:id="7"/>
                            <w:bookmarkEnd w:id="8"/>
                          </w:tbl>
                          <w:p w14:paraId="341C84AA" w14:textId="77777777" w:rsidR="00CF237B" w:rsidRDefault="00CF237B" w:rsidP="00D50E1B"/>
                        </w:txbxContent>
                      </wps:txbx>
                      <wps:bodyPr rot="0" vert="horz" wrap="square" lIns="0" tIns="0" rIns="0" bIns="36000" anchor="t" anchorCtr="0">
                        <a:noAutofit/>
                      </wps:bodyPr>
                    </wps:wsp>
                  </a:graphicData>
                </a:graphic>
                <wp14:sizeRelH relativeFrom="margin">
                  <wp14:pctWidth>100000</wp14:pctWidth>
                </wp14:sizeRelH>
                <wp14:sizeRelV relativeFrom="page">
                  <wp14:pctHeight>50000</wp14:pctHeight>
                </wp14:sizeRelV>
              </wp:anchor>
            </w:drawing>
          </mc:Choice>
          <mc:Fallback>
            <w:pict>
              <v:shape w14:anchorId="5F3D88F8" id="CoverTitleBox" o:spid="_x0000_s1027" type="#_x0000_t202" style="position:absolute;left:0;text-align:left;margin-left:0;margin-top:0;width:460.5pt;height:242.65pt;z-index:251658242;visibility:visible;mso-wrap-style:square;mso-width-percent:1000;mso-height-percent:500;mso-wrap-distance-left:9pt;mso-wrap-distance-top:0;mso-wrap-distance-right:9pt;mso-wrap-distance-bottom:0;mso-position-horizontal:absolute;mso-position-horizontal-relative:margin;mso-position-vertical:bottom;mso-position-vertical-relative:page;mso-width-percent:1000;mso-height-percent:50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" o:allowincell="f" filled="f" stroked="f">
                <v:textbox inset="0,0,0,1mm">
                  <w:txbxContent>
                    <w:tbl>
                      <w:tblPr>
                        <w:tblStyle w:val="Plaingrid"/>
                        <w:tblW w:w="3990" w:type="pct"/>
                        <w:tblLook w:val="04A0" w:firstRow="1" w:lastRow="0" w:firstColumn="1" w:lastColumn="0" w:noHBand="0" w:noVBand="1"/>
                      </w:tblPr>
                      <w:tblGrid>
                        <w:gridCol w:w="7350"/>
                      </w:tblGrid>
                      <w:tr w:rsidR="00CF237B" w:rsidRPr="0087529F" w14:paraId="2B1DDFB9" w14:textId="77777777" w:rsidTr="00DD205C">
                        <w:trPr>
                          <w:trHeight w:val="3547"/>
                        </w:trPr>
                        <w:tc>
                          <w:tcPr>
                            <w:tcW w:w="7200" w:type="dxa"/>
                          </w:tcPr>
                          <w:bookmarkStart w:id="9" w:name="Cover1" w:colFirst="0" w:colLast="1"/>
                          <w:bookmarkStart w:id="10" w:name="CoverTable1"/>
                          <w:p w14:paraId="051596FB" w14:textId="139A12BE" w:rsidR="00CF237B" w:rsidRPr="0087529F" w:rsidRDefault="00CF237B" w:rsidP="00C46E97">
                            <w:pPr>
                              <w:pStyle w:val="Title"/>
                              <w:jc w:val="left"/>
                              <w:rPr>
                                <w:color w:val="FFFFFF"/>
                              </w:rPr>
                            </w:pPr>
                            <w:r w:rsidRPr="0087529F">
                              <w:rPr>
                                <w:color w:val="FFFFFF"/>
                              </w:rPr>
                              <w:fldChar w:fldCharType="begin"/>
                            </w:r>
                            <w:r w:rsidRPr="0087529F">
                              <w:rPr>
                                <w:color w:val="FFFFFF"/>
                              </w:rPr>
                              <w:instrText xml:space="preserve"> DOCPROPERTY  DocumentTitle \* MERGEFORMAT </w:instrText>
                            </w:r>
                            <w:r w:rsidRPr="0087529F">
                              <w:rPr>
                                <w:color w:val="FFFFFF"/>
                              </w:rPr>
                              <w:fldChar w:fldCharType="separate"/>
                            </w:r>
                            <w:r w:rsidR="00AF4882">
                              <w:rPr>
                                <w:color w:val="FFFFFF"/>
                              </w:rPr>
                              <w:t>SDCC Rathcoole Housing</w:t>
                            </w:r>
                            <w:r w:rsidR="00C46E97">
                              <w:rPr>
                                <w:color w:val="FFFFFF"/>
                              </w:rPr>
                              <w:t xml:space="preserve"> </w:t>
                            </w:r>
                            <w:r w:rsidR="00AF4882">
                              <w:rPr>
                                <w:color w:val="FFFFFF"/>
                              </w:rPr>
                              <w:t>Development</w:t>
                            </w:r>
                            <w:r w:rsidRPr="0087529F">
                              <w:rPr>
                                <w:color w:val="FFFFFF"/>
                              </w:rPr>
                              <w:fldChar w:fldCharType="end"/>
                            </w:r>
                          </w:p>
                          <w:p w14:paraId="284DC871" w14:textId="4AA72D50" w:rsidR="00CF237B" w:rsidRDefault="00CF237B" w:rsidP="0087529F">
                            <w:pPr>
                              <w:pStyle w:val="Subtitleheading"/>
                              <w:rPr>
                                <w:color w:val="FFFFFF"/>
                              </w:rPr>
                            </w:pPr>
                            <w:r w:rsidRPr="0087529F">
                              <w:rPr>
                                <w:color w:val="FFFFFF"/>
                              </w:rPr>
                              <w:fldChar w:fldCharType="begin"/>
                            </w:r>
                            <w:r w:rsidRPr="0087529F">
                              <w:rPr>
                                <w:color w:val="FFFFFF"/>
                              </w:rPr>
                              <w:instrText xml:space="preserve"> DOCPROPERTY  SubTitle \* MERGEFORMAT </w:instrText>
                            </w:r>
                            <w:r w:rsidRPr="0087529F">
                              <w:rPr>
                                <w:color w:val="FFFFFF"/>
                              </w:rPr>
                              <w:fldChar w:fldCharType="separate"/>
                            </w:r>
                            <w:r w:rsidR="00AF4882">
                              <w:rPr>
                                <w:color w:val="FFFFFF"/>
                              </w:rPr>
                              <w:t>Environmental Impact Assessment Report</w:t>
                            </w:r>
                            <w:r w:rsidRPr="0087529F">
                              <w:rPr>
                                <w:color w:val="FFFFFF"/>
                              </w:rPr>
                              <w:fldChar w:fldCharType="end"/>
                            </w:r>
                            <w:r w:rsidR="00193A2F">
                              <w:rPr>
                                <w:color w:val="FFFFFF"/>
                              </w:rPr>
                              <w:t xml:space="preserve"> (EIAR)</w:t>
                            </w:r>
                          </w:p>
                          <w:p w14:paraId="63C62A0A" w14:textId="160A2629" w:rsidR="00193A2F" w:rsidRPr="0087529F" w:rsidRDefault="00193A2F" w:rsidP="0087529F">
                            <w:pPr>
                              <w:pStyle w:val="Subtitleheading"/>
                              <w:rPr>
                                <w:color w:val="FFFFFF"/>
                              </w:rPr>
                            </w:pPr>
                            <w:r>
                              <w:rPr>
                                <w:color w:val="FFFFFF"/>
                              </w:rPr>
                              <w:t xml:space="preserve">Chapter </w:t>
                            </w:r>
                            <w:r w:rsidR="00EF4750">
                              <w:rPr>
                                <w:color w:val="FFFFFF"/>
                              </w:rPr>
                              <w:t>1</w:t>
                            </w:r>
                            <w:r w:rsidR="00EF7AC5">
                              <w:rPr>
                                <w:color w:val="FFFFFF"/>
                              </w:rPr>
                              <w:t>5: Major Accidents and Disasters</w:t>
                            </w:r>
                          </w:p>
                          <w:p w14:paraId="4B0F65CD" w14:textId="68016EA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SupplementaryTitle \* MERGEFORMAT </w:instrText>
                            </w:r>
                            <w:r w:rsidRPr="0087529F">
                              <w:rPr>
                                <w:color w:val="FFFFFF"/>
                              </w:rPr>
                              <w:fldChar w:fldCharType="end"/>
                            </w:r>
                          </w:p>
                          <w:p w14:paraId="28C13FA4" w14:textId="77777777" w:rsidR="00CF237B" w:rsidRPr="0087529F" w:rsidRDefault="00CF237B" w:rsidP="0087529F">
                            <w:pPr>
                              <w:rPr>
                                <w:color w:val="FFFFFF"/>
                              </w:rPr>
                            </w:pPr>
                          </w:p>
                          <w:p w14:paraId="18B34C13" w14:textId="3135034F" w:rsidR="00CF237B" w:rsidRPr="0087529F" w:rsidRDefault="00CF237B" w:rsidP="0087529F">
                            <w:pPr>
                              <w:pStyle w:val="Subtitleheading"/>
                              <w:rPr>
                                <w:color w:val="FFFFFF"/>
                              </w:rPr>
                            </w:pPr>
                            <w:r w:rsidRPr="0087529F">
                              <w:rPr>
                                <w:color w:val="FFFFFF"/>
                              </w:rPr>
                              <w:fldChar w:fldCharType="begin"/>
                            </w:r>
                            <w:r w:rsidRPr="0087529F">
                              <w:rPr>
                                <w:color w:val="FFFFFF"/>
                              </w:rPr>
                              <w:instrText xml:space="preserve"> DOCPROPERTY  ClientName \* MERGEFORMAT </w:instrText>
                            </w:r>
                            <w:r w:rsidRPr="0087529F">
                              <w:rPr>
                                <w:color w:val="FFFFFF"/>
                              </w:rPr>
                              <w:fldChar w:fldCharType="separate"/>
                            </w:r>
                            <w:r w:rsidR="00AF4882">
                              <w:rPr>
                                <w:color w:val="FFFFFF"/>
                              </w:rPr>
                              <w:t xml:space="preserve">South Dublin County Council </w:t>
                            </w:r>
                            <w:r w:rsidRPr="0087529F">
                              <w:rPr>
                                <w:color w:val="FFFFFF"/>
                              </w:rPr>
                              <w:fldChar w:fldCharType="end"/>
                            </w:r>
                            <w:r w:rsidR="00C46E97">
                              <w:rPr>
                                <w:color w:val="FFFFFF"/>
                              </w:rPr>
                              <w:t>(SDCC)</w:t>
                            </w:r>
                          </w:p>
                          <w:p w14:paraId="317A320C" w14:textId="5D91EDC9" w:rsidR="00CF237B" w:rsidRPr="0087529F" w:rsidRDefault="00CF237B" w:rsidP="0087529F">
                            <w:pPr>
                              <w:pStyle w:val="Subtitle"/>
                              <w:rPr>
                                <w:rFonts w:asciiTheme="minorHAnsi" w:hAnsiTheme="minorHAnsi" w:cstheme="minorHAnsi"/>
                                <w:color w:val="FFFFFF"/>
                              </w:rPr>
                            </w:pPr>
                            <w:r w:rsidRPr="0087529F">
                              <w:rPr>
                                <w:rFonts w:asciiTheme="minorHAnsi" w:hAnsiTheme="minorHAnsi" w:cstheme="minorHAnsi"/>
                                <w:color w:val="FFFFFF"/>
                              </w:rPr>
                              <w:fldChar w:fldCharType="begin"/>
                            </w:r>
                            <w:r w:rsidRPr="0087529F">
                              <w:rPr>
                                <w:rFonts w:asciiTheme="minorHAnsi" w:hAnsiTheme="minorHAnsi" w:cstheme="minorHAnsi"/>
                                <w:color w:val="FFFFFF"/>
                              </w:rPr>
                              <w:instrText xml:space="preserve"> DOCPROPERTY  TenderStage \* MERGEFORMAT </w:instrText>
                            </w:r>
                            <w:r w:rsidRPr="0087529F">
                              <w:rPr>
                                <w:rFonts w:asciiTheme="minorHAnsi" w:hAnsiTheme="minorHAnsi" w:cstheme="minorHAnsi"/>
                                <w:color w:val="FFFFFF"/>
                              </w:rPr>
                              <w:fldChar w:fldCharType="end"/>
                            </w:r>
                          </w:p>
                          <w:p w14:paraId="37DEB23A" w14:textId="77777777" w:rsidR="00CF237B" w:rsidRPr="0087529F" w:rsidRDefault="00CF237B" w:rsidP="0087529F">
                            <w:pPr>
                              <w:rPr>
                                <w:color w:val="FFFFFF"/>
                              </w:rPr>
                            </w:pPr>
                          </w:p>
                          <w:p w14:paraId="756839ED" w14:textId="6295E60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ProjectRef \* MERGEFORMAT </w:instrText>
                            </w:r>
                            <w:r w:rsidRPr="0087529F">
                              <w:rPr>
                                <w:color w:val="FFFFFF"/>
                              </w:rPr>
                              <w:fldChar w:fldCharType="separate"/>
                            </w:r>
                            <w:r w:rsidR="00AF4882">
                              <w:rPr>
                                <w:color w:val="FFFFFF"/>
                              </w:rPr>
                              <w:t xml:space="preserve"> </w:t>
                            </w:r>
                            <w:r w:rsidRPr="0087529F">
                              <w:rPr>
                                <w:color w:val="FFFFFF"/>
                              </w:rPr>
                              <w:fldChar w:fldCharType="end"/>
                            </w:r>
                          </w:p>
                          <w:p w14:paraId="3A8337A7" w14:textId="3E698EDA"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ProjectNumber \* MERGEFORMAT </w:instrText>
                            </w:r>
                            <w:r w:rsidRPr="0087529F">
                              <w:rPr>
                                <w:color w:val="FFFFFF"/>
                              </w:rPr>
                              <w:fldChar w:fldCharType="separate"/>
                            </w:r>
                            <w:r w:rsidR="00AF4882">
                              <w:rPr>
                                <w:color w:val="FFFFFF"/>
                              </w:rPr>
                              <w:t xml:space="preserve"> </w:t>
                            </w:r>
                            <w:r w:rsidRPr="0087529F">
                              <w:rPr>
                                <w:color w:val="FFFFFF"/>
                              </w:rPr>
                              <w:fldChar w:fldCharType="end"/>
                            </w:r>
                          </w:p>
                          <w:p w14:paraId="56FAD390" w14:textId="1C5F81B4" w:rsidR="00CF237B" w:rsidRPr="0087529F" w:rsidRDefault="00CF237B" w:rsidP="0087529F">
                            <w:pPr>
                              <w:pStyle w:val="Coverfooter"/>
                              <w:rPr>
                                <w:color w:val="FFFFFF"/>
                              </w:rPr>
                            </w:pPr>
                            <w:r w:rsidRPr="0087529F">
                              <w:rPr>
                                <w:color w:val="FFFFFF"/>
                              </w:rPr>
                              <w:fldChar w:fldCharType="begin"/>
                            </w:r>
                            <w:r w:rsidRPr="0087529F">
                              <w:rPr>
                                <w:color w:val="FFFFFF"/>
                              </w:rPr>
                              <w:instrText xml:space="preserve"> DOCPROPERTY  DocumentReference \* MERGEFORMAT </w:instrText>
                            </w:r>
                            <w:r w:rsidRPr="0087529F">
                              <w:rPr>
                                <w:color w:val="FFFFFF"/>
                              </w:rPr>
                              <w:fldChar w:fldCharType="end"/>
                            </w:r>
                          </w:p>
                          <w:p w14:paraId="6F93299B" w14:textId="77777777" w:rsidR="00CF237B" w:rsidRPr="0087529F" w:rsidRDefault="00CF237B" w:rsidP="0087529F">
                            <w:pPr>
                              <w:pStyle w:val="Coverfooter"/>
                              <w:rPr>
                                <w:color w:val="FFFFFF"/>
                              </w:rPr>
                            </w:pPr>
                          </w:p>
                          <w:p w14:paraId="7BB00788" w14:textId="4EA152B0" w:rsidR="00CF237B" w:rsidRPr="0087529F" w:rsidRDefault="006F049B" w:rsidP="0087529F">
                            <w:pPr>
                              <w:pStyle w:val="Coverfooter"/>
                              <w:rPr>
                                <w:color w:val="FFFFFF"/>
                              </w:rPr>
                            </w:pPr>
                            <w:r>
                              <w:rPr>
                                <w:color w:val="FFFFFF"/>
                              </w:rPr>
                              <w:t xml:space="preserve">September </w:t>
                            </w:r>
                            <w:r w:rsidR="001F32CB">
                              <w:rPr>
                                <w:color w:val="FFFFFF"/>
                              </w:rPr>
                              <w:t>2026</w:t>
                            </w:r>
                          </w:p>
                        </w:tc>
                      </w:tr>
                      <w:bookmarkEnd w:id="9"/>
                      <w:bookmarkEnd w:id="10"/>
                    </w:tbl>
                    <w:p w14:paraId="341C84AA" w14:textId="77777777" w:rsidR="00CF237B" w:rsidRDefault="00CF237B" w:rsidP="00D50E1B"/>
                  </w:txbxContent>
                </v:textbox>
                <w10:wrap anchorx="margin" anchory="page"/>
              </v:shape>
            </w:pict>
          </mc:Fallback>
        </mc:AlternateContent>
      </w:r>
      <w:r w:rsidR="00EF62EF">
        <w:rPr>
          <w:noProof/>
          <w:lang w:eastAsia="en-GB"/>
        </w:rPr>
        <mc:AlternateContent>
          <mc:Choice Requires="wps">
            <w:drawing>
              <wp:anchor distT="0" distB="0" distL="114300" distR="114300" simplePos="0" relativeHeight="251658241" behindDoc="0" locked="0" layoutInCell="0" allowOverlap="1" wp14:anchorId="17994993" wp14:editId="6EA8444C">
                <wp:simplePos x="0" y="0"/>
                <wp:positionH relativeFrom="column">
                  <wp:posOffset>0</wp:posOffset>
                </wp:positionH>
                <wp:positionV relativeFrom="page">
                  <wp:align>bottom</wp:align>
                </wp:positionV>
                <wp:extent cx="6134100" cy="1353960"/>
                <wp:effectExtent l="0" t="0" r="10160" b="0"/>
                <wp:wrapNone/>
                <wp:docPr id="307" name="CoverFooterBox"/>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4100" cy="1353960"/>
                        </a:xfrm>
                        <a:prstGeom prst="rect">
                          <a:avLst/>
                        </a:prstGeom>
                        <a:noFill/>
                        <a:ln w="9525">
                          <a:noFill/>
                          <a:miter lim="800000"/>
                          <a:headEnd/>
                          <a:tailEnd/>
                        </a:ln>
                      </wps:spPr>
                      <wps:txbx>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1" w:name="Cover3" w:colFirst="0" w:colLast="2"/>
                                <w:bookmarkStart w:id="12"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3"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3"/>
                                </w:p>
                              </w:tc>
                            </w:tr>
                            <w:bookmarkEnd w:id="11"/>
                            <w:bookmarkEnd w:id="12"/>
                          </w:tbl>
                          <w:p w14:paraId="4CA7E41F" w14:textId="77777777" w:rsidR="00CF237B" w:rsidRDefault="00CF237B" w:rsidP="00DA79BC"/>
                        </w:txbxContent>
                      </wps:txbx>
                      <wps:bodyPr rot="0" vert="horz" wrap="square" lIns="0" tIns="0" rIns="0" bIns="36000" anchor="t" anchorCtr="0">
                        <a:noAutofit/>
                      </wps:bodyPr>
                    </wps:wsp>
                  </a:graphicData>
                </a:graphic>
                <wp14:sizeRelH relativeFrom="page">
                  <wp14:pctWidth>81000</wp14:pctWidth>
                </wp14:sizeRelH>
                <wp14:sizeRelV relativeFrom="margin">
                  <wp14:pctHeight>0</wp14:pctHeight>
                </wp14:sizeRelV>
              </wp:anchor>
            </w:drawing>
          </mc:Choice>
          <mc:Fallback>
            <w:pict>
              <v:shape w14:anchorId="17994993" id="CoverFooterBox" o:spid="_x0000_s1028" type="#_x0000_t202" style="position:absolute;left:0;text-align:left;margin-left:0;margin-top:0;width:483pt;height:106.6pt;z-index:251658241;visibility:visible;mso-wrap-style:square;mso-width-percent:810;mso-height-percent:0;mso-wrap-distance-left:9pt;mso-wrap-distance-top:0;mso-wrap-distance-right:9pt;mso-wrap-distance-bottom:0;mso-position-horizontal:absolute;mso-position-horizontal-relative:text;mso-position-vertical:bottom;mso-position-vertical-relative:page;mso-width-percent:81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" o:allowincell="f" filled="f" stroked="f">
                <v:textbox inset="0,0,0,1mm">
                  <w:txbxContent>
                    <w:tbl>
                      <w:tblPr>
                        <w:tblStyle w:val="Plaingrid"/>
                        <w:tblW w:w="5000" w:type="pct"/>
                        <w:tblCellMar>
                          <w:right w:w="0" w:type="dxa"/>
                        </w:tblCellMar>
                        <w:tblLook w:val="04A0" w:firstRow="1" w:lastRow="0" w:firstColumn="1" w:lastColumn="0" w:noHBand="0" w:noVBand="1"/>
                      </w:tblPr>
                      <w:tblGrid>
                        <w:gridCol w:w="2781"/>
                        <w:gridCol w:w="3089"/>
                        <w:gridCol w:w="3791"/>
                      </w:tblGrid>
                      <w:tr w:rsidR="00EF62EF" w:rsidRPr="0087529F" w14:paraId="75F82B73" w14:textId="77777777" w:rsidTr="00BA08E0">
                        <w:trPr>
                          <w:trHeight w:val="1554"/>
                        </w:trPr>
                        <w:tc>
                          <w:tcPr>
                            <w:tcW w:w="1439" w:type="pct"/>
                            <w:vAlign w:val="bottom"/>
                          </w:tcPr>
                          <w:bookmarkStart w:id="14" w:name="Cover3" w:colFirst="0" w:colLast="2"/>
                          <w:bookmarkStart w:id="15" w:name="CoverTable2"/>
                          <w:p w14:paraId="1A3141AA" w14:textId="59A08A5B" w:rsidR="00CF237B" w:rsidRPr="0087529F" w:rsidRDefault="00CF237B" w:rsidP="008A19FD">
                            <w:pPr>
                              <w:pStyle w:val="Coverfooter"/>
                              <w:rPr>
                                <w:color w:val="FFFFFF"/>
                              </w:rPr>
                            </w:pPr>
                            <w:r w:rsidRPr="0087529F">
                              <w:rPr>
                                <w:color w:val="FFFFFF"/>
                              </w:rPr>
                              <w:fldChar w:fldCharType="begin"/>
                            </w:r>
                            <w:r w:rsidRPr="0087529F">
                              <w:rPr>
                                <w:color w:val="FFFFFF"/>
                              </w:rPr>
                              <w:instrText xml:space="preserve"> DOCPROPERTY  FooterClientAddress \* MERGEFORMAT </w:instrText>
                            </w:r>
                            <w:r w:rsidRPr="0087529F">
                              <w:rPr>
                                <w:color w:val="FFFFFF"/>
                              </w:rPr>
                              <w:fldChar w:fldCharType="end"/>
                            </w:r>
                          </w:p>
                        </w:tc>
                        <w:tc>
                          <w:tcPr>
                            <w:tcW w:w="1598" w:type="pct"/>
                            <w:vAlign w:val="bottom"/>
                          </w:tcPr>
                          <w:p w14:paraId="6EB0DACA" w14:textId="3D8C2A92" w:rsidR="00CF237B" w:rsidRPr="0087529F" w:rsidRDefault="00CF237B" w:rsidP="00BA5047">
                            <w:pPr>
                              <w:pStyle w:val="Coverfooter"/>
                              <w:jc w:val="center"/>
                              <w:rPr>
                                <w:b/>
                                <w:caps/>
                                <w:color w:val="FFFFFF"/>
                                <w:sz w:val="18"/>
                                <w:szCs w:val="18"/>
                              </w:rPr>
                            </w:pPr>
                            <w:r w:rsidRPr="0087529F">
                              <w:rPr>
                                <w:b/>
                                <w:caps/>
                                <w:color w:val="FFFFFF"/>
                                <w:sz w:val="18"/>
                                <w:szCs w:val="18"/>
                              </w:rPr>
                              <w:fldChar w:fldCharType="begin"/>
                            </w:r>
                            <w:r w:rsidRPr="0087529F">
                              <w:rPr>
                                <w:b/>
                                <w:caps/>
                                <w:color w:val="FFFFFF"/>
                                <w:sz w:val="18"/>
                                <w:szCs w:val="18"/>
                              </w:rPr>
                              <w:instrText xml:space="preserve"> DOCPROPERTY  ProtectiveMarking \* MERGEFORMAT </w:instrText>
                            </w:r>
                            <w:r w:rsidRPr="0087529F">
                              <w:rPr>
                                <w:b/>
                                <w:caps/>
                                <w:color w:val="FFFFFF"/>
                                <w:sz w:val="18"/>
                                <w:szCs w:val="18"/>
                              </w:rPr>
                              <w:fldChar w:fldCharType="end"/>
                            </w:r>
                          </w:p>
                          <w:p w14:paraId="11C674E4" w14:textId="432F0D22" w:rsidR="00CF237B" w:rsidRPr="0087529F" w:rsidRDefault="00CF237B" w:rsidP="00BA5047">
                            <w:pPr>
                              <w:pStyle w:val="Coverfooter"/>
                              <w:jc w:val="center"/>
                              <w:rPr>
                                <w:color w:val="FFFFFF"/>
                              </w:rPr>
                            </w:pPr>
                            <w:r w:rsidRPr="0087529F">
                              <w:rPr>
                                <w:color w:val="FFFFFF"/>
                              </w:rPr>
                              <w:fldChar w:fldCharType="begin"/>
                            </w:r>
                            <w:r w:rsidRPr="0087529F">
                              <w:rPr>
                                <w:color w:val="FFFFFF"/>
                              </w:rPr>
                              <w:instrText xml:space="preserve"> DOCPROPERTY  Copies \* MERGEFORMAT </w:instrText>
                            </w:r>
                            <w:r w:rsidRPr="0087529F">
                              <w:rPr>
                                <w:color w:val="FFFFFF"/>
                              </w:rPr>
                              <w:fldChar w:fldCharType="end"/>
                            </w:r>
                          </w:p>
                        </w:tc>
                        <w:tc>
                          <w:tcPr>
                            <w:tcW w:w="1962" w:type="pct"/>
                            <w:vAlign w:val="bottom"/>
                          </w:tcPr>
                          <w:p w14:paraId="057F0BE6" w14:textId="6BDFDF13" w:rsidR="00CF237B" w:rsidRPr="0087529F" w:rsidRDefault="0087529F" w:rsidP="00D50E1B">
                            <w:pPr>
                              <w:pStyle w:val="Coverfooter"/>
                              <w:jc w:val="right"/>
                              <w:rPr>
                                <w:color w:val="FFFFFF"/>
                              </w:rPr>
                            </w:pPr>
                            <w:bookmarkStart w:id="16" w:name="TagLine"/>
                            <w:r w:rsidRPr="0087529F">
                              <w:rPr>
                                <w:rFonts w:ascii="Arial" w:hAnsi="Arial" w:cs="Arial"/>
                                <w:noProof/>
                                <w:color w:val="000000"/>
                              </w:rPr>
                              <w:drawing>
                                <wp:inline distT="0" distB="0" distL="0" distR="0" wp14:anchorId="067DBDB0" wp14:editId="20E2BE10">
                                  <wp:extent cx="1813498" cy="170016"/>
                                  <wp:effectExtent l="0" t="0" r="0" b="1905"/>
                                  <wp:docPr id="6"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extLst>
                                              <a:ext uri="{96DAC541-7B7A-43D3-8B79-37D633B846F1}">
                                                <asvg:svgBlip xmlns:asvg="http://schemas.microsoft.com/office/drawing/2016/SVG/main" r:embed="rId16"/>
                                              </a:ext>
                                            </a:extLst>
                                          </a:blip>
                                          <a:stretch>
                                            <a:fillRect/>
                                          </a:stretch>
                                        </pic:blipFill>
                                        <pic:spPr>
                                          <a:xfrm>
                                            <a:off x="0" y="0"/>
                                            <a:ext cx="1921744" cy="180164"/>
                                          </a:xfrm>
                                          <a:prstGeom prst="rect">
                                            <a:avLst/>
                                          </a:prstGeom>
                                        </pic:spPr>
                                      </pic:pic>
                                    </a:graphicData>
                                  </a:graphic>
                                </wp:inline>
                              </w:drawing>
                            </w:r>
                            <w:bookmarkEnd w:id="16"/>
                          </w:p>
                        </w:tc>
                      </w:tr>
                      <w:bookmarkEnd w:id="14"/>
                      <w:bookmarkEnd w:id="15"/>
                    </w:tbl>
                    <w:p w14:paraId="4CA7E41F" w14:textId="77777777" w:rsidR="00CF237B" w:rsidRDefault="00CF237B" w:rsidP="00DA79BC"/>
                  </w:txbxContent>
                </v:textbox>
                <w10:wrap anchory="page"/>
              </v:shape>
            </w:pict>
          </mc:Fallback>
        </mc:AlternateContent>
      </w:r>
    </w:p>
    <w:p w14:paraId="70519D9E" w14:textId="77777777" w:rsidR="00F12DD7" w:rsidRDefault="00F12DD7" w:rsidP="00F12DD7">
      <w:pPr>
        <w:pStyle w:val="BodyText"/>
        <w:sectPr w:rsidR="00F12DD7" w:rsidSect="007D2209">
          <w:type w:val="continuous"/>
          <w:pgSz w:w="11906" w:h="16838"/>
          <w:pgMar w:top="1134" w:right="1134" w:bottom="851" w:left="1418" w:header="567" w:footer="284" w:gutter="0"/>
          <w:cols w:num="2" w:space="284"/>
          <w:docGrid w:linePitch="360"/>
        </w:sectPr>
      </w:pPr>
    </w:p>
    <w:p w14:paraId="3CD4B883" w14:textId="3B6E2F3C" w:rsidR="00067457" w:rsidRPr="00542F08" w:rsidRDefault="0087529F" w:rsidP="001A11B6">
      <w:pPr>
        <w:pStyle w:val="Heading"/>
        <w:pageBreakBefore/>
      </w:pPr>
      <w:bookmarkStart w:id="17" w:name="Text_QualityInformation"/>
      <w:bookmarkStart w:id="18" w:name="QualityControlPage"/>
      <w:r>
        <w:lastRenderedPageBreak/>
        <w:t>Quality information</w:t>
      </w:r>
      <w:bookmarkEnd w:id="17"/>
    </w:p>
    <w:tbl>
      <w:tblPr>
        <w:tblStyle w:val="AECOMtable"/>
        <w:tblW w:w="4932" w:type="pct"/>
        <w:tblLook w:val="04A0" w:firstRow="1" w:lastRow="0" w:firstColumn="1" w:lastColumn="0" w:noHBand="0" w:noVBand="1"/>
      </w:tblPr>
      <w:tblGrid>
        <w:gridCol w:w="2089"/>
        <w:gridCol w:w="290"/>
        <w:gridCol w:w="2089"/>
        <w:gridCol w:w="290"/>
        <w:gridCol w:w="2089"/>
        <w:gridCol w:w="291"/>
        <w:gridCol w:w="2089"/>
      </w:tblGrid>
      <w:tr w:rsidR="002E69BE" w14:paraId="2EE7800A" w14:textId="77777777" w:rsidTr="002E69BE">
        <w:trPr>
          <w:cnfStyle w:val="100000000000" w:firstRow="1" w:lastRow="0" w:firstColumn="0" w:lastColumn="0" w:oddVBand="0" w:evenVBand="0" w:oddHBand="0" w:evenHBand="0" w:firstRowFirstColumn="0" w:firstRowLastColumn="0" w:lastRowFirstColumn="0" w:lastRowLastColumn="0"/>
        </w:trPr>
        <w:tc>
          <w:tcPr>
            <w:tcW w:w="2041" w:type="dxa"/>
          </w:tcPr>
          <w:p w14:paraId="47B7414C" w14:textId="2B0E647C" w:rsidR="003E5E12" w:rsidRDefault="0087529F" w:rsidP="00AA045B">
            <w:pPr>
              <w:pStyle w:val="Tabletext"/>
            </w:pPr>
            <w:bookmarkStart w:id="19" w:name="Text_PreparedBy"/>
            <w:bookmarkStart w:id="20" w:name="QITable"/>
            <w:r>
              <w:t>Prepared by</w:t>
            </w:r>
            <w:bookmarkEnd w:id="19"/>
          </w:p>
        </w:tc>
        <w:tc>
          <w:tcPr>
            <w:tcW w:w="283" w:type="dxa"/>
            <w:tcBorders>
              <w:bottom w:val="nil"/>
            </w:tcBorders>
          </w:tcPr>
          <w:p w14:paraId="5C50D3EE" w14:textId="77777777" w:rsidR="003E5E12" w:rsidRDefault="003E5E12" w:rsidP="00AA045B">
            <w:pPr>
              <w:pStyle w:val="Tabletext"/>
            </w:pPr>
          </w:p>
        </w:tc>
        <w:tc>
          <w:tcPr>
            <w:tcW w:w="2041" w:type="dxa"/>
          </w:tcPr>
          <w:p w14:paraId="23DF2AB4" w14:textId="58D6F4FE" w:rsidR="003E5E12" w:rsidRDefault="0087529F" w:rsidP="00AA045B">
            <w:pPr>
              <w:pStyle w:val="Tabletext"/>
            </w:pPr>
            <w:bookmarkStart w:id="21" w:name="Text_CheckedBy"/>
            <w:r>
              <w:t>Checked by</w:t>
            </w:r>
            <w:bookmarkEnd w:id="21"/>
          </w:p>
        </w:tc>
        <w:tc>
          <w:tcPr>
            <w:tcW w:w="283" w:type="dxa"/>
            <w:tcBorders>
              <w:bottom w:val="nil"/>
            </w:tcBorders>
          </w:tcPr>
          <w:p w14:paraId="4375FBAE" w14:textId="77777777" w:rsidR="003E5E12" w:rsidRDefault="003E5E12" w:rsidP="00AA045B">
            <w:pPr>
              <w:pStyle w:val="Tabletext"/>
            </w:pPr>
          </w:p>
        </w:tc>
        <w:tc>
          <w:tcPr>
            <w:tcW w:w="2041" w:type="dxa"/>
          </w:tcPr>
          <w:p w14:paraId="20451635" w14:textId="5EB8C051" w:rsidR="003E5E12" w:rsidRDefault="0087529F" w:rsidP="003E5E12">
            <w:pPr>
              <w:pStyle w:val="Tabletext"/>
            </w:pPr>
            <w:bookmarkStart w:id="22" w:name="Text_VerifiedBy"/>
            <w:r>
              <w:t>Verified by</w:t>
            </w:r>
            <w:bookmarkEnd w:id="22"/>
          </w:p>
        </w:tc>
        <w:tc>
          <w:tcPr>
            <w:tcW w:w="284" w:type="dxa"/>
            <w:tcBorders>
              <w:bottom w:val="nil"/>
            </w:tcBorders>
          </w:tcPr>
          <w:p w14:paraId="1571BA7C" w14:textId="77777777" w:rsidR="003E5E12" w:rsidRDefault="003E5E12">
            <w:pPr>
              <w:pStyle w:val="Tabletext"/>
            </w:pPr>
          </w:p>
        </w:tc>
        <w:tc>
          <w:tcPr>
            <w:tcW w:w="2041" w:type="dxa"/>
          </w:tcPr>
          <w:p w14:paraId="470BE89C" w14:textId="65D2EFD6" w:rsidR="003E5E12" w:rsidRDefault="0087529F">
            <w:pPr>
              <w:pStyle w:val="Tabletext"/>
            </w:pPr>
            <w:bookmarkStart w:id="23" w:name="Text_ApprovedBy"/>
            <w:r>
              <w:t>Approved by</w:t>
            </w:r>
            <w:bookmarkEnd w:id="23"/>
          </w:p>
        </w:tc>
      </w:tr>
      <w:tr w:rsidR="002E69BE" w:rsidRPr="00B45EE5" w14:paraId="551E00FD" w14:textId="77777777" w:rsidTr="002E69BE">
        <w:tc>
          <w:tcPr>
            <w:tcW w:w="2041" w:type="dxa"/>
          </w:tcPr>
          <w:p w14:paraId="4F56EE22" w14:textId="63FDB246" w:rsidR="00A40809" w:rsidRPr="00B45EE5" w:rsidRDefault="002800B7" w:rsidP="00AA045B">
            <w:pPr>
              <w:pStyle w:val="Tabletext"/>
            </w:pPr>
            <w:r>
              <w:t>J</w:t>
            </w:r>
            <w:r w:rsidR="00E47877">
              <w:t xml:space="preserve">ason </w:t>
            </w:r>
            <w:r>
              <w:t>F</w:t>
            </w:r>
            <w:r w:rsidR="00E47877">
              <w:t>ern</w:t>
            </w:r>
            <w:r w:rsidR="00764FF0">
              <w:t>s</w:t>
            </w:r>
          </w:p>
          <w:p w14:paraId="2069BBB5" w14:textId="10769EE3" w:rsidR="002073DF" w:rsidRPr="00B45EE5" w:rsidRDefault="002073DF" w:rsidP="00AA045B">
            <w:pPr>
              <w:pStyle w:val="Tabletext"/>
            </w:pPr>
            <w:r w:rsidRPr="00B45EE5">
              <w:t xml:space="preserve">Air Quality Consultant </w:t>
            </w:r>
          </w:p>
          <w:p w14:paraId="4C9E1656" w14:textId="77777777" w:rsidR="003E5E12" w:rsidRPr="00B45EE5" w:rsidRDefault="003E5E12" w:rsidP="00AA045B">
            <w:pPr>
              <w:pStyle w:val="Tabletext"/>
            </w:pPr>
          </w:p>
        </w:tc>
        <w:tc>
          <w:tcPr>
            <w:tcW w:w="283" w:type="dxa"/>
            <w:tcBorders>
              <w:top w:val="nil"/>
              <w:bottom w:val="nil"/>
            </w:tcBorders>
          </w:tcPr>
          <w:p w14:paraId="67CBC978" w14:textId="77777777" w:rsidR="003E5E12" w:rsidRPr="00B45EE5" w:rsidRDefault="003E5E12" w:rsidP="00AA045B">
            <w:pPr>
              <w:pStyle w:val="Tabletext"/>
            </w:pPr>
          </w:p>
        </w:tc>
        <w:tc>
          <w:tcPr>
            <w:tcW w:w="2041" w:type="dxa"/>
          </w:tcPr>
          <w:p w14:paraId="6CE6BD35" w14:textId="38A31111" w:rsidR="00A40809" w:rsidRPr="00B45EE5" w:rsidRDefault="002800B7" w:rsidP="00A40809">
            <w:pPr>
              <w:pStyle w:val="Tabletext"/>
            </w:pPr>
            <w:r>
              <w:t>E</w:t>
            </w:r>
            <w:r w:rsidR="00764FF0">
              <w:t xml:space="preserve">lisa </w:t>
            </w:r>
            <w:r>
              <w:t>U</w:t>
            </w:r>
            <w:r w:rsidR="00764FF0">
              <w:t>ginet</w:t>
            </w:r>
          </w:p>
          <w:p w14:paraId="28930DD1" w14:textId="77777777" w:rsidR="003E5E12" w:rsidRDefault="001D052A" w:rsidP="00AA045B">
            <w:pPr>
              <w:pStyle w:val="Tabletext"/>
            </w:pPr>
            <w:r w:rsidRPr="00B45EE5">
              <w:t>Senior Air Quality Consultant</w:t>
            </w:r>
          </w:p>
          <w:p w14:paraId="73E76627" w14:textId="77777777" w:rsidR="00420778" w:rsidRDefault="00420778" w:rsidP="00AA045B">
            <w:pPr>
              <w:pStyle w:val="Tabletext"/>
            </w:pPr>
          </w:p>
          <w:p w14:paraId="3AF9B8C6" w14:textId="77777777" w:rsidR="00420778" w:rsidRDefault="00420778" w:rsidP="00AA045B">
            <w:pPr>
              <w:pStyle w:val="Tabletext"/>
            </w:pPr>
            <w:r>
              <w:t>Leticia Braga</w:t>
            </w:r>
          </w:p>
          <w:p w14:paraId="0FFCE47A" w14:textId="136FBDF3" w:rsidR="00420778" w:rsidRPr="00B45EE5" w:rsidRDefault="00420778" w:rsidP="00AA045B">
            <w:pPr>
              <w:pStyle w:val="Tabletext"/>
            </w:pPr>
            <w:r>
              <w:t>Principal Environmental Consultant – Impact Assessments</w:t>
            </w:r>
          </w:p>
        </w:tc>
        <w:tc>
          <w:tcPr>
            <w:tcW w:w="283" w:type="dxa"/>
            <w:tcBorders>
              <w:top w:val="nil"/>
              <w:bottom w:val="nil"/>
            </w:tcBorders>
          </w:tcPr>
          <w:p w14:paraId="73D5D4AA" w14:textId="77777777" w:rsidR="003E5E12" w:rsidRPr="00B45EE5" w:rsidRDefault="003E5E12" w:rsidP="00AA045B">
            <w:pPr>
              <w:pStyle w:val="Tabletext"/>
            </w:pPr>
          </w:p>
        </w:tc>
        <w:tc>
          <w:tcPr>
            <w:tcW w:w="2041" w:type="dxa"/>
          </w:tcPr>
          <w:p w14:paraId="6C7C6E79" w14:textId="72D2E187" w:rsidR="00A40809" w:rsidRPr="00B45EE5" w:rsidRDefault="002800B7" w:rsidP="00A40809">
            <w:pPr>
              <w:pStyle w:val="Tabletext"/>
            </w:pPr>
            <w:r>
              <w:t>A</w:t>
            </w:r>
            <w:r w:rsidR="00764FF0">
              <w:t xml:space="preserve">ngela </w:t>
            </w:r>
            <w:r>
              <w:t>G</w:t>
            </w:r>
            <w:r w:rsidR="00764FF0">
              <w:t>raham</w:t>
            </w:r>
          </w:p>
          <w:p w14:paraId="391D4257" w14:textId="44EC0968" w:rsidR="003E5E12" w:rsidRDefault="007C7AE3" w:rsidP="00AA045B">
            <w:pPr>
              <w:pStyle w:val="Tabletext"/>
            </w:pPr>
            <w:r w:rsidRPr="00B45EE5">
              <w:t>Technical Director</w:t>
            </w:r>
            <w:r w:rsidR="00F77626" w:rsidRPr="00B45EE5">
              <w:t xml:space="preserve"> </w:t>
            </w:r>
            <w:r w:rsidR="00B45EE5">
              <w:t>–</w:t>
            </w:r>
            <w:r w:rsidRPr="00B45EE5">
              <w:t xml:space="preserve"> Permitting</w:t>
            </w:r>
            <w:r w:rsidR="00B45EE5">
              <w:t xml:space="preserve"> and Process Safety</w:t>
            </w:r>
          </w:p>
          <w:p w14:paraId="3D1785D8" w14:textId="77777777" w:rsidR="002800B7" w:rsidRDefault="002800B7" w:rsidP="00AA045B">
            <w:pPr>
              <w:pStyle w:val="Tabletext"/>
            </w:pPr>
          </w:p>
          <w:p w14:paraId="094A3BD0" w14:textId="3CB2B930" w:rsidR="002800B7" w:rsidRDefault="00E8659E" w:rsidP="00AA045B">
            <w:pPr>
              <w:pStyle w:val="Tabletext"/>
            </w:pPr>
            <w:r>
              <w:t>Simon Wild</w:t>
            </w:r>
          </w:p>
          <w:p w14:paraId="6D4C6E5F" w14:textId="6E3D67ED" w:rsidR="002800B7" w:rsidRPr="00B45EE5" w:rsidRDefault="002800B7" w:rsidP="00AA045B">
            <w:pPr>
              <w:pStyle w:val="Tabletext"/>
            </w:pPr>
            <w:r>
              <w:t>Technical Director – Impact Assessment</w:t>
            </w:r>
          </w:p>
        </w:tc>
        <w:tc>
          <w:tcPr>
            <w:tcW w:w="284" w:type="dxa"/>
            <w:tcBorders>
              <w:top w:val="nil"/>
              <w:bottom w:val="nil"/>
            </w:tcBorders>
          </w:tcPr>
          <w:p w14:paraId="28333304" w14:textId="77777777" w:rsidR="003E5E12" w:rsidRPr="00B45EE5" w:rsidRDefault="003E5E12">
            <w:pPr>
              <w:pStyle w:val="Tabletext"/>
            </w:pPr>
          </w:p>
        </w:tc>
        <w:tc>
          <w:tcPr>
            <w:tcW w:w="2041" w:type="dxa"/>
          </w:tcPr>
          <w:p w14:paraId="6A655579" w14:textId="2F773E2E" w:rsidR="00A40809" w:rsidRPr="00B45EE5" w:rsidRDefault="005A6476" w:rsidP="00A40809">
            <w:pPr>
              <w:pStyle w:val="Tabletext"/>
            </w:pPr>
            <w:r>
              <w:t xml:space="preserve">Richard </w:t>
            </w:r>
            <w:r w:rsidRPr="005A6476">
              <w:t>OCallaghan</w:t>
            </w:r>
          </w:p>
          <w:p w14:paraId="4F38E7B6" w14:textId="4C8CEA95" w:rsidR="003E5E12" w:rsidRPr="00B45EE5" w:rsidRDefault="00A40809" w:rsidP="00A40809">
            <w:pPr>
              <w:pStyle w:val="Tabletext"/>
            </w:pPr>
            <w:r w:rsidRPr="00B45EE5">
              <w:t>Project Director</w:t>
            </w:r>
          </w:p>
        </w:tc>
      </w:tr>
      <w:tr w:rsidR="002E69BE" w:rsidRPr="00B45EE5" w14:paraId="2117FD66" w14:textId="77777777" w:rsidTr="002E69BE">
        <w:tc>
          <w:tcPr>
            <w:tcW w:w="2041" w:type="dxa"/>
          </w:tcPr>
          <w:p w14:paraId="7B18DBDF" w14:textId="3DB41631" w:rsidR="003E5E12" w:rsidRPr="00B45EE5" w:rsidRDefault="003E5E12" w:rsidP="00AA045B">
            <w:pPr>
              <w:pStyle w:val="Tabletext"/>
            </w:pPr>
            <w:bookmarkStart w:id="24" w:name="Contact2"/>
            <w:bookmarkEnd w:id="24"/>
          </w:p>
        </w:tc>
        <w:tc>
          <w:tcPr>
            <w:tcW w:w="283" w:type="dxa"/>
            <w:tcBorders>
              <w:top w:val="nil"/>
              <w:bottom w:val="nil"/>
            </w:tcBorders>
          </w:tcPr>
          <w:p w14:paraId="03B804C8" w14:textId="77777777" w:rsidR="003E5E12" w:rsidRPr="00B45EE5" w:rsidRDefault="003E5E12" w:rsidP="00AA045B">
            <w:pPr>
              <w:pStyle w:val="Tabletext"/>
            </w:pPr>
          </w:p>
        </w:tc>
        <w:tc>
          <w:tcPr>
            <w:tcW w:w="2041" w:type="dxa"/>
          </w:tcPr>
          <w:p w14:paraId="459C2F6B" w14:textId="7B390A09" w:rsidR="003E5E12" w:rsidRPr="00B45EE5" w:rsidRDefault="003E5E12" w:rsidP="00AA045B">
            <w:pPr>
              <w:pStyle w:val="Tabletext"/>
            </w:pPr>
            <w:bookmarkStart w:id="25" w:name="CheckedBy"/>
            <w:bookmarkEnd w:id="25"/>
          </w:p>
        </w:tc>
        <w:tc>
          <w:tcPr>
            <w:tcW w:w="283" w:type="dxa"/>
            <w:tcBorders>
              <w:top w:val="nil"/>
              <w:bottom w:val="nil"/>
            </w:tcBorders>
          </w:tcPr>
          <w:p w14:paraId="13D3EFA5" w14:textId="77777777" w:rsidR="003E5E12" w:rsidRPr="00B45EE5" w:rsidRDefault="003E5E12" w:rsidP="00AA045B">
            <w:pPr>
              <w:pStyle w:val="Tabletext"/>
            </w:pPr>
          </w:p>
        </w:tc>
        <w:tc>
          <w:tcPr>
            <w:tcW w:w="2041" w:type="dxa"/>
          </w:tcPr>
          <w:p w14:paraId="449D4344" w14:textId="5642EF1C" w:rsidR="003E5E12" w:rsidRPr="00B45EE5" w:rsidRDefault="003E5E12" w:rsidP="003E5E12">
            <w:pPr>
              <w:pStyle w:val="Tabletext"/>
            </w:pPr>
            <w:bookmarkStart w:id="26" w:name="VerifiedBy"/>
            <w:bookmarkEnd w:id="26"/>
          </w:p>
        </w:tc>
        <w:tc>
          <w:tcPr>
            <w:tcW w:w="284" w:type="dxa"/>
            <w:tcBorders>
              <w:top w:val="nil"/>
              <w:bottom w:val="nil"/>
            </w:tcBorders>
          </w:tcPr>
          <w:p w14:paraId="602A55A0" w14:textId="77777777" w:rsidR="003E5E12" w:rsidRPr="00B45EE5" w:rsidRDefault="003E5E12">
            <w:pPr>
              <w:pStyle w:val="Tabletext"/>
            </w:pPr>
          </w:p>
        </w:tc>
        <w:tc>
          <w:tcPr>
            <w:tcW w:w="2041" w:type="dxa"/>
          </w:tcPr>
          <w:p w14:paraId="5323D7BB" w14:textId="077C6CB4" w:rsidR="003E5E12" w:rsidRPr="00B45EE5" w:rsidRDefault="003E5E12">
            <w:pPr>
              <w:pStyle w:val="Tabletext"/>
            </w:pPr>
            <w:bookmarkStart w:id="27" w:name="ApprovedBy"/>
            <w:bookmarkEnd w:id="27"/>
          </w:p>
        </w:tc>
      </w:tr>
      <w:bookmarkEnd w:id="20"/>
    </w:tbl>
    <w:p w14:paraId="3060EB14" w14:textId="77777777" w:rsidR="00067457" w:rsidRPr="00B45EE5" w:rsidRDefault="00067457" w:rsidP="00AA045B">
      <w:pPr>
        <w:pStyle w:val="BodyText"/>
      </w:pPr>
    </w:p>
    <w:p w14:paraId="11271A83" w14:textId="77777777" w:rsidR="00067457" w:rsidRPr="00B45EE5" w:rsidRDefault="00067457" w:rsidP="00067457"/>
    <w:p w14:paraId="2430C891" w14:textId="409707AC" w:rsidR="00067457" w:rsidRPr="00B45EE5" w:rsidRDefault="0087529F" w:rsidP="00067457">
      <w:pPr>
        <w:pStyle w:val="Heading"/>
      </w:pPr>
      <w:bookmarkStart w:id="28" w:name="Text_RevisionHistory"/>
      <w:r w:rsidRPr="00B45EE5">
        <w:t>Revision History</w:t>
      </w:r>
      <w:bookmarkEnd w:id="28"/>
    </w:p>
    <w:tbl>
      <w:tblPr>
        <w:tblStyle w:val="AECOMtable"/>
        <w:tblW w:w="4950" w:type="pct"/>
        <w:tblLook w:val="04A0" w:firstRow="1" w:lastRow="0" w:firstColumn="1" w:lastColumn="0" w:noHBand="0" w:noVBand="1"/>
      </w:tblPr>
      <w:tblGrid>
        <w:gridCol w:w="1544"/>
        <w:gridCol w:w="1544"/>
        <w:gridCol w:w="1543"/>
        <w:gridCol w:w="1543"/>
        <w:gridCol w:w="1543"/>
        <w:gridCol w:w="1543"/>
      </w:tblGrid>
      <w:tr w:rsidR="00067457" w:rsidRPr="00B45EE5" w14:paraId="04B91AA3" w14:textId="77777777" w:rsidTr="00A40809">
        <w:trPr>
          <w:cnfStyle w:val="100000000000" w:firstRow="1" w:lastRow="0" w:firstColumn="0" w:lastColumn="0" w:oddVBand="0" w:evenVBand="0" w:oddHBand="0" w:evenHBand="0" w:firstRowFirstColumn="0" w:firstRowLastColumn="0" w:lastRowFirstColumn="0" w:lastRowLastColumn="0"/>
        </w:trPr>
        <w:tc>
          <w:tcPr>
            <w:tcW w:w="1544" w:type="dxa"/>
          </w:tcPr>
          <w:p w14:paraId="7E8B2642" w14:textId="77777777" w:rsidR="00067457" w:rsidRPr="00B45EE5" w:rsidRDefault="00067457" w:rsidP="00AA045B">
            <w:pPr>
              <w:pStyle w:val="Tabletext"/>
            </w:pPr>
            <w:bookmarkStart w:id="29" w:name="Text_Revision"/>
            <w:r w:rsidRPr="00B45EE5">
              <w:t>Revision</w:t>
            </w:r>
            <w:bookmarkEnd w:id="29"/>
          </w:p>
        </w:tc>
        <w:tc>
          <w:tcPr>
            <w:tcW w:w="1544" w:type="dxa"/>
          </w:tcPr>
          <w:p w14:paraId="3B47AC09" w14:textId="20660B80" w:rsidR="00067457" w:rsidRPr="00B45EE5" w:rsidRDefault="0087529F" w:rsidP="00AA045B">
            <w:pPr>
              <w:pStyle w:val="Tabletext"/>
              <w:rPr>
                <w:b w:val="0"/>
              </w:rPr>
            </w:pPr>
            <w:bookmarkStart w:id="30" w:name="Text_RevisionDate"/>
            <w:r w:rsidRPr="00B45EE5">
              <w:t>Revision date</w:t>
            </w:r>
            <w:bookmarkEnd w:id="30"/>
          </w:p>
        </w:tc>
        <w:tc>
          <w:tcPr>
            <w:tcW w:w="1543" w:type="dxa"/>
          </w:tcPr>
          <w:p w14:paraId="479FAB10" w14:textId="77777777" w:rsidR="00067457" w:rsidRPr="00B45EE5" w:rsidRDefault="00067457" w:rsidP="00AA045B">
            <w:pPr>
              <w:pStyle w:val="Tabletext"/>
            </w:pPr>
            <w:bookmarkStart w:id="31" w:name="Text_Details"/>
            <w:r w:rsidRPr="00B45EE5">
              <w:t>Details</w:t>
            </w:r>
            <w:bookmarkEnd w:id="31"/>
          </w:p>
        </w:tc>
        <w:tc>
          <w:tcPr>
            <w:tcW w:w="1543" w:type="dxa"/>
          </w:tcPr>
          <w:p w14:paraId="53725DD4" w14:textId="77777777" w:rsidR="00067457" w:rsidRPr="00B45EE5" w:rsidRDefault="00067457" w:rsidP="00AA045B">
            <w:pPr>
              <w:pStyle w:val="Tabletext"/>
            </w:pPr>
            <w:bookmarkStart w:id="32" w:name="Text_Authorized"/>
            <w:r w:rsidRPr="00B45EE5">
              <w:t>Authori</w:t>
            </w:r>
            <w:r w:rsidR="00A77BD6" w:rsidRPr="00B45EE5">
              <w:t>z</w:t>
            </w:r>
            <w:r w:rsidRPr="00B45EE5">
              <w:t>ed</w:t>
            </w:r>
            <w:bookmarkEnd w:id="32"/>
          </w:p>
        </w:tc>
        <w:tc>
          <w:tcPr>
            <w:tcW w:w="1543" w:type="dxa"/>
          </w:tcPr>
          <w:p w14:paraId="65865FC3" w14:textId="77777777" w:rsidR="00067457" w:rsidRPr="00B45EE5" w:rsidRDefault="00067457" w:rsidP="00AA045B">
            <w:pPr>
              <w:pStyle w:val="Tabletext"/>
            </w:pPr>
            <w:bookmarkStart w:id="33" w:name="Text_Name"/>
            <w:r w:rsidRPr="00B45EE5">
              <w:t>Name</w:t>
            </w:r>
            <w:bookmarkEnd w:id="33"/>
          </w:p>
        </w:tc>
        <w:tc>
          <w:tcPr>
            <w:tcW w:w="1543" w:type="dxa"/>
          </w:tcPr>
          <w:p w14:paraId="6F149C32" w14:textId="77777777" w:rsidR="00067457" w:rsidRPr="00B45EE5" w:rsidRDefault="00067457" w:rsidP="00AA045B">
            <w:pPr>
              <w:pStyle w:val="Tabletext"/>
            </w:pPr>
            <w:bookmarkStart w:id="34" w:name="Text_Position"/>
            <w:r w:rsidRPr="00B45EE5">
              <w:t>Position</w:t>
            </w:r>
            <w:bookmarkEnd w:id="34"/>
          </w:p>
        </w:tc>
      </w:tr>
      <w:tr w:rsidR="00A40809" w:rsidRPr="00B45EE5" w14:paraId="066C8F6C" w14:textId="77777777" w:rsidTr="00A40809">
        <w:tc>
          <w:tcPr>
            <w:tcW w:w="1544" w:type="dxa"/>
          </w:tcPr>
          <w:p w14:paraId="4C3F850E" w14:textId="3F05D33C" w:rsidR="00A40809" w:rsidRPr="00B45EE5" w:rsidRDefault="00A40809" w:rsidP="00A40809">
            <w:pPr>
              <w:pStyle w:val="Tabletext"/>
            </w:pPr>
            <w:bookmarkStart w:id="35" w:name="RevisionStatus"/>
            <w:bookmarkEnd w:id="35"/>
            <w:r w:rsidRPr="00B45EE5">
              <w:t>0</w:t>
            </w:r>
          </w:p>
        </w:tc>
        <w:tc>
          <w:tcPr>
            <w:tcW w:w="1544" w:type="dxa"/>
          </w:tcPr>
          <w:p w14:paraId="3BE03983" w14:textId="6D2FDAAE" w:rsidR="00A40809" w:rsidRPr="00B45EE5" w:rsidRDefault="00E8659E" w:rsidP="00A40809">
            <w:pPr>
              <w:pStyle w:val="Tabletext"/>
            </w:pPr>
            <w:r>
              <w:t>07</w:t>
            </w:r>
            <w:r w:rsidR="00A40809" w:rsidRPr="00B45EE5">
              <w:t>/</w:t>
            </w:r>
            <w:r w:rsidR="005A6476">
              <w:t>0</w:t>
            </w:r>
            <w:r>
              <w:t>9</w:t>
            </w:r>
            <w:r w:rsidR="00A40809" w:rsidRPr="00B45EE5">
              <w:t>/2026</w:t>
            </w:r>
          </w:p>
        </w:tc>
        <w:tc>
          <w:tcPr>
            <w:tcW w:w="1543" w:type="dxa"/>
          </w:tcPr>
          <w:p w14:paraId="240B1EBF" w14:textId="42B3877E" w:rsidR="00A40809" w:rsidRPr="00B45EE5" w:rsidRDefault="00A40809" w:rsidP="00A40809">
            <w:pPr>
              <w:pStyle w:val="Tabletext"/>
            </w:pPr>
            <w:r w:rsidRPr="00B45EE5">
              <w:t>Draft</w:t>
            </w:r>
          </w:p>
        </w:tc>
        <w:tc>
          <w:tcPr>
            <w:tcW w:w="1543" w:type="dxa"/>
          </w:tcPr>
          <w:p w14:paraId="59A75C27" w14:textId="21B94447" w:rsidR="00A40809" w:rsidRPr="00B45EE5" w:rsidRDefault="00A40809" w:rsidP="00A40809">
            <w:pPr>
              <w:pStyle w:val="Tabletext"/>
            </w:pPr>
            <w:r w:rsidRPr="00B45EE5">
              <w:t>N</w:t>
            </w:r>
          </w:p>
        </w:tc>
        <w:tc>
          <w:tcPr>
            <w:tcW w:w="1543" w:type="dxa"/>
          </w:tcPr>
          <w:p w14:paraId="04872B0C" w14:textId="45A2D5A6" w:rsidR="00A40809" w:rsidRPr="00B45EE5" w:rsidRDefault="002800B7" w:rsidP="00A40809">
            <w:pPr>
              <w:pStyle w:val="Tabletext"/>
            </w:pPr>
            <w:r>
              <w:t>RO’C</w:t>
            </w:r>
          </w:p>
        </w:tc>
        <w:tc>
          <w:tcPr>
            <w:tcW w:w="1543" w:type="dxa"/>
          </w:tcPr>
          <w:p w14:paraId="508B2DE5" w14:textId="4520B3F6" w:rsidR="00A40809" w:rsidRPr="00B45EE5" w:rsidRDefault="00A40809" w:rsidP="00A40809">
            <w:pPr>
              <w:pStyle w:val="Tabletext"/>
            </w:pPr>
            <w:r w:rsidRPr="00B45EE5">
              <w:t>Project Director</w:t>
            </w:r>
          </w:p>
        </w:tc>
      </w:tr>
      <w:tr w:rsidR="00A40809" w:rsidRPr="00542F08" w14:paraId="3AE42660" w14:textId="77777777" w:rsidTr="00A40809">
        <w:tc>
          <w:tcPr>
            <w:tcW w:w="1544" w:type="dxa"/>
          </w:tcPr>
          <w:p w14:paraId="0DC6E4ED" w14:textId="5FE52F4F" w:rsidR="00A40809" w:rsidRPr="00B45EE5" w:rsidRDefault="00A40809" w:rsidP="00A40809">
            <w:pPr>
              <w:pStyle w:val="Tabletext"/>
            </w:pPr>
          </w:p>
        </w:tc>
        <w:tc>
          <w:tcPr>
            <w:tcW w:w="1544" w:type="dxa"/>
          </w:tcPr>
          <w:p w14:paraId="2248FE8A" w14:textId="7654CB54" w:rsidR="00A40809" w:rsidRPr="00B45EE5" w:rsidRDefault="00A40809" w:rsidP="00A40809">
            <w:pPr>
              <w:pStyle w:val="Tabletext"/>
            </w:pPr>
          </w:p>
        </w:tc>
        <w:tc>
          <w:tcPr>
            <w:tcW w:w="1543" w:type="dxa"/>
          </w:tcPr>
          <w:p w14:paraId="6559AE93" w14:textId="2E09495B" w:rsidR="00A40809" w:rsidRPr="00B45EE5" w:rsidRDefault="00A40809" w:rsidP="00A40809">
            <w:pPr>
              <w:pStyle w:val="Tabletext"/>
            </w:pPr>
          </w:p>
        </w:tc>
        <w:tc>
          <w:tcPr>
            <w:tcW w:w="1543" w:type="dxa"/>
          </w:tcPr>
          <w:p w14:paraId="3C8B3151" w14:textId="354FFB01" w:rsidR="00A40809" w:rsidRPr="00B45EE5" w:rsidRDefault="00A40809" w:rsidP="00A40809">
            <w:pPr>
              <w:pStyle w:val="Tabletext"/>
            </w:pPr>
          </w:p>
        </w:tc>
        <w:tc>
          <w:tcPr>
            <w:tcW w:w="1543" w:type="dxa"/>
          </w:tcPr>
          <w:p w14:paraId="42EFCA31" w14:textId="585D3220" w:rsidR="00A40809" w:rsidRPr="00B45EE5" w:rsidRDefault="00A40809" w:rsidP="00A40809">
            <w:pPr>
              <w:pStyle w:val="Tabletext"/>
            </w:pPr>
          </w:p>
        </w:tc>
        <w:tc>
          <w:tcPr>
            <w:tcW w:w="1543" w:type="dxa"/>
          </w:tcPr>
          <w:p w14:paraId="042C8482" w14:textId="0A58CA86" w:rsidR="00A40809" w:rsidRDefault="00A40809" w:rsidP="00A40809">
            <w:pPr>
              <w:pStyle w:val="Tabletext"/>
            </w:pPr>
          </w:p>
        </w:tc>
      </w:tr>
      <w:tr w:rsidR="00067457" w:rsidRPr="00542F08" w14:paraId="215CAB68" w14:textId="77777777" w:rsidTr="00A40809">
        <w:tc>
          <w:tcPr>
            <w:tcW w:w="1544" w:type="dxa"/>
            <w:tcBorders>
              <w:bottom w:val="single" w:sz="4" w:space="0" w:color="auto"/>
            </w:tcBorders>
          </w:tcPr>
          <w:p w14:paraId="5DA0FEB9" w14:textId="77777777" w:rsidR="00067457" w:rsidRPr="00542F08" w:rsidRDefault="00067457" w:rsidP="00AA045B">
            <w:pPr>
              <w:pStyle w:val="Tabletext"/>
            </w:pPr>
          </w:p>
        </w:tc>
        <w:tc>
          <w:tcPr>
            <w:tcW w:w="1544" w:type="dxa"/>
            <w:tcBorders>
              <w:bottom w:val="single" w:sz="4" w:space="0" w:color="auto"/>
            </w:tcBorders>
          </w:tcPr>
          <w:p w14:paraId="0458F4D9" w14:textId="77777777" w:rsidR="00067457" w:rsidRDefault="00067457" w:rsidP="00AA045B">
            <w:pPr>
              <w:pStyle w:val="Tabletext"/>
            </w:pPr>
          </w:p>
        </w:tc>
        <w:tc>
          <w:tcPr>
            <w:tcW w:w="1543" w:type="dxa"/>
            <w:tcBorders>
              <w:bottom w:val="single" w:sz="4" w:space="0" w:color="auto"/>
            </w:tcBorders>
          </w:tcPr>
          <w:p w14:paraId="63B5E30D" w14:textId="77777777" w:rsidR="00067457" w:rsidRDefault="00067457" w:rsidP="00AA045B">
            <w:pPr>
              <w:pStyle w:val="Tabletext"/>
            </w:pPr>
          </w:p>
        </w:tc>
        <w:tc>
          <w:tcPr>
            <w:tcW w:w="1543" w:type="dxa"/>
            <w:tcBorders>
              <w:bottom w:val="single" w:sz="4" w:space="0" w:color="auto"/>
            </w:tcBorders>
          </w:tcPr>
          <w:p w14:paraId="53D448BB" w14:textId="77777777" w:rsidR="00067457" w:rsidRPr="00542F08" w:rsidRDefault="00067457" w:rsidP="00AA045B">
            <w:pPr>
              <w:pStyle w:val="Tabletext"/>
            </w:pPr>
          </w:p>
        </w:tc>
        <w:tc>
          <w:tcPr>
            <w:tcW w:w="1543" w:type="dxa"/>
            <w:tcBorders>
              <w:bottom w:val="single" w:sz="4" w:space="0" w:color="auto"/>
            </w:tcBorders>
          </w:tcPr>
          <w:p w14:paraId="11F71410" w14:textId="77777777" w:rsidR="00067457" w:rsidRDefault="00067457" w:rsidP="00AA045B">
            <w:pPr>
              <w:pStyle w:val="Tabletext"/>
            </w:pPr>
          </w:p>
        </w:tc>
        <w:tc>
          <w:tcPr>
            <w:tcW w:w="1543" w:type="dxa"/>
            <w:tcBorders>
              <w:bottom w:val="single" w:sz="4" w:space="0" w:color="auto"/>
            </w:tcBorders>
          </w:tcPr>
          <w:p w14:paraId="4EC97364" w14:textId="77777777" w:rsidR="00067457" w:rsidRDefault="00067457" w:rsidP="00AA045B">
            <w:pPr>
              <w:pStyle w:val="Tabletext"/>
            </w:pPr>
          </w:p>
        </w:tc>
      </w:tr>
      <w:tr w:rsidR="00067457" w:rsidRPr="00542F08" w14:paraId="5FCC85B1" w14:textId="77777777" w:rsidTr="00A40809">
        <w:tc>
          <w:tcPr>
            <w:tcW w:w="1544" w:type="dxa"/>
            <w:tcBorders>
              <w:top w:val="single" w:sz="4" w:space="0" w:color="auto"/>
              <w:bottom w:val="single" w:sz="4" w:space="0" w:color="auto"/>
            </w:tcBorders>
          </w:tcPr>
          <w:p w14:paraId="7B2873B8" w14:textId="77777777" w:rsidR="00067457" w:rsidRPr="00542F08" w:rsidRDefault="00067457" w:rsidP="00AA045B">
            <w:pPr>
              <w:pStyle w:val="Tabletext"/>
            </w:pPr>
          </w:p>
        </w:tc>
        <w:tc>
          <w:tcPr>
            <w:tcW w:w="1544" w:type="dxa"/>
            <w:tcBorders>
              <w:top w:val="single" w:sz="4" w:space="0" w:color="auto"/>
              <w:bottom w:val="single" w:sz="4" w:space="0" w:color="auto"/>
            </w:tcBorders>
          </w:tcPr>
          <w:p w14:paraId="59EC49DC" w14:textId="77777777" w:rsidR="00067457" w:rsidRDefault="00067457" w:rsidP="00AA045B">
            <w:pPr>
              <w:pStyle w:val="Tabletext"/>
            </w:pPr>
          </w:p>
        </w:tc>
        <w:tc>
          <w:tcPr>
            <w:tcW w:w="1543" w:type="dxa"/>
            <w:tcBorders>
              <w:top w:val="single" w:sz="4" w:space="0" w:color="auto"/>
              <w:bottom w:val="single" w:sz="4" w:space="0" w:color="auto"/>
            </w:tcBorders>
          </w:tcPr>
          <w:p w14:paraId="58DA6C0A" w14:textId="77777777" w:rsidR="00067457" w:rsidRDefault="00067457" w:rsidP="00AA045B">
            <w:pPr>
              <w:pStyle w:val="Tabletext"/>
            </w:pPr>
          </w:p>
        </w:tc>
        <w:tc>
          <w:tcPr>
            <w:tcW w:w="1543" w:type="dxa"/>
            <w:tcBorders>
              <w:top w:val="single" w:sz="4" w:space="0" w:color="auto"/>
              <w:bottom w:val="single" w:sz="4" w:space="0" w:color="auto"/>
            </w:tcBorders>
          </w:tcPr>
          <w:p w14:paraId="4E6FA3C8" w14:textId="77777777" w:rsidR="00067457" w:rsidRPr="00542F08" w:rsidRDefault="00067457" w:rsidP="00AA045B">
            <w:pPr>
              <w:pStyle w:val="Tabletext"/>
            </w:pPr>
          </w:p>
        </w:tc>
        <w:tc>
          <w:tcPr>
            <w:tcW w:w="1543" w:type="dxa"/>
            <w:tcBorders>
              <w:top w:val="single" w:sz="4" w:space="0" w:color="auto"/>
              <w:bottom w:val="single" w:sz="4" w:space="0" w:color="auto"/>
            </w:tcBorders>
          </w:tcPr>
          <w:p w14:paraId="2BEB1BEE" w14:textId="77777777" w:rsidR="00067457" w:rsidRDefault="00067457" w:rsidP="00AA045B">
            <w:pPr>
              <w:pStyle w:val="Tabletext"/>
            </w:pPr>
          </w:p>
        </w:tc>
        <w:tc>
          <w:tcPr>
            <w:tcW w:w="1543" w:type="dxa"/>
            <w:tcBorders>
              <w:top w:val="single" w:sz="4" w:space="0" w:color="auto"/>
              <w:bottom w:val="single" w:sz="4" w:space="0" w:color="auto"/>
            </w:tcBorders>
          </w:tcPr>
          <w:p w14:paraId="759B3EFE" w14:textId="77777777" w:rsidR="00067457" w:rsidRDefault="00067457" w:rsidP="00AA045B">
            <w:pPr>
              <w:pStyle w:val="Tabletext"/>
            </w:pPr>
          </w:p>
        </w:tc>
      </w:tr>
    </w:tbl>
    <w:p w14:paraId="4431B509" w14:textId="77777777" w:rsidR="00067457" w:rsidRDefault="00067457" w:rsidP="00067457">
      <w:pPr>
        <w:tabs>
          <w:tab w:val="clear" w:pos="284"/>
        </w:tabs>
        <w:spacing w:line="240" w:lineRule="auto"/>
      </w:pPr>
    </w:p>
    <w:p w14:paraId="41FAFD06" w14:textId="77777777" w:rsidR="00067457" w:rsidRDefault="00067457" w:rsidP="00067457">
      <w:pPr>
        <w:tabs>
          <w:tab w:val="clear" w:pos="284"/>
        </w:tabs>
        <w:spacing w:line="240" w:lineRule="auto"/>
      </w:pPr>
    </w:p>
    <w:p w14:paraId="54C9B874" w14:textId="3177248B" w:rsidR="00067457" w:rsidRDefault="0087529F" w:rsidP="00067457">
      <w:pPr>
        <w:pStyle w:val="Heading"/>
      </w:pPr>
      <w:bookmarkStart w:id="36" w:name="Text_DistributionList"/>
      <w:r>
        <w:t>Distribution List</w:t>
      </w:r>
      <w:bookmarkEnd w:id="36"/>
    </w:p>
    <w:tbl>
      <w:tblPr>
        <w:tblStyle w:val="AECOMtable"/>
        <w:tblW w:w="4963" w:type="pct"/>
        <w:tblLook w:val="04A0" w:firstRow="1" w:lastRow="0" w:firstColumn="1" w:lastColumn="0" w:noHBand="0" w:noVBand="1"/>
      </w:tblPr>
      <w:tblGrid>
        <w:gridCol w:w="1544"/>
        <w:gridCol w:w="1543"/>
        <w:gridCol w:w="6198"/>
      </w:tblGrid>
      <w:tr w:rsidR="00067457" w:rsidRPr="00556EBF" w14:paraId="6C859CCA" w14:textId="77777777" w:rsidTr="00133853">
        <w:trPr>
          <w:cnfStyle w:val="100000000000" w:firstRow="1" w:lastRow="0" w:firstColumn="0" w:lastColumn="0" w:oddVBand="0" w:evenVBand="0" w:oddHBand="0" w:evenHBand="0" w:firstRowFirstColumn="0" w:firstRowLastColumn="0" w:lastRowFirstColumn="0" w:lastRowLastColumn="0"/>
        </w:trPr>
        <w:tc>
          <w:tcPr>
            <w:tcW w:w="1508" w:type="dxa"/>
          </w:tcPr>
          <w:p w14:paraId="59B61BD9" w14:textId="6F3BE613" w:rsidR="00067457" w:rsidRPr="00556EBF" w:rsidRDefault="0087529F" w:rsidP="00AA045B">
            <w:pPr>
              <w:pStyle w:val="Tabletext"/>
            </w:pPr>
            <w:bookmarkStart w:id="37" w:name="Text_HardCopies"/>
            <w:r>
              <w:t># Hard Copies</w:t>
            </w:r>
            <w:bookmarkEnd w:id="37"/>
            <w:r w:rsidR="00067457" w:rsidRPr="00556EBF">
              <w:t xml:space="preserve"> </w:t>
            </w:r>
          </w:p>
        </w:tc>
        <w:tc>
          <w:tcPr>
            <w:tcW w:w="1508" w:type="dxa"/>
          </w:tcPr>
          <w:p w14:paraId="3A572847" w14:textId="3AC285E1" w:rsidR="00067457" w:rsidRPr="00556EBF" w:rsidRDefault="0087529F" w:rsidP="00AA045B">
            <w:pPr>
              <w:pStyle w:val="Tabletext"/>
            </w:pPr>
            <w:bookmarkStart w:id="38" w:name="Text_PDFRequired"/>
            <w:r>
              <w:t>PDF Required</w:t>
            </w:r>
            <w:bookmarkEnd w:id="38"/>
          </w:p>
        </w:tc>
        <w:tc>
          <w:tcPr>
            <w:tcW w:w="6056" w:type="dxa"/>
          </w:tcPr>
          <w:p w14:paraId="3CB0FA78" w14:textId="2555C222" w:rsidR="00067457" w:rsidRPr="00556EBF" w:rsidRDefault="0087529F" w:rsidP="00AA045B">
            <w:pPr>
              <w:pStyle w:val="Tabletext"/>
            </w:pPr>
            <w:bookmarkStart w:id="39" w:name="Text_AssociationCompanyName"/>
            <w:r>
              <w:t>Association / Company Name</w:t>
            </w:r>
            <w:bookmarkEnd w:id="39"/>
          </w:p>
        </w:tc>
      </w:tr>
      <w:tr w:rsidR="00067457" w:rsidRPr="00542F08" w14:paraId="5FF832EB" w14:textId="77777777" w:rsidTr="00133853">
        <w:tc>
          <w:tcPr>
            <w:tcW w:w="1508" w:type="dxa"/>
          </w:tcPr>
          <w:p w14:paraId="5CDCF15C" w14:textId="3062EAEB" w:rsidR="00067457" w:rsidRPr="00542F08" w:rsidRDefault="00A40809" w:rsidP="00AA045B">
            <w:pPr>
              <w:pStyle w:val="Tabletext"/>
            </w:pPr>
            <w:r>
              <w:t>0</w:t>
            </w:r>
          </w:p>
        </w:tc>
        <w:tc>
          <w:tcPr>
            <w:tcW w:w="1508" w:type="dxa"/>
          </w:tcPr>
          <w:p w14:paraId="2324398E" w14:textId="48A77360" w:rsidR="00067457" w:rsidRDefault="00A40809" w:rsidP="00AA045B">
            <w:pPr>
              <w:pStyle w:val="Tabletext"/>
            </w:pPr>
            <w:r>
              <w:t>1</w:t>
            </w:r>
          </w:p>
        </w:tc>
        <w:tc>
          <w:tcPr>
            <w:tcW w:w="6056" w:type="dxa"/>
          </w:tcPr>
          <w:p w14:paraId="3FC0BBFA" w14:textId="2E0C5257" w:rsidR="00067457" w:rsidRDefault="00A40809" w:rsidP="00AA045B">
            <w:pPr>
              <w:pStyle w:val="Tabletext"/>
            </w:pPr>
            <w:r>
              <w:t>South Dublin County Council</w:t>
            </w:r>
          </w:p>
        </w:tc>
      </w:tr>
      <w:tr w:rsidR="00067457" w:rsidRPr="00542F08" w14:paraId="166E41F2" w14:textId="77777777" w:rsidTr="00133853">
        <w:tc>
          <w:tcPr>
            <w:tcW w:w="1508" w:type="dxa"/>
          </w:tcPr>
          <w:p w14:paraId="4FC65E0D" w14:textId="77777777" w:rsidR="00067457" w:rsidRPr="00542F08" w:rsidRDefault="00067457" w:rsidP="00AA045B">
            <w:pPr>
              <w:pStyle w:val="Tabletext"/>
            </w:pPr>
          </w:p>
        </w:tc>
        <w:tc>
          <w:tcPr>
            <w:tcW w:w="1508" w:type="dxa"/>
          </w:tcPr>
          <w:p w14:paraId="0812FC28" w14:textId="77777777" w:rsidR="00067457" w:rsidRDefault="00067457" w:rsidP="00AA045B">
            <w:pPr>
              <w:pStyle w:val="Tabletext"/>
            </w:pPr>
          </w:p>
        </w:tc>
        <w:tc>
          <w:tcPr>
            <w:tcW w:w="6056" w:type="dxa"/>
          </w:tcPr>
          <w:p w14:paraId="5B603F6E" w14:textId="77777777" w:rsidR="00067457" w:rsidRDefault="00067457" w:rsidP="00AA045B">
            <w:pPr>
              <w:pStyle w:val="Tabletext"/>
            </w:pPr>
          </w:p>
        </w:tc>
      </w:tr>
      <w:tr w:rsidR="00067457" w:rsidRPr="00542F08" w14:paraId="29F1CC15" w14:textId="77777777" w:rsidTr="00133853">
        <w:tc>
          <w:tcPr>
            <w:tcW w:w="1508" w:type="dxa"/>
            <w:tcBorders>
              <w:bottom w:val="single" w:sz="4" w:space="0" w:color="auto"/>
            </w:tcBorders>
          </w:tcPr>
          <w:p w14:paraId="1EE4925E" w14:textId="77777777" w:rsidR="00067457" w:rsidRPr="00542F08" w:rsidRDefault="00067457" w:rsidP="00AA045B">
            <w:pPr>
              <w:pStyle w:val="Tabletext"/>
            </w:pPr>
          </w:p>
        </w:tc>
        <w:tc>
          <w:tcPr>
            <w:tcW w:w="1508" w:type="dxa"/>
            <w:tcBorders>
              <w:bottom w:val="single" w:sz="4" w:space="0" w:color="auto"/>
            </w:tcBorders>
          </w:tcPr>
          <w:p w14:paraId="41CFF57E" w14:textId="77777777" w:rsidR="00067457" w:rsidRDefault="00067457" w:rsidP="00AA045B">
            <w:pPr>
              <w:pStyle w:val="Tabletext"/>
            </w:pPr>
          </w:p>
        </w:tc>
        <w:tc>
          <w:tcPr>
            <w:tcW w:w="6056" w:type="dxa"/>
            <w:tcBorders>
              <w:bottom w:val="single" w:sz="4" w:space="0" w:color="auto"/>
            </w:tcBorders>
          </w:tcPr>
          <w:p w14:paraId="6209B857" w14:textId="77777777" w:rsidR="00067457" w:rsidRDefault="00067457" w:rsidP="00AA045B">
            <w:pPr>
              <w:pStyle w:val="Tabletext"/>
            </w:pPr>
          </w:p>
        </w:tc>
      </w:tr>
      <w:tr w:rsidR="00067457" w:rsidRPr="00542F08" w14:paraId="37D3F8D6" w14:textId="77777777" w:rsidTr="00133853">
        <w:tc>
          <w:tcPr>
            <w:tcW w:w="1508" w:type="dxa"/>
            <w:tcBorders>
              <w:top w:val="single" w:sz="4" w:space="0" w:color="auto"/>
              <w:bottom w:val="single" w:sz="4" w:space="0" w:color="auto"/>
            </w:tcBorders>
          </w:tcPr>
          <w:p w14:paraId="3C2EF960" w14:textId="77777777" w:rsidR="00067457" w:rsidRPr="00542F08" w:rsidRDefault="00067457" w:rsidP="00AA045B">
            <w:pPr>
              <w:pStyle w:val="Tabletext"/>
            </w:pPr>
          </w:p>
        </w:tc>
        <w:tc>
          <w:tcPr>
            <w:tcW w:w="1508" w:type="dxa"/>
            <w:tcBorders>
              <w:top w:val="single" w:sz="4" w:space="0" w:color="auto"/>
              <w:bottom w:val="single" w:sz="4" w:space="0" w:color="auto"/>
            </w:tcBorders>
          </w:tcPr>
          <w:p w14:paraId="7121B71B" w14:textId="77777777" w:rsidR="00067457" w:rsidRDefault="00067457" w:rsidP="00AA045B">
            <w:pPr>
              <w:pStyle w:val="Tabletext"/>
            </w:pPr>
          </w:p>
        </w:tc>
        <w:tc>
          <w:tcPr>
            <w:tcW w:w="6056" w:type="dxa"/>
            <w:tcBorders>
              <w:top w:val="single" w:sz="4" w:space="0" w:color="auto"/>
              <w:bottom w:val="single" w:sz="4" w:space="0" w:color="auto"/>
            </w:tcBorders>
          </w:tcPr>
          <w:p w14:paraId="357A81D8" w14:textId="77777777" w:rsidR="00067457" w:rsidRDefault="00067457" w:rsidP="00AA045B">
            <w:pPr>
              <w:pStyle w:val="Tabletext"/>
            </w:pPr>
          </w:p>
        </w:tc>
      </w:tr>
      <w:bookmarkEnd w:id="18"/>
    </w:tbl>
    <w:p w14:paraId="7CCD5117" w14:textId="77777777" w:rsidR="00067457" w:rsidRDefault="00067457" w:rsidP="00067457">
      <w:pPr>
        <w:pStyle w:val="BodyText"/>
      </w:pPr>
    </w:p>
    <w:p w14:paraId="4113DF9B" w14:textId="77777777" w:rsidR="00A40809" w:rsidRDefault="00A40809" w:rsidP="00067457">
      <w:pPr>
        <w:pStyle w:val="BodyText"/>
      </w:pPr>
    </w:p>
    <w:p w14:paraId="3244D4BD" w14:textId="77777777" w:rsidR="002C5B28" w:rsidRDefault="002C5B28">
      <w:pPr>
        <w:tabs>
          <w:tab w:val="clear" w:pos="284"/>
        </w:tabs>
        <w:spacing w:line="240" w:lineRule="auto"/>
        <w:jc w:val="left"/>
        <w:rPr>
          <w:rFonts w:asciiTheme="majorHAnsi" w:hAnsiTheme="majorHAnsi" w:cstheme="majorHAnsi"/>
          <w:color w:val="000000" w:themeColor="text2"/>
          <w:sz w:val="24"/>
        </w:rPr>
      </w:pPr>
      <w:bookmarkStart w:id="40" w:name="Text_PreparedFor"/>
      <w:r>
        <w:br w:type="page"/>
      </w:r>
    </w:p>
    <w:p w14:paraId="6BACCCF9" w14:textId="471CADD0" w:rsidR="00831688" w:rsidRPr="008952D6" w:rsidRDefault="0087529F" w:rsidP="00542F08">
      <w:pPr>
        <w:pStyle w:val="Heading"/>
      </w:pPr>
      <w:r>
        <w:lastRenderedPageBreak/>
        <w:t>Prepared for</w:t>
      </w:r>
      <w:bookmarkEnd w:id="40"/>
      <w:r w:rsidR="00831688" w:rsidRPr="008952D6">
        <w:t>:</w:t>
      </w:r>
    </w:p>
    <w:p w14:paraId="5F4062C4" w14:textId="4FF59AFE" w:rsidR="002F3B02" w:rsidRPr="0080040C" w:rsidRDefault="00FE21B5" w:rsidP="0081688E">
      <w:fldSimple w:instr="DOCPROPERTY  ClientName \* MERGEFORMAT">
        <w:r>
          <w:t xml:space="preserve">South Dublin County Council </w:t>
        </w:r>
      </w:fldSimple>
      <w:r w:rsidR="00611E36">
        <w:t>(SDCC)</w:t>
      </w:r>
      <w:r w:rsidR="00FD17AB">
        <w:t xml:space="preserve"> </w:t>
      </w:r>
      <w:r w:rsidR="006A7D49">
        <w:fldChar w:fldCharType="begin"/>
      </w:r>
      <w:r w:rsidR="006A7D49">
        <w:instrText xml:space="preserve"> DOCPROPERTY  ClientNumber \* MERGEFORMAT </w:instrText>
      </w:r>
      <w:r w:rsidR="006A7D49">
        <w:fldChar w:fldCharType="end"/>
      </w:r>
    </w:p>
    <w:p w14:paraId="4419F236" w14:textId="5E3E8501" w:rsidR="002F3B02" w:rsidRPr="0080040C" w:rsidRDefault="002F3B02" w:rsidP="0081688E">
      <w:bookmarkStart w:id="41" w:name="FooterClientAddress"/>
      <w:bookmarkEnd w:id="41"/>
    </w:p>
    <w:p w14:paraId="326DE8DF" w14:textId="77777777" w:rsidR="00831688" w:rsidRDefault="00831688" w:rsidP="0080040C">
      <w:pPr>
        <w:pStyle w:val="BodyText"/>
      </w:pPr>
    </w:p>
    <w:p w14:paraId="3D8B7207" w14:textId="12D21637" w:rsidR="000F22FF" w:rsidRDefault="0087529F" w:rsidP="000F22FF">
      <w:pPr>
        <w:pStyle w:val="Heading"/>
      </w:pPr>
      <w:bookmarkStart w:id="42" w:name="Text_PreparedBy_1"/>
      <w:r>
        <w:t>Prepared by</w:t>
      </w:r>
      <w:bookmarkEnd w:id="42"/>
      <w:r w:rsidR="000F22FF">
        <w:t>:</w:t>
      </w:r>
    </w:p>
    <w:p w14:paraId="57F9070D" w14:textId="77777777" w:rsidR="00996799" w:rsidRDefault="00996799" w:rsidP="00996799">
      <w:r>
        <w:t>‌AECOM Ireland Limited</w:t>
      </w:r>
    </w:p>
    <w:p w14:paraId="079062A8" w14:textId="77777777" w:rsidR="00996799" w:rsidRDefault="00996799" w:rsidP="00996799">
      <w:r>
        <w:t>4</w:t>
      </w:r>
      <w:r w:rsidRPr="00131771">
        <w:rPr>
          <w:vertAlign w:val="superscript"/>
        </w:rPr>
        <w:t>th</w:t>
      </w:r>
      <w:r>
        <w:t xml:space="preserve"> Floor</w:t>
      </w:r>
    </w:p>
    <w:p w14:paraId="49256DD8" w14:textId="77777777" w:rsidR="00996799" w:rsidRDefault="00996799" w:rsidP="00996799">
      <w:r>
        <w:t xml:space="preserve">One Burlington Plaza </w:t>
      </w:r>
    </w:p>
    <w:p w14:paraId="3BF3D4C1" w14:textId="77777777" w:rsidR="00996799" w:rsidRDefault="00996799" w:rsidP="00996799">
      <w:r>
        <w:t xml:space="preserve">Burlington Road </w:t>
      </w:r>
    </w:p>
    <w:p w14:paraId="1435CF6D" w14:textId="77777777" w:rsidR="00996799" w:rsidRDefault="00996799" w:rsidP="00996799">
      <w:r>
        <w:t xml:space="preserve">Dublin 4 </w:t>
      </w:r>
    </w:p>
    <w:p w14:paraId="6F633DDE" w14:textId="77777777" w:rsidR="00996799" w:rsidRDefault="00996799" w:rsidP="00996799">
      <w:r>
        <w:t xml:space="preserve">D04 RH96 </w:t>
      </w:r>
    </w:p>
    <w:p w14:paraId="29A2472B" w14:textId="4D497378" w:rsidR="000F22FF" w:rsidRDefault="00996799" w:rsidP="00996799">
      <w:r>
        <w:t>T +353-1-696-6220</w:t>
      </w:r>
    </w:p>
    <w:p w14:paraId="5191012E" w14:textId="77777777" w:rsidR="00A609EC" w:rsidRDefault="00A609EC" w:rsidP="0080040C">
      <w:pPr>
        <w:pStyle w:val="BodyText"/>
      </w:pPr>
    </w:p>
    <w:p w14:paraId="5DEF0D0C" w14:textId="2C8BC31A" w:rsidR="00A40809" w:rsidRPr="00A40809" w:rsidRDefault="00FE21B5" w:rsidP="002C5B28">
      <w:pPr>
        <w:pStyle w:val="Heading"/>
      </w:pPr>
      <w:fldSimple w:instr="DOCPROPERTY  InAssociationWith \* MERGEFORMAT">
        <w:r>
          <w:t xml:space="preserve"> </w:t>
        </w:r>
      </w:fldSimple>
      <w:r w:rsidR="006A7D49">
        <w:fldChar w:fldCharType="begin"/>
      </w:r>
      <w:r w:rsidR="006A7D49">
        <w:instrText xml:space="preserve"> DOCPROPERTY  AdditionalCompanyName \* MERGEFORMAT </w:instrText>
      </w:r>
      <w:r w:rsidR="006A7D49">
        <w:fldChar w:fldCharType="end"/>
      </w:r>
      <w:r w:rsidR="006A7D49">
        <w:fldChar w:fldCharType="begin"/>
      </w:r>
      <w:r w:rsidR="006A7D49">
        <w:instrText xml:space="preserve"> DOCPROPERTY "AccreditationText" </w:instrText>
      </w:r>
      <w:r w:rsidR="006A7D49">
        <w:fldChar w:fldCharType="end"/>
      </w:r>
      <w:r w:rsidR="006A7D49">
        <w:fldChar w:fldCharType="begin"/>
      </w:r>
      <w:r w:rsidR="006A7D49">
        <w:instrText xml:space="preserve"> DOCPROPERTY "GreenInitiative" </w:instrText>
      </w:r>
      <w:r w:rsidR="006A7D49">
        <w:fldChar w:fldCharType="end"/>
      </w:r>
    </w:p>
    <w:p w14:paraId="5F8286B8" w14:textId="77777777" w:rsidR="00CC1747" w:rsidRDefault="00CC1747" w:rsidP="00CD1EA1">
      <w:pPr>
        <w:tabs>
          <w:tab w:val="clear" w:pos="284"/>
        </w:tabs>
        <w:spacing w:line="240" w:lineRule="auto"/>
      </w:pPr>
    </w:p>
    <w:p w14:paraId="38F35C0F" w14:textId="77777777" w:rsidR="002C5B28" w:rsidRDefault="002C5B28" w:rsidP="00CD1EA1">
      <w:pPr>
        <w:tabs>
          <w:tab w:val="clear" w:pos="284"/>
        </w:tabs>
        <w:spacing w:line="240" w:lineRule="auto"/>
      </w:pPr>
    </w:p>
    <w:p w14:paraId="4670FDB3" w14:textId="77777777" w:rsidR="002C5B28" w:rsidRDefault="002C5B28" w:rsidP="00CD1EA1">
      <w:pPr>
        <w:tabs>
          <w:tab w:val="clear" w:pos="284"/>
        </w:tabs>
        <w:spacing w:line="240" w:lineRule="auto"/>
      </w:pPr>
    </w:p>
    <w:p w14:paraId="68421A3B" w14:textId="77777777" w:rsidR="002C5B28" w:rsidRDefault="002C5B28" w:rsidP="00CD1EA1">
      <w:pPr>
        <w:tabs>
          <w:tab w:val="clear" w:pos="284"/>
        </w:tabs>
        <w:spacing w:line="240" w:lineRule="auto"/>
      </w:pPr>
    </w:p>
    <w:p w14:paraId="34C31231" w14:textId="77777777" w:rsidR="002C5B28" w:rsidRDefault="002C5B28" w:rsidP="00CD1EA1">
      <w:pPr>
        <w:tabs>
          <w:tab w:val="clear" w:pos="284"/>
        </w:tabs>
        <w:spacing w:line="240" w:lineRule="auto"/>
      </w:pPr>
    </w:p>
    <w:p w14:paraId="11DA377D" w14:textId="77777777" w:rsidR="002C5B28" w:rsidRDefault="002C5B28" w:rsidP="00CD1EA1">
      <w:pPr>
        <w:tabs>
          <w:tab w:val="clear" w:pos="284"/>
        </w:tabs>
        <w:spacing w:line="240" w:lineRule="auto"/>
      </w:pPr>
    </w:p>
    <w:p w14:paraId="4CBDCC16" w14:textId="77777777" w:rsidR="002C5B28" w:rsidRDefault="002C5B28" w:rsidP="00CD1EA1">
      <w:pPr>
        <w:tabs>
          <w:tab w:val="clear" w:pos="284"/>
        </w:tabs>
        <w:spacing w:line="240" w:lineRule="auto"/>
      </w:pPr>
    </w:p>
    <w:p w14:paraId="541E5ECA" w14:textId="77777777" w:rsidR="002C5B28" w:rsidRDefault="002C5B28" w:rsidP="00CD1EA1">
      <w:pPr>
        <w:tabs>
          <w:tab w:val="clear" w:pos="284"/>
        </w:tabs>
        <w:spacing w:line="240" w:lineRule="auto"/>
      </w:pPr>
    </w:p>
    <w:p w14:paraId="01434D36" w14:textId="77777777" w:rsidR="002C5B28" w:rsidRDefault="002C5B28" w:rsidP="00CD1EA1">
      <w:pPr>
        <w:tabs>
          <w:tab w:val="clear" w:pos="284"/>
        </w:tabs>
        <w:spacing w:line="240" w:lineRule="auto"/>
      </w:pPr>
    </w:p>
    <w:p w14:paraId="66E6ED6F" w14:textId="77777777" w:rsidR="002C5B28" w:rsidRDefault="002C5B28" w:rsidP="00CD1EA1">
      <w:pPr>
        <w:tabs>
          <w:tab w:val="clear" w:pos="284"/>
        </w:tabs>
        <w:spacing w:line="240" w:lineRule="auto"/>
      </w:pPr>
    </w:p>
    <w:p w14:paraId="292DCDFA" w14:textId="77777777" w:rsidR="002C5B28" w:rsidRDefault="002C5B28" w:rsidP="00CD1EA1">
      <w:pPr>
        <w:tabs>
          <w:tab w:val="clear" w:pos="284"/>
        </w:tabs>
        <w:spacing w:line="240" w:lineRule="auto"/>
      </w:pPr>
    </w:p>
    <w:p w14:paraId="2F29D705" w14:textId="77777777" w:rsidR="002C5B28" w:rsidRDefault="002C5B28" w:rsidP="00CD1EA1">
      <w:pPr>
        <w:tabs>
          <w:tab w:val="clear" w:pos="284"/>
        </w:tabs>
        <w:spacing w:line="240" w:lineRule="auto"/>
      </w:pPr>
    </w:p>
    <w:p w14:paraId="63E66494" w14:textId="77777777" w:rsidR="002C5B28" w:rsidRDefault="002C5B28" w:rsidP="00CD1EA1">
      <w:pPr>
        <w:tabs>
          <w:tab w:val="clear" w:pos="284"/>
        </w:tabs>
        <w:spacing w:line="240" w:lineRule="auto"/>
      </w:pPr>
    </w:p>
    <w:p w14:paraId="0494EA9F" w14:textId="77777777" w:rsidR="002C5B28" w:rsidRDefault="002C5B28" w:rsidP="00CD1EA1">
      <w:pPr>
        <w:tabs>
          <w:tab w:val="clear" w:pos="284"/>
        </w:tabs>
        <w:spacing w:line="240" w:lineRule="auto"/>
      </w:pPr>
    </w:p>
    <w:p w14:paraId="5F3CC292" w14:textId="77777777" w:rsidR="002C5B28" w:rsidRDefault="002C5B28" w:rsidP="00CD1EA1">
      <w:pPr>
        <w:tabs>
          <w:tab w:val="clear" w:pos="284"/>
        </w:tabs>
        <w:spacing w:line="240" w:lineRule="auto"/>
      </w:pPr>
    </w:p>
    <w:p w14:paraId="53C16EFA" w14:textId="77777777" w:rsidR="002C5B28" w:rsidRDefault="002C5B28" w:rsidP="00CD1EA1">
      <w:pPr>
        <w:tabs>
          <w:tab w:val="clear" w:pos="284"/>
        </w:tabs>
        <w:spacing w:line="240" w:lineRule="auto"/>
      </w:pPr>
    </w:p>
    <w:p w14:paraId="35FA51C8" w14:textId="77777777" w:rsidR="002C5B28" w:rsidRDefault="002C5B28" w:rsidP="00CD1EA1">
      <w:pPr>
        <w:tabs>
          <w:tab w:val="clear" w:pos="284"/>
        </w:tabs>
        <w:spacing w:line="240" w:lineRule="auto"/>
      </w:pPr>
    </w:p>
    <w:p w14:paraId="744DE8F8" w14:textId="77777777" w:rsidR="002C5B28" w:rsidRDefault="002C5B28" w:rsidP="00CD1EA1">
      <w:pPr>
        <w:tabs>
          <w:tab w:val="clear" w:pos="284"/>
        </w:tabs>
        <w:spacing w:line="240" w:lineRule="auto"/>
      </w:pPr>
    </w:p>
    <w:p w14:paraId="312314C9" w14:textId="77777777" w:rsidR="002C5B28" w:rsidRDefault="002C5B28" w:rsidP="00CD1EA1">
      <w:pPr>
        <w:tabs>
          <w:tab w:val="clear" w:pos="284"/>
        </w:tabs>
        <w:spacing w:line="240" w:lineRule="auto"/>
      </w:pPr>
    </w:p>
    <w:p w14:paraId="23A89F47" w14:textId="77777777" w:rsidR="002C5B28" w:rsidRDefault="002C5B28" w:rsidP="00CD1EA1">
      <w:pPr>
        <w:tabs>
          <w:tab w:val="clear" w:pos="284"/>
        </w:tabs>
        <w:spacing w:line="240" w:lineRule="auto"/>
      </w:pPr>
    </w:p>
    <w:p w14:paraId="1B8BE4EA" w14:textId="77777777" w:rsidR="002C5B28" w:rsidRDefault="002C5B28" w:rsidP="00CD1EA1">
      <w:pPr>
        <w:tabs>
          <w:tab w:val="clear" w:pos="284"/>
        </w:tabs>
        <w:spacing w:line="240" w:lineRule="auto"/>
      </w:pPr>
    </w:p>
    <w:p w14:paraId="052AA591" w14:textId="77777777" w:rsidR="002C5B28" w:rsidRDefault="002C5B28" w:rsidP="00CD1EA1">
      <w:pPr>
        <w:tabs>
          <w:tab w:val="clear" w:pos="284"/>
        </w:tabs>
        <w:spacing w:line="240" w:lineRule="auto"/>
      </w:pPr>
    </w:p>
    <w:p w14:paraId="3F1F939E" w14:textId="77777777" w:rsidR="002C5B28" w:rsidRDefault="002C5B28" w:rsidP="00CD1EA1">
      <w:pPr>
        <w:tabs>
          <w:tab w:val="clear" w:pos="284"/>
        </w:tabs>
        <w:spacing w:line="240" w:lineRule="auto"/>
      </w:pPr>
    </w:p>
    <w:p w14:paraId="0323A8D8" w14:textId="77777777" w:rsidR="002C5B28" w:rsidRDefault="002C5B28" w:rsidP="00CD1EA1">
      <w:pPr>
        <w:tabs>
          <w:tab w:val="clear" w:pos="284"/>
        </w:tabs>
        <w:spacing w:line="240" w:lineRule="auto"/>
      </w:pPr>
    </w:p>
    <w:p w14:paraId="4428DA17" w14:textId="77777777" w:rsidR="002C5B28" w:rsidRDefault="002C5B28" w:rsidP="00CD1EA1">
      <w:pPr>
        <w:tabs>
          <w:tab w:val="clear" w:pos="284"/>
        </w:tabs>
        <w:spacing w:line="240" w:lineRule="auto"/>
      </w:pPr>
    </w:p>
    <w:p w14:paraId="2312297B" w14:textId="77777777" w:rsidR="002C5B28" w:rsidRDefault="002C5B28" w:rsidP="00CD1EA1">
      <w:pPr>
        <w:tabs>
          <w:tab w:val="clear" w:pos="284"/>
        </w:tabs>
        <w:spacing w:line="240" w:lineRule="auto"/>
      </w:pPr>
    </w:p>
    <w:p w14:paraId="30062065" w14:textId="77777777" w:rsidR="002C5B28" w:rsidRDefault="002C5B28" w:rsidP="00CD1EA1">
      <w:pPr>
        <w:tabs>
          <w:tab w:val="clear" w:pos="284"/>
        </w:tabs>
        <w:spacing w:line="240" w:lineRule="auto"/>
      </w:pPr>
    </w:p>
    <w:p w14:paraId="6A8364EF" w14:textId="77777777" w:rsidR="002C5B28" w:rsidRDefault="002C5B28" w:rsidP="00CD1EA1">
      <w:pPr>
        <w:tabs>
          <w:tab w:val="clear" w:pos="284"/>
        </w:tabs>
        <w:spacing w:line="240" w:lineRule="auto"/>
      </w:pPr>
    </w:p>
    <w:p w14:paraId="05230A10" w14:textId="77777777" w:rsidR="002C5B28" w:rsidRDefault="002C5B28" w:rsidP="00CD1EA1">
      <w:pPr>
        <w:tabs>
          <w:tab w:val="clear" w:pos="284"/>
        </w:tabs>
        <w:spacing w:line="240" w:lineRule="auto"/>
      </w:pPr>
    </w:p>
    <w:p w14:paraId="246F2253" w14:textId="77777777" w:rsidR="002C5B28" w:rsidRDefault="002C5B28" w:rsidP="00CD1EA1">
      <w:pPr>
        <w:tabs>
          <w:tab w:val="clear" w:pos="284"/>
        </w:tabs>
        <w:spacing w:line="240" w:lineRule="auto"/>
      </w:pPr>
    </w:p>
    <w:p w14:paraId="0A4947DA" w14:textId="77777777" w:rsidR="002C5B28" w:rsidRDefault="002C5B28" w:rsidP="00CD1EA1">
      <w:pPr>
        <w:tabs>
          <w:tab w:val="clear" w:pos="284"/>
        </w:tabs>
        <w:spacing w:line="240" w:lineRule="auto"/>
      </w:pPr>
    </w:p>
    <w:p w14:paraId="46DFCBE2" w14:textId="77777777" w:rsidR="002C5B28" w:rsidRDefault="002C5B28" w:rsidP="00CD1EA1">
      <w:pPr>
        <w:tabs>
          <w:tab w:val="clear" w:pos="284"/>
        </w:tabs>
        <w:spacing w:line="240" w:lineRule="auto"/>
      </w:pPr>
    </w:p>
    <w:p w14:paraId="6C0FB9A2" w14:textId="77777777" w:rsidR="002C5B28" w:rsidRDefault="002C5B28" w:rsidP="00CD1EA1">
      <w:pPr>
        <w:tabs>
          <w:tab w:val="clear" w:pos="284"/>
        </w:tabs>
        <w:spacing w:line="240" w:lineRule="auto"/>
      </w:pPr>
    </w:p>
    <w:p w14:paraId="1913FA71" w14:textId="1F7EEFB2" w:rsidR="00CC1747" w:rsidRPr="005337F3" w:rsidRDefault="00CC1747" w:rsidP="00CC1747">
      <w:pPr>
        <w:pStyle w:val="BodyText"/>
      </w:pPr>
      <w:bookmarkStart w:id="43" w:name="Copyright"/>
      <w:bookmarkStart w:id="44" w:name="Disclaimer"/>
      <w:r w:rsidRPr="005337F3">
        <w:t>© 202</w:t>
      </w:r>
      <w:r>
        <w:t>6</w:t>
      </w:r>
      <w:r w:rsidRPr="005337F3">
        <w:t xml:space="preserve"> AECOM Ireland Limited. All Rights Reserved. </w:t>
      </w:r>
      <w:bookmarkEnd w:id="43"/>
    </w:p>
    <w:p w14:paraId="18F53E61" w14:textId="0DB4AA16" w:rsidR="000D13AF" w:rsidRDefault="00CC1747" w:rsidP="00CC1747">
      <w:pPr>
        <w:pStyle w:val="BodyText"/>
      </w:pPr>
      <w:r>
        <w:t>This document has been prepared by AECOM Ireland Limited (“AECOM”) for sole use of our client (the “Client”) in accordance with generally accepted consultancy principles, the budget for fees and the terms of reference agreed between AECOM and the Client. Any information provided by third parties and referred to herein has not been checked or verified by AECOM, unless otherwise expressly stated in the document. No third party may rely upon this document without the prior and express written agreement of AECOM.</w:t>
      </w:r>
      <w:bookmarkEnd w:id="44"/>
      <w:r w:rsidR="00FD17AB">
        <w:rPr>
          <w:sz w:val="18"/>
          <w:szCs w:val="16"/>
        </w:rPr>
        <w:t xml:space="preserve"> </w:t>
      </w:r>
      <w:r w:rsidR="000D13AF">
        <w:br w:type="page"/>
      </w:r>
    </w:p>
    <w:p w14:paraId="1366CD48" w14:textId="77777777" w:rsidR="003964F2" w:rsidRDefault="003964F2" w:rsidP="003964F2">
      <w:pPr>
        <w:pStyle w:val="TOCHeading"/>
        <w:rPr>
          <w:noProof/>
        </w:rPr>
      </w:pPr>
      <w:bookmarkStart w:id="45" w:name="Text_Contents"/>
      <w:bookmarkStart w:id="46" w:name="TOC"/>
      <w:r>
        <w:rPr>
          <w:noProof/>
        </w:rPr>
        <w:lastRenderedPageBreak/>
        <w:t>Table of Contents</w:t>
      </w:r>
      <w:bookmarkEnd w:id="45"/>
    </w:p>
    <w:p w14:paraId="0187C8C9" w14:textId="6044F46B" w:rsidR="00CB06AE" w:rsidRDefault="00A40809">
      <w:pPr>
        <w:pStyle w:val="TOC1"/>
        <w:rPr>
          <w:rFonts w:asciiTheme="minorHAnsi" w:eastAsiaTheme="minorEastAsia" w:hAnsiTheme="minorHAnsi"/>
          <w:noProof/>
          <w:kern w:val="2"/>
          <w:sz w:val="24"/>
          <w:szCs w:val="24"/>
          <w:lang w:eastAsia="en-GB"/>
          <w14:ligatures w14:val="standardContextual"/>
        </w:rPr>
      </w:pPr>
      <w:r>
        <w:rPr>
          <w:noProof/>
        </w:rPr>
        <w:fldChar w:fldCharType="begin"/>
      </w:r>
      <w:r>
        <w:rPr>
          <w:noProof/>
        </w:rPr>
        <w:instrText xml:space="preserve"> TOC \o "1-3" \u </w:instrText>
      </w:r>
      <w:r>
        <w:rPr>
          <w:noProof/>
        </w:rPr>
        <w:fldChar w:fldCharType="separate"/>
      </w:r>
      <w:r w:rsidR="00CB06AE">
        <w:rPr>
          <w:noProof/>
        </w:rPr>
        <w:t>15</w:t>
      </w:r>
      <w:r w:rsidR="00CB06AE">
        <w:rPr>
          <w:rFonts w:asciiTheme="minorHAnsi" w:eastAsiaTheme="minorEastAsia" w:hAnsiTheme="minorHAnsi"/>
          <w:noProof/>
          <w:kern w:val="2"/>
          <w:sz w:val="24"/>
          <w:szCs w:val="24"/>
          <w:lang w:eastAsia="en-GB"/>
          <w14:ligatures w14:val="standardContextual"/>
        </w:rPr>
        <w:tab/>
      </w:r>
      <w:r w:rsidR="00CB06AE">
        <w:rPr>
          <w:noProof/>
        </w:rPr>
        <w:t>Major Accidents and Disasters</w:t>
      </w:r>
      <w:r w:rsidR="00CB06AE">
        <w:rPr>
          <w:noProof/>
        </w:rPr>
        <w:tab/>
      </w:r>
      <w:r w:rsidR="00CB06AE">
        <w:rPr>
          <w:noProof/>
        </w:rPr>
        <w:fldChar w:fldCharType="begin"/>
      </w:r>
      <w:r w:rsidR="00CB06AE">
        <w:rPr>
          <w:noProof/>
        </w:rPr>
        <w:instrText xml:space="preserve"> PAGEREF _Toc238735925 \h </w:instrText>
      </w:r>
      <w:r w:rsidR="00CB06AE">
        <w:rPr>
          <w:noProof/>
        </w:rPr>
      </w:r>
      <w:r w:rsidR="00CB06AE">
        <w:rPr>
          <w:noProof/>
        </w:rPr>
        <w:fldChar w:fldCharType="separate"/>
      </w:r>
      <w:r w:rsidR="00CB06AE">
        <w:rPr>
          <w:noProof/>
        </w:rPr>
        <w:t>15-1</w:t>
      </w:r>
      <w:r w:rsidR="00CB06AE">
        <w:rPr>
          <w:noProof/>
        </w:rPr>
        <w:fldChar w:fldCharType="end"/>
      </w:r>
    </w:p>
    <w:p w14:paraId="512E71E1" w14:textId="4B56C4D0" w:rsidR="00CB06AE" w:rsidRDefault="00CB06AE">
      <w:pPr>
        <w:pStyle w:val="TOC2"/>
        <w:rPr>
          <w:rFonts w:eastAsiaTheme="minorEastAsia"/>
          <w:noProof/>
          <w:kern w:val="2"/>
          <w:sz w:val="24"/>
          <w:szCs w:val="24"/>
          <w:lang w:eastAsia="en-GB"/>
          <w14:ligatures w14:val="standardContextual"/>
        </w:rPr>
      </w:pPr>
      <w:r>
        <w:rPr>
          <w:noProof/>
        </w:rPr>
        <w:t>15.1 Introduction</w:t>
      </w:r>
      <w:r>
        <w:rPr>
          <w:noProof/>
        </w:rPr>
        <w:tab/>
      </w:r>
      <w:r>
        <w:rPr>
          <w:noProof/>
        </w:rPr>
        <w:fldChar w:fldCharType="begin"/>
      </w:r>
      <w:r>
        <w:rPr>
          <w:noProof/>
        </w:rPr>
        <w:instrText xml:space="preserve"> PAGEREF _Toc238735926 \h </w:instrText>
      </w:r>
      <w:r>
        <w:rPr>
          <w:noProof/>
        </w:rPr>
      </w:r>
      <w:r>
        <w:rPr>
          <w:noProof/>
        </w:rPr>
        <w:fldChar w:fldCharType="separate"/>
      </w:r>
      <w:r>
        <w:rPr>
          <w:noProof/>
        </w:rPr>
        <w:t>15-1</w:t>
      </w:r>
      <w:r>
        <w:rPr>
          <w:noProof/>
        </w:rPr>
        <w:fldChar w:fldCharType="end"/>
      </w:r>
    </w:p>
    <w:p w14:paraId="7DD39AAE" w14:textId="7258F0DC" w:rsidR="00CB06AE" w:rsidRDefault="00CB06AE">
      <w:pPr>
        <w:pStyle w:val="TOC2"/>
        <w:rPr>
          <w:rFonts w:eastAsiaTheme="minorEastAsia"/>
          <w:noProof/>
          <w:kern w:val="2"/>
          <w:sz w:val="24"/>
          <w:szCs w:val="24"/>
          <w:lang w:eastAsia="en-GB"/>
          <w14:ligatures w14:val="standardContextual"/>
        </w:rPr>
      </w:pPr>
      <w:r>
        <w:rPr>
          <w:noProof/>
        </w:rPr>
        <w:t>15.2 Legislation, Policy and Guidance</w:t>
      </w:r>
      <w:r>
        <w:rPr>
          <w:noProof/>
        </w:rPr>
        <w:tab/>
      </w:r>
      <w:r>
        <w:rPr>
          <w:noProof/>
        </w:rPr>
        <w:fldChar w:fldCharType="begin"/>
      </w:r>
      <w:r>
        <w:rPr>
          <w:noProof/>
        </w:rPr>
        <w:instrText xml:space="preserve"> PAGEREF _Toc238735927 \h </w:instrText>
      </w:r>
      <w:r>
        <w:rPr>
          <w:noProof/>
        </w:rPr>
      </w:r>
      <w:r>
        <w:rPr>
          <w:noProof/>
        </w:rPr>
        <w:fldChar w:fldCharType="separate"/>
      </w:r>
      <w:r>
        <w:rPr>
          <w:noProof/>
        </w:rPr>
        <w:t>15-2</w:t>
      </w:r>
      <w:r>
        <w:rPr>
          <w:noProof/>
        </w:rPr>
        <w:fldChar w:fldCharType="end"/>
      </w:r>
    </w:p>
    <w:p w14:paraId="39E1F7A1" w14:textId="4A23F8CA" w:rsidR="00CB06AE" w:rsidRDefault="00CB06AE">
      <w:pPr>
        <w:pStyle w:val="TOC3"/>
        <w:tabs>
          <w:tab w:val="left" w:pos="1440"/>
        </w:tabs>
        <w:rPr>
          <w:rFonts w:eastAsiaTheme="minorEastAsia"/>
          <w:noProof/>
          <w:kern w:val="2"/>
          <w:sz w:val="24"/>
          <w:szCs w:val="24"/>
          <w:lang w:eastAsia="en-GB"/>
          <w14:ligatures w14:val="standardContextual"/>
        </w:rPr>
      </w:pPr>
      <w:r>
        <w:rPr>
          <w:noProof/>
        </w:rPr>
        <w:t>15.2.1</w:t>
      </w:r>
      <w:r>
        <w:rPr>
          <w:rFonts w:eastAsiaTheme="minorEastAsia"/>
          <w:noProof/>
          <w:kern w:val="2"/>
          <w:sz w:val="24"/>
          <w:szCs w:val="24"/>
          <w:lang w:eastAsia="en-GB"/>
          <w14:ligatures w14:val="standardContextual"/>
        </w:rPr>
        <w:tab/>
      </w:r>
      <w:r>
        <w:rPr>
          <w:noProof/>
        </w:rPr>
        <w:t>Legislation</w:t>
      </w:r>
      <w:r>
        <w:rPr>
          <w:noProof/>
        </w:rPr>
        <w:tab/>
      </w:r>
      <w:r>
        <w:rPr>
          <w:noProof/>
        </w:rPr>
        <w:fldChar w:fldCharType="begin"/>
      </w:r>
      <w:r>
        <w:rPr>
          <w:noProof/>
        </w:rPr>
        <w:instrText xml:space="preserve"> PAGEREF _Toc238735928 \h </w:instrText>
      </w:r>
      <w:r>
        <w:rPr>
          <w:noProof/>
        </w:rPr>
      </w:r>
      <w:r>
        <w:rPr>
          <w:noProof/>
        </w:rPr>
        <w:fldChar w:fldCharType="separate"/>
      </w:r>
      <w:r>
        <w:rPr>
          <w:noProof/>
        </w:rPr>
        <w:t>15-2</w:t>
      </w:r>
      <w:r>
        <w:rPr>
          <w:noProof/>
        </w:rPr>
        <w:fldChar w:fldCharType="end"/>
      </w:r>
    </w:p>
    <w:p w14:paraId="2CE59D0D" w14:textId="2CAC7782" w:rsidR="00CB06AE" w:rsidRDefault="00CB06AE">
      <w:pPr>
        <w:pStyle w:val="TOC3"/>
        <w:tabs>
          <w:tab w:val="left" w:pos="1440"/>
        </w:tabs>
        <w:rPr>
          <w:rFonts w:eastAsiaTheme="minorEastAsia"/>
          <w:noProof/>
          <w:kern w:val="2"/>
          <w:sz w:val="24"/>
          <w:szCs w:val="24"/>
          <w:lang w:eastAsia="en-GB"/>
          <w14:ligatures w14:val="standardContextual"/>
        </w:rPr>
      </w:pPr>
      <w:r>
        <w:rPr>
          <w:noProof/>
        </w:rPr>
        <w:t>15.2.2</w:t>
      </w:r>
      <w:r>
        <w:rPr>
          <w:rFonts w:eastAsiaTheme="minorEastAsia"/>
          <w:noProof/>
          <w:kern w:val="2"/>
          <w:sz w:val="24"/>
          <w:szCs w:val="24"/>
          <w:lang w:eastAsia="en-GB"/>
          <w14:ligatures w14:val="standardContextual"/>
        </w:rPr>
        <w:tab/>
      </w:r>
      <w:r>
        <w:rPr>
          <w:noProof/>
        </w:rPr>
        <w:t>Policy</w:t>
      </w:r>
      <w:r>
        <w:rPr>
          <w:noProof/>
        </w:rPr>
        <w:tab/>
      </w:r>
      <w:r>
        <w:rPr>
          <w:noProof/>
        </w:rPr>
        <w:fldChar w:fldCharType="begin"/>
      </w:r>
      <w:r>
        <w:rPr>
          <w:noProof/>
        </w:rPr>
        <w:instrText xml:space="preserve"> PAGEREF _Toc238735929 \h </w:instrText>
      </w:r>
      <w:r>
        <w:rPr>
          <w:noProof/>
        </w:rPr>
      </w:r>
      <w:r>
        <w:rPr>
          <w:noProof/>
        </w:rPr>
        <w:fldChar w:fldCharType="separate"/>
      </w:r>
      <w:r>
        <w:rPr>
          <w:noProof/>
        </w:rPr>
        <w:t>15-3</w:t>
      </w:r>
      <w:r>
        <w:rPr>
          <w:noProof/>
        </w:rPr>
        <w:fldChar w:fldCharType="end"/>
      </w:r>
    </w:p>
    <w:p w14:paraId="7FC6D316" w14:textId="733D8782" w:rsidR="00CB06AE" w:rsidRDefault="00CB06AE">
      <w:pPr>
        <w:pStyle w:val="TOC3"/>
        <w:tabs>
          <w:tab w:val="left" w:pos="1440"/>
        </w:tabs>
        <w:rPr>
          <w:rFonts w:eastAsiaTheme="minorEastAsia"/>
          <w:noProof/>
          <w:kern w:val="2"/>
          <w:sz w:val="24"/>
          <w:szCs w:val="24"/>
          <w:lang w:eastAsia="en-GB"/>
          <w14:ligatures w14:val="standardContextual"/>
        </w:rPr>
      </w:pPr>
      <w:r>
        <w:rPr>
          <w:noProof/>
        </w:rPr>
        <w:t>15.2.3</w:t>
      </w:r>
      <w:r>
        <w:rPr>
          <w:rFonts w:eastAsiaTheme="minorEastAsia"/>
          <w:noProof/>
          <w:kern w:val="2"/>
          <w:sz w:val="24"/>
          <w:szCs w:val="24"/>
          <w:lang w:eastAsia="en-GB"/>
          <w14:ligatures w14:val="standardContextual"/>
        </w:rPr>
        <w:tab/>
      </w:r>
      <w:r>
        <w:rPr>
          <w:noProof/>
        </w:rPr>
        <w:t>Guidance</w:t>
      </w:r>
      <w:r>
        <w:rPr>
          <w:noProof/>
        </w:rPr>
        <w:tab/>
      </w:r>
      <w:r>
        <w:rPr>
          <w:noProof/>
        </w:rPr>
        <w:fldChar w:fldCharType="begin"/>
      </w:r>
      <w:r>
        <w:rPr>
          <w:noProof/>
        </w:rPr>
        <w:instrText xml:space="preserve"> PAGEREF _Toc238735930 \h </w:instrText>
      </w:r>
      <w:r>
        <w:rPr>
          <w:noProof/>
        </w:rPr>
      </w:r>
      <w:r>
        <w:rPr>
          <w:noProof/>
        </w:rPr>
        <w:fldChar w:fldCharType="separate"/>
      </w:r>
      <w:r>
        <w:rPr>
          <w:noProof/>
        </w:rPr>
        <w:t>15-3</w:t>
      </w:r>
      <w:r>
        <w:rPr>
          <w:noProof/>
        </w:rPr>
        <w:fldChar w:fldCharType="end"/>
      </w:r>
    </w:p>
    <w:p w14:paraId="099CEB41" w14:textId="67938DD0" w:rsidR="00CB06AE" w:rsidRDefault="00CB06AE">
      <w:pPr>
        <w:pStyle w:val="TOC2"/>
        <w:rPr>
          <w:rFonts w:eastAsiaTheme="minorEastAsia"/>
          <w:noProof/>
          <w:kern w:val="2"/>
          <w:sz w:val="24"/>
          <w:szCs w:val="24"/>
          <w:lang w:eastAsia="en-GB"/>
          <w14:ligatures w14:val="standardContextual"/>
        </w:rPr>
      </w:pPr>
      <w:r>
        <w:rPr>
          <w:noProof/>
        </w:rPr>
        <w:t>15.3 Methodology</w:t>
      </w:r>
      <w:r>
        <w:rPr>
          <w:noProof/>
        </w:rPr>
        <w:tab/>
      </w:r>
      <w:r>
        <w:rPr>
          <w:noProof/>
        </w:rPr>
        <w:fldChar w:fldCharType="begin"/>
      </w:r>
      <w:r>
        <w:rPr>
          <w:noProof/>
        </w:rPr>
        <w:instrText xml:space="preserve"> PAGEREF _Toc238735931 \h </w:instrText>
      </w:r>
      <w:r>
        <w:rPr>
          <w:noProof/>
        </w:rPr>
      </w:r>
      <w:r>
        <w:rPr>
          <w:noProof/>
        </w:rPr>
        <w:fldChar w:fldCharType="separate"/>
      </w:r>
      <w:r>
        <w:rPr>
          <w:noProof/>
        </w:rPr>
        <w:t>15-3</w:t>
      </w:r>
      <w:r>
        <w:rPr>
          <w:noProof/>
        </w:rPr>
        <w:fldChar w:fldCharType="end"/>
      </w:r>
    </w:p>
    <w:p w14:paraId="63F9E49E" w14:textId="78FE5940" w:rsidR="00CB06AE" w:rsidRDefault="00CB06AE">
      <w:pPr>
        <w:pStyle w:val="TOC3"/>
        <w:tabs>
          <w:tab w:val="left" w:pos="1440"/>
        </w:tabs>
        <w:rPr>
          <w:rFonts w:eastAsiaTheme="minorEastAsia"/>
          <w:noProof/>
          <w:kern w:val="2"/>
          <w:sz w:val="24"/>
          <w:szCs w:val="24"/>
          <w:lang w:eastAsia="en-GB"/>
          <w14:ligatures w14:val="standardContextual"/>
        </w:rPr>
      </w:pPr>
      <w:r>
        <w:rPr>
          <w:noProof/>
        </w:rPr>
        <w:t>15.3.1</w:t>
      </w:r>
      <w:r>
        <w:rPr>
          <w:rFonts w:eastAsiaTheme="minorEastAsia"/>
          <w:noProof/>
          <w:kern w:val="2"/>
          <w:sz w:val="24"/>
          <w:szCs w:val="24"/>
          <w:lang w:eastAsia="en-GB"/>
          <w14:ligatures w14:val="standardContextual"/>
        </w:rPr>
        <w:tab/>
      </w:r>
      <w:r>
        <w:rPr>
          <w:noProof/>
        </w:rPr>
        <w:t>Study Area</w:t>
      </w:r>
      <w:r>
        <w:rPr>
          <w:noProof/>
        </w:rPr>
        <w:tab/>
      </w:r>
      <w:r>
        <w:rPr>
          <w:noProof/>
        </w:rPr>
        <w:fldChar w:fldCharType="begin"/>
      </w:r>
      <w:r>
        <w:rPr>
          <w:noProof/>
        </w:rPr>
        <w:instrText xml:space="preserve"> PAGEREF _Toc238735932 \h </w:instrText>
      </w:r>
      <w:r>
        <w:rPr>
          <w:noProof/>
        </w:rPr>
      </w:r>
      <w:r>
        <w:rPr>
          <w:noProof/>
        </w:rPr>
        <w:fldChar w:fldCharType="separate"/>
      </w:r>
      <w:r>
        <w:rPr>
          <w:noProof/>
        </w:rPr>
        <w:t>15-4</w:t>
      </w:r>
      <w:r>
        <w:rPr>
          <w:noProof/>
        </w:rPr>
        <w:fldChar w:fldCharType="end"/>
      </w:r>
    </w:p>
    <w:p w14:paraId="04C47099" w14:textId="783D714E" w:rsidR="00CB06AE" w:rsidRDefault="00CB06AE">
      <w:pPr>
        <w:pStyle w:val="TOC3"/>
        <w:tabs>
          <w:tab w:val="left" w:pos="1440"/>
        </w:tabs>
        <w:rPr>
          <w:rFonts w:eastAsiaTheme="minorEastAsia"/>
          <w:noProof/>
          <w:kern w:val="2"/>
          <w:sz w:val="24"/>
          <w:szCs w:val="24"/>
          <w:lang w:eastAsia="en-GB"/>
          <w14:ligatures w14:val="standardContextual"/>
        </w:rPr>
      </w:pPr>
      <w:r>
        <w:rPr>
          <w:noProof/>
        </w:rPr>
        <w:t>15.3.2</w:t>
      </w:r>
      <w:r>
        <w:rPr>
          <w:rFonts w:eastAsiaTheme="minorEastAsia"/>
          <w:noProof/>
          <w:kern w:val="2"/>
          <w:sz w:val="24"/>
          <w:szCs w:val="24"/>
          <w:lang w:eastAsia="en-GB"/>
          <w14:ligatures w14:val="standardContextual"/>
        </w:rPr>
        <w:tab/>
      </w:r>
      <w:r>
        <w:rPr>
          <w:noProof/>
        </w:rPr>
        <w:t>Baseline Environment</w:t>
      </w:r>
      <w:r>
        <w:rPr>
          <w:noProof/>
        </w:rPr>
        <w:tab/>
      </w:r>
      <w:r>
        <w:rPr>
          <w:noProof/>
        </w:rPr>
        <w:fldChar w:fldCharType="begin"/>
      </w:r>
      <w:r>
        <w:rPr>
          <w:noProof/>
        </w:rPr>
        <w:instrText xml:space="preserve"> PAGEREF _Toc238735933 \h </w:instrText>
      </w:r>
      <w:r>
        <w:rPr>
          <w:noProof/>
        </w:rPr>
      </w:r>
      <w:r>
        <w:rPr>
          <w:noProof/>
        </w:rPr>
        <w:fldChar w:fldCharType="separate"/>
      </w:r>
      <w:r>
        <w:rPr>
          <w:noProof/>
        </w:rPr>
        <w:t>15-4</w:t>
      </w:r>
      <w:r>
        <w:rPr>
          <w:noProof/>
        </w:rPr>
        <w:fldChar w:fldCharType="end"/>
      </w:r>
    </w:p>
    <w:p w14:paraId="7F203FF8" w14:textId="2FCD5580" w:rsidR="00CB06AE" w:rsidRDefault="00CB06AE">
      <w:pPr>
        <w:pStyle w:val="TOC3"/>
        <w:tabs>
          <w:tab w:val="left" w:pos="1440"/>
        </w:tabs>
        <w:rPr>
          <w:rFonts w:eastAsiaTheme="minorEastAsia"/>
          <w:noProof/>
          <w:kern w:val="2"/>
          <w:sz w:val="24"/>
          <w:szCs w:val="24"/>
          <w:lang w:eastAsia="en-GB"/>
          <w14:ligatures w14:val="standardContextual"/>
        </w:rPr>
      </w:pPr>
      <w:r>
        <w:rPr>
          <w:noProof/>
        </w:rPr>
        <w:t>15.3.3</w:t>
      </w:r>
      <w:r>
        <w:rPr>
          <w:rFonts w:eastAsiaTheme="minorEastAsia"/>
          <w:noProof/>
          <w:kern w:val="2"/>
          <w:sz w:val="24"/>
          <w:szCs w:val="24"/>
          <w:lang w:eastAsia="en-GB"/>
          <w14:ligatures w14:val="standardContextual"/>
        </w:rPr>
        <w:tab/>
      </w:r>
      <w:r>
        <w:rPr>
          <w:noProof/>
        </w:rPr>
        <w:t>Identifying Significant Environmental Effects</w:t>
      </w:r>
      <w:r>
        <w:rPr>
          <w:noProof/>
        </w:rPr>
        <w:tab/>
      </w:r>
      <w:r>
        <w:rPr>
          <w:noProof/>
        </w:rPr>
        <w:fldChar w:fldCharType="begin"/>
      </w:r>
      <w:r>
        <w:rPr>
          <w:noProof/>
        </w:rPr>
        <w:instrText xml:space="preserve"> PAGEREF _Toc238735934 \h </w:instrText>
      </w:r>
      <w:r>
        <w:rPr>
          <w:noProof/>
        </w:rPr>
      </w:r>
      <w:r>
        <w:rPr>
          <w:noProof/>
        </w:rPr>
        <w:fldChar w:fldCharType="separate"/>
      </w:r>
      <w:r>
        <w:rPr>
          <w:noProof/>
        </w:rPr>
        <w:t>15-4</w:t>
      </w:r>
      <w:r>
        <w:rPr>
          <w:noProof/>
        </w:rPr>
        <w:fldChar w:fldCharType="end"/>
      </w:r>
    </w:p>
    <w:p w14:paraId="13431B9C" w14:textId="40952F69" w:rsidR="00CB06AE" w:rsidRDefault="00CB06AE">
      <w:pPr>
        <w:pStyle w:val="TOC3"/>
        <w:tabs>
          <w:tab w:val="left" w:pos="1440"/>
        </w:tabs>
        <w:rPr>
          <w:rFonts w:eastAsiaTheme="minorEastAsia"/>
          <w:noProof/>
          <w:kern w:val="2"/>
          <w:sz w:val="24"/>
          <w:szCs w:val="24"/>
          <w:lang w:eastAsia="en-GB"/>
          <w14:ligatures w14:val="standardContextual"/>
        </w:rPr>
      </w:pPr>
      <w:r>
        <w:rPr>
          <w:noProof/>
        </w:rPr>
        <w:t>15.3.4</w:t>
      </w:r>
      <w:r>
        <w:rPr>
          <w:rFonts w:eastAsiaTheme="minorEastAsia"/>
          <w:noProof/>
          <w:kern w:val="2"/>
          <w:sz w:val="24"/>
          <w:szCs w:val="24"/>
          <w:lang w:eastAsia="en-GB"/>
          <w14:ligatures w14:val="standardContextual"/>
        </w:rPr>
        <w:tab/>
      </w:r>
      <w:r>
        <w:rPr>
          <w:noProof/>
        </w:rPr>
        <w:t>Determination of Sensitive Receptors</w:t>
      </w:r>
      <w:r>
        <w:rPr>
          <w:noProof/>
        </w:rPr>
        <w:tab/>
      </w:r>
      <w:r>
        <w:rPr>
          <w:noProof/>
        </w:rPr>
        <w:fldChar w:fldCharType="begin"/>
      </w:r>
      <w:r>
        <w:rPr>
          <w:noProof/>
        </w:rPr>
        <w:instrText xml:space="preserve"> PAGEREF _Toc238735935 \h </w:instrText>
      </w:r>
      <w:r>
        <w:rPr>
          <w:noProof/>
        </w:rPr>
      </w:r>
      <w:r>
        <w:rPr>
          <w:noProof/>
        </w:rPr>
        <w:fldChar w:fldCharType="separate"/>
      </w:r>
      <w:r>
        <w:rPr>
          <w:noProof/>
        </w:rPr>
        <w:t>15-6</w:t>
      </w:r>
      <w:r>
        <w:rPr>
          <w:noProof/>
        </w:rPr>
        <w:fldChar w:fldCharType="end"/>
      </w:r>
    </w:p>
    <w:p w14:paraId="1086F5BC" w14:textId="19FDFA73" w:rsidR="00CB06AE" w:rsidRDefault="00CB06AE">
      <w:pPr>
        <w:pStyle w:val="TOC3"/>
        <w:tabs>
          <w:tab w:val="left" w:pos="1440"/>
        </w:tabs>
        <w:rPr>
          <w:rFonts w:eastAsiaTheme="minorEastAsia"/>
          <w:noProof/>
          <w:kern w:val="2"/>
          <w:sz w:val="24"/>
          <w:szCs w:val="24"/>
          <w:lang w:eastAsia="en-GB"/>
          <w14:ligatures w14:val="standardContextual"/>
        </w:rPr>
      </w:pPr>
      <w:r>
        <w:rPr>
          <w:noProof/>
        </w:rPr>
        <w:t>15.3.5</w:t>
      </w:r>
      <w:r>
        <w:rPr>
          <w:rFonts w:eastAsiaTheme="minorEastAsia"/>
          <w:noProof/>
          <w:kern w:val="2"/>
          <w:sz w:val="24"/>
          <w:szCs w:val="24"/>
          <w:lang w:eastAsia="en-GB"/>
          <w14:ligatures w14:val="standardContextual"/>
        </w:rPr>
        <w:tab/>
      </w:r>
      <w:r>
        <w:rPr>
          <w:noProof/>
        </w:rPr>
        <w:t>Describing Potential Effects</w:t>
      </w:r>
      <w:r>
        <w:rPr>
          <w:noProof/>
        </w:rPr>
        <w:tab/>
      </w:r>
      <w:r>
        <w:rPr>
          <w:noProof/>
        </w:rPr>
        <w:fldChar w:fldCharType="begin"/>
      </w:r>
      <w:r>
        <w:rPr>
          <w:noProof/>
        </w:rPr>
        <w:instrText xml:space="preserve"> PAGEREF _Toc238735936 \h </w:instrText>
      </w:r>
      <w:r>
        <w:rPr>
          <w:noProof/>
        </w:rPr>
      </w:r>
      <w:r>
        <w:rPr>
          <w:noProof/>
        </w:rPr>
        <w:fldChar w:fldCharType="separate"/>
      </w:r>
      <w:r>
        <w:rPr>
          <w:noProof/>
        </w:rPr>
        <w:t>15-6</w:t>
      </w:r>
      <w:r>
        <w:rPr>
          <w:noProof/>
        </w:rPr>
        <w:fldChar w:fldCharType="end"/>
      </w:r>
    </w:p>
    <w:p w14:paraId="248DDA68" w14:textId="57F29AB2" w:rsidR="00CB06AE" w:rsidRDefault="00CB06AE">
      <w:pPr>
        <w:pStyle w:val="TOC3"/>
        <w:tabs>
          <w:tab w:val="left" w:pos="1440"/>
        </w:tabs>
        <w:rPr>
          <w:rFonts w:eastAsiaTheme="minorEastAsia"/>
          <w:noProof/>
          <w:kern w:val="2"/>
          <w:sz w:val="24"/>
          <w:szCs w:val="24"/>
          <w:lang w:eastAsia="en-GB"/>
          <w14:ligatures w14:val="standardContextual"/>
        </w:rPr>
      </w:pPr>
      <w:r>
        <w:rPr>
          <w:noProof/>
        </w:rPr>
        <w:t>15.3.6</w:t>
      </w:r>
      <w:r>
        <w:rPr>
          <w:rFonts w:eastAsiaTheme="minorEastAsia"/>
          <w:noProof/>
          <w:kern w:val="2"/>
          <w:sz w:val="24"/>
          <w:szCs w:val="24"/>
          <w:lang w:eastAsia="en-GB"/>
          <w14:ligatures w14:val="standardContextual"/>
        </w:rPr>
        <w:tab/>
      </w:r>
      <w:r>
        <w:rPr>
          <w:noProof/>
        </w:rPr>
        <w:t>Significance of Effect</w:t>
      </w:r>
      <w:r>
        <w:rPr>
          <w:noProof/>
        </w:rPr>
        <w:tab/>
      </w:r>
      <w:r>
        <w:rPr>
          <w:noProof/>
        </w:rPr>
        <w:fldChar w:fldCharType="begin"/>
      </w:r>
      <w:r>
        <w:rPr>
          <w:noProof/>
        </w:rPr>
        <w:instrText xml:space="preserve"> PAGEREF _Toc238735937 \h </w:instrText>
      </w:r>
      <w:r>
        <w:rPr>
          <w:noProof/>
        </w:rPr>
      </w:r>
      <w:r>
        <w:rPr>
          <w:noProof/>
        </w:rPr>
        <w:fldChar w:fldCharType="separate"/>
      </w:r>
      <w:r>
        <w:rPr>
          <w:noProof/>
        </w:rPr>
        <w:t>15-7</w:t>
      </w:r>
      <w:r>
        <w:rPr>
          <w:noProof/>
        </w:rPr>
        <w:fldChar w:fldCharType="end"/>
      </w:r>
    </w:p>
    <w:p w14:paraId="71008897" w14:textId="67BA6572" w:rsidR="00CB06AE" w:rsidRDefault="00CB06AE">
      <w:pPr>
        <w:pStyle w:val="TOC3"/>
        <w:tabs>
          <w:tab w:val="left" w:pos="1440"/>
        </w:tabs>
        <w:rPr>
          <w:rFonts w:eastAsiaTheme="minorEastAsia"/>
          <w:noProof/>
          <w:kern w:val="2"/>
          <w:sz w:val="24"/>
          <w:szCs w:val="24"/>
          <w:lang w:eastAsia="en-GB"/>
          <w14:ligatures w14:val="standardContextual"/>
        </w:rPr>
      </w:pPr>
      <w:r>
        <w:rPr>
          <w:noProof/>
        </w:rPr>
        <w:t>15.3.7</w:t>
      </w:r>
      <w:r>
        <w:rPr>
          <w:rFonts w:eastAsiaTheme="minorEastAsia"/>
          <w:noProof/>
          <w:kern w:val="2"/>
          <w:sz w:val="24"/>
          <w:szCs w:val="24"/>
          <w:lang w:eastAsia="en-GB"/>
          <w14:ligatures w14:val="standardContextual"/>
        </w:rPr>
        <w:tab/>
      </w:r>
      <w:r>
        <w:rPr>
          <w:noProof/>
        </w:rPr>
        <w:t>Assumptions and Limitations</w:t>
      </w:r>
      <w:r>
        <w:rPr>
          <w:noProof/>
        </w:rPr>
        <w:tab/>
      </w:r>
      <w:r>
        <w:rPr>
          <w:noProof/>
        </w:rPr>
        <w:fldChar w:fldCharType="begin"/>
      </w:r>
      <w:r>
        <w:rPr>
          <w:noProof/>
        </w:rPr>
        <w:instrText xml:space="preserve"> PAGEREF _Toc238735938 \h </w:instrText>
      </w:r>
      <w:r>
        <w:rPr>
          <w:noProof/>
        </w:rPr>
      </w:r>
      <w:r>
        <w:rPr>
          <w:noProof/>
        </w:rPr>
        <w:fldChar w:fldCharType="separate"/>
      </w:r>
      <w:r>
        <w:rPr>
          <w:noProof/>
        </w:rPr>
        <w:t>15-8</w:t>
      </w:r>
      <w:r>
        <w:rPr>
          <w:noProof/>
        </w:rPr>
        <w:fldChar w:fldCharType="end"/>
      </w:r>
    </w:p>
    <w:p w14:paraId="3C850DA1" w14:textId="50352575" w:rsidR="00CB06AE" w:rsidRDefault="00CB06AE">
      <w:pPr>
        <w:pStyle w:val="TOC2"/>
        <w:rPr>
          <w:rFonts w:eastAsiaTheme="minorEastAsia"/>
          <w:noProof/>
          <w:kern w:val="2"/>
          <w:sz w:val="24"/>
          <w:szCs w:val="24"/>
          <w:lang w:eastAsia="en-GB"/>
          <w14:ligatures w14:val="standardContextual"/>
        </w:rPr>
      </w:pPr>
      <w:r>
        <w:rPr>
          <w:noProof/>
        </w:rPr>
        <w:t>15.4 Baseline Environment</w:t>
      </w:r>
      <w:r>
        <w:rPr>
          <w:noProof/>
        </w:rPr>
        <w:tab/>
      </w:r>
      <w:r>
        <w:rPr>
          <w:noProof/>
        </w:rPr>
        <w:fldChar w:fldCharType="begin"/>
      </w:r>
      <w:r>
        <w:rPr>
          <w:noProof/>
        </w:rPr>
        <w:instrText xml:space="preserve"> PAGEREF _Toc238735939 \h </w:instrText>
      </w:r>
      <w:r>
        <w:rPr>
          <w:noProof/>
        </w:rPr>
      </w:r>
      <w:r>
        <w:rPr>
          <w:noProof/>
        </w:rPr>
        <w:fldChar w:fldCharType="separate"/>
      </w:r>
      <w:r>
        <w:rPr>
          <w:noProof/>
        </w:rPr>
        <w:t>15-8</w:t>
      </w:r>
      <w:r>
        <w:rPr>
          <w:noProof/>
        </w:rPr>
        <w:fldChar w:fldCharType="end"/>
      </w:r>
    </w:p>
    <w:p w14:paraId="5768AE3B" w14:textId="47BDB405" w:rsidR="00CB06AE" w:rsidRDefault="00CB06AE">
      <w:pPr>
        <w:pStyle w:val="TOC3"/>
        <w:tabs>
          <w:tab w:val="left" w:pos="1440"/>
        </w:tabs>
        <w:rPr>
          <w:rFonts w:eastAsiaTheme="minorEastAsia"/>
          <w:noProof/>
          <w:kern w:val="2"/>
          <w:sz w:val="24"/>
          <w:szCs w:val="24"/>
          <w:lang w:eastAsia="en-GB"/>
          <w14:ligatures w14:val="standardContextual"/>
        </w:rPr>
      </w:pPr>
      <w:r>
        <w:rPr>
          <w:noProof/>
        </w:rPr>
        <w:t>15.4.1</w:t>
      </w:r>
      <w:r>
        <w:rPr>
          <w:rFonts w:eastAsiaTheme="minorEastAsia"/>
          <w:noProof/>
          <w:kern w:val="2"/>
          <w:sz w:val="24"/>
          <w:szCs w:val="24"/>
          <w:lang w:eastAsia="en-GB"/>
          <w14:ligatures w14:val="standardContextual"/>
        </w:rPr>
        <w:tab/>
      </w:r>
      <w:r>
        <w:rPr>
          <w:noProof/>
        </w:rPr>
        <w:t>Facilities</w:t>
      </w:r>
      <w:r>
        <w:rPr>
          <w:noProof/>
        </w:rPr>
        <w:tab/>
      </w:r>
      <w:r>
        <w:rPr>
          <w:noProof/>
        </w:rPr>
        <w:fldChar w:fldCharType="begin"/>
      </w:r>
      <w:r>
        <w:rPr>
          <w:noProof/>
        </w:rPr>
        <w:instrText xml:space="preserve"> PAGEREF _Toc238735940 \h </w:instrText>
      </w:r>
      <w:r>
        <w:rPr>
          <w:noProof/>
        </w:rPr>
      </w:r>
      <w:r>
        <w:rPr>
          <w:noProof/>
        </w:rPr>
        <w:fldChar w:fldCharType="separate"/>
      </w:r>
      <w:r>
        <w:rPr>
          <w:noProof/>
        </w:rPr>
        <w:t>15-8</w:t>
      </w:r>
      <w:r>
        <w:rPr>
          <w:noProof/>
        </w:rPr>
        <w:fldChar w:fldCharType="end"/>
      </w:r>
    </w:p>
    <w:p w14:paraId="65F0F7FB" w14:textId="242C8A7A" w:rsidR="00CB06AE" w:rsidRDefault="00CB06AE">
      <w:pPr>
        <w:pStyle w:val="TOC3"/>
        <w:tabs>
          <w:tab w:val="left" w:pos="1440"/>
        </w:tabs>
        <w:rPr>
          <w:rFonts w:eastAsiaTheme="minorEastAsia"/>
          <w:noProof/>
          <w:kern w:val="2"/>
          <w:sz w:val="24"/>
          <w:szCs w:val="24"/>
          <w:lang w:eastAsia="en-GB"/>
          <w14:ligatures w14:val="standardContextual"/>
        </w:rPr>
      </w:pPr>
      <w:r>
        <w:rPr>
          <w:noProof/>
        </w:rPr>
        <w:t>15.4.2</w:t>
      </w:r>
      <w:r>
        <w:rPr>
          <w:rFonts w:eastAsiaTheme="minorEastAsia"/>
          <w:noProof/>
          <w:kern w:val="2"/>
          <w:sz w:val="24"/>
          <w:szCs w:val="24"/>
          <w:lang w:eastAsia="en-GB"/>
          <w14:ligatures w14:val="standardContextual"/>
        </w:rPr>
        <w:tab/>
      </w:r>
      <w:r>
        <w:rPr>
          <w:noProof/>
        </w:rPr>
        <w:t>Location and receptors</w:t>
      </w:r>
      <w:r>
        <w:rPr>
          <w:noProof/>
        </w:rPr>
        <w:tab/>
      </w:r>
      <w:r>
        <w:rPr>
          <w:noProof/>
        </w:rPr>
        <w:fldChar w:fldCharType="begin"/>
      </w:r>
      <w:r>
        <w:rPr>
          <w:noProof/>
        </w:rPr>
        <w:instrText xml:space="preserve"> PAGEREF _Toc238735941 \h </w:instrText>
      </w:r>
      <w:r>
        <w:rPr>
          <w:noProof/>
        </w:rPr>
      </w:r>
      <w:r>
        <w:rPr>
          <w:noProof/>
        </w:rPr>
        <w:fldChar w:fldCharType="separate"/>
      </w:r>
      <w:r>
        <w:rPr>
          <w:noProof/>
        </w:rPr>
        <w:t>15-8</w:t>
      </w:r>
      <w:r>
        <w:rPr>
          <w:noProof/>
        </w:rPr>
        <w:fldChar w:fldCharType="end"/>
      </w:r>
    </w:p>
    <w:p w14:paraId="68663D42" w14:textId="519F3DB5" w:rsidR="00CB06AE" w:rsidRDefault="00CB06AE">
      <w:pPr>
        <w:pStyle w:val="TOC2"/>
        <w:rPr>
          <w:rFonts w:eastAsiaTheme="minorEastAsia"/>
          <w:noProof/>
          <w:kern w:val="2"/>
          <w:sz w:val="24"/>
          <w:szCs w:val="24"/>
          <w:lang w:eastAsia="en-GB"/>
          <w14:ligatures w14:val="standardContextual"/>
        </w:rPr>
      </w:pPr>
      <w:r>
        <w:rPr>
          <w:noProof/>
        </w:rPr>
        <w:t>15.5 Potential Impacts</w:t>
      </w:r>
      <w:r>
        <w:rPr>
          <w:noProof/>
        </w:rPr>
        <w:tab/>
      </w:r>
      <w:r>
        <w:rPr>
          <w:noProof/>
        </w:rPr>
        <w:fldChar w:fldCharType="begin"/>
      </w:r>
      <w:r>
        <w:rPr>
          <w:noProof/>
        </w:rPr>
        <w:instrText xml:space="preserve"> PAGEREF _Toc238735942 \h </w:instrText>
      </w:r>
      <w:r>
        <w:rPr>
          <w:noProof/>
        </w:rPr>
      </w:r>
      <w:r>
        <w:rPr>
          <w:noProof/>
        </w:rPr>
        <w:fldChar w:fldCharType="separate"/>
      </w:r>
      <w:r>
        <w:rPr>
          <w:noProof/>
        </w:rPr>
        <w:t>15-8</w:t>
      </w:r>
      <w:r>
        <w:rPr>
          <w:noProof/>
        </w:rPr>
        <w:fldChar w:fldCharType="end"/>
      </w:r>
    </w:p>
    <w:p w14:paraId="35490E74" w14:textId="10083A65" w:rsidR="00CB06AE" w:rsidRDefault="00CB06AE">
      <w:pPr>
        <w:pStyle w:val="TOC3"/>
        <w:tabs>
          <w:tab w:val="left" w:pos="1440"/>
        </w:tabs>
        <w:rPr>
          <w:rFonts w:eastAsiaTheme="minorEastAsia"/>
          <w:noProof/>
          <w:kern w:val="2"/>
          <w:sz w:val="24"/>
          <w:szCs w:val="24"/>
          <w:lang w:eastAsia="en-GB"/>
          <w14:ligatures w14:val="standardContextual"/>
        </w:rPr>
      </w:pPr>
      <w:r>
        <w:rPr>
          <w:noProof/>
        </w:rPr>
        <w:t>15.5.1</w:t>
      </w:r>
      <w:r>
        <w:rPr>
          <w:rFonts w:eastAsiaTheme="minorEastAsia"/>
          <w:noProof/>
          <w:kern w:val="2"/>
          <w:sz w:val="24"/>
          <w:szCs w:val="24"/>
          <w:lang w:eastAsia="en-GB"/>
          <w14:ligatures w14:val="standardContextual"/>
        </w:rPr>
        <w:tab/>
      </w:r>
      <w:r>
        <w:rPr>
          <w:noProof/>
        </w:rPr>
        <w:t>Construction</w:t>
      </w:r>
      <w:r>
        <w:rPr>
          <w:noProof/>
        </w:rPr>
        <w:tab/>
      </w:r>
      <w:r>
        <w:rPr>
          <w:noProof/>
        </w:rPr>
        <w:fldChar w:fldCharType="begin"/>
      </w:r>
      <w:r>
        <w:rPr>
          <w:noProof/>
        </w:rPr>
        <w:instrText xml:space="preserve"> PAGEREF _Toc238735943 \h </w:instrText>
      </w:r>
      <w:r>
        <w:rPr>
          <w:noProof/>
        </w:rPr>
      </w:r>
      <w:r>
        <w:rPr>
          <w:noProof/>
        </w:rPr>
        <w:fldChar w:fldCharType="separate"/>
      </w:r>
      <w:r>
        <w:rPr>
          <w:noProof/>
        </w:rPr>
        <w:t>15-8</w:t>
      </w:r>
      <w:r>
        <w:rPr>
          <w:noProof/>
        </w:rPr>
        <w:fldChar w:fldCharType="end"/>
      </w:r>
    </w:p>
    <w:p w14:paraId="4EBC4D2F" w14:textId="067D7CD0" w:rsidR="00CB06AE" w:rsidRDefault="00CB06AE">
      <w:pPr>
        <w:pStyle w:val="TOC3"/>
        <w:tabs>
          <w:tab w:val="left" w:pos="1440"/>
        </w:tabs>
        <w:rPr>
          <w:rFonts w:eastAsiaTheme="minorEastAsia"/>
          <w:noProof/>
          <w:kern w:val="2"/>
          <w:sz w:val="24"/>
          <w:szCs w:val="24"/>
          <w:lang w:eastAsia="en-GB"/>
          <w14:ligatures w14:val="standardContextual"/>
        </w:rPr>
      </w:pPr>
      <w:r>
        <w:rPr>
          <w:noProof/>
        </w:rPr>
        <w:t>15.5.2</w:t>
      </w:r>
      <w:r>
        <w:rPr>
          <w:rFonts w:eastAsiaTheme="minorEastAsia"/>
          <w:noProof/>
          <w:kern w:val="2"/>
          <w:sz w:val="24"/>
          <w:szCs w:val="24"/>
          <w:lang w:eastAsia="en-GB"/>
          <w14:ligatures w14:val="standardContextual"/>
        </w:rPr>
        <w:tab/>
      </w:r>
      <w:r>
        <w:rPr>
          <w:noProof/>
        </w:rPr>
        <w:t>Operation</w:t>
      </w:r>
      <w:r>
        <w:rPr>
          <w:noProof/>
        </w:rPr>
        <w:tab/>
      </w:r>
      <w:r>
        <w:rPr>
          <w:noProof/>
        </w:rPr>
        <w:fldChar w:fldCharType="begin"/>
      </w:r>
      <w:r>
        <w:rPr>
          <w:noProof/>
        </w:rPr>
        <w:instrText xml:space="preserve"> PAGEREF _Toc238735944 \h </w:instrText>
      </w:r>
      <w:r>
        <w:rPr>
          <w:noProof/>
        </w:rPr>
      </w:r>
      <w:r>
        <w:rPr>
          <w:noProof/>
        </w:rPr>
        <w:fldChar w:fldCharType="separate"/>
      </w:r>
      <w:r>
        <w:rPr>
          <w:noProof/>
        </w:rPr>
        <w:t>15-9</w:t>
      </w:r>
      <w:r>
        <w:rPr>
          <w:noProof/>
        </w:rPr>
        <w:fldChar w:fldCharType="end"/>
      </w:r>
    </w:p>
    <w:p w14:paraId="28E9E422" w14:textId="3DEB7326" w:rsidR="00CB06AE" w:rsidRDefault="00CB06AE">
      <w:pPr>
        <w:pStyle w:val="TOC3"/>
        <w:tabs>
          <w:tab w:val="left" w:pos="1440"/>
        </w:tabs>
        <w:rPr>
          <w:rFonts w:eastAsiaTheme="minorEastAsia"/>
          <w:noProof/>
          <w:kern w:val="2"/>
          <w:sz w:val="24"/>
          <w:szCs w:val="24"/>
          <w:lang w:eastAsia="en-GB"/>
          <w14:ligatures w14:val="standardContextual"/>
        </w:rPr>
      </w:pPr>
      <w:r>
        <w:rPr>
          <w:noProof/>
        </w:rPr>
        <w:t>15.5.3</w:t>
      </w:r>
      <w:r>
        <w:rPr>
          <w:rFonts w:eastAsiaTheme="minorEastAsia"/>
          <w:noProof/>
          <w:kern w:val="2"/>
          <w:sz w:val="24"/>
          <w:szCs w:val="24"/>
          <w:lang w:eastAsia="en-GB"/>
          <w14:ligatures w14:val="standardContextual"/>
        </w:rPr>
        <w:tab/>
      </w:r>
      <w:r>
        <w:rPr>
          <w:noProof/>
        </w:rPr>
        <w:t>Indirect, Secondary &amp; Transboundary Effects</w:t>
      </w:r>
      <w:r>
        <w:rPr>
          <w:noProof/>
        </w:rPr>
        <w:tab/>
      </w:r>
      <w:r>
        <w:rPr>
          <w:noProof/>
        </w:rPr>
        <w:fldChar w:fldCharType="begin"/>
      </w:r>
      <w:r>
        <w:rPr>
          <w:noProof/>
        </w:rPr>
        <w:instrText xml:space="preserve"> PAGEREF _Toc238735945 \h </w:instrText>
      </w:r>
      <w:r>
        <w:rPr>
          <w:noProof/>
        </w:rPr>
      </w:r>
      <w:r>
        <w:rPr>
          <w:noProof/>
        </w:rPr>
        <w:fldChar w:fldCharType="separate"/>
      </w:r>
      <w:r>
        <w:rPr>
          <w:noProof/>
        </w:rPr>
        <w:t>15-9</w:t>
      </w:r>
      <w:r>
        <w:rPr>
          <w:noProof/>
        </w:rPr>
        <w:fldChar w:fldCharType="end"/>
      </w:r>
    </w:p>
    <w:p w14:paraId="2FE1C0F2" w14:textId="724DBE55" w:rsidR="00CB06AE" w:rsidRDefault="00CB06AE">
      <w:pPr>
        <w:pStyle w:val="TOC3"/>
        <w:tabs>
          <w:tab w:val="left" w:pos="1440"/>
        </w:tabs>
        <w:rPr>
          <w:rFonts w:eastAsiaTheme="minorEastAsia"/>
          <w:noProof/>
          <w:kern w:val="2"/>
          <w:sz w:val="24"/>
          <w:szCs w:val="24"/>
          <w:lang w:eastAsia="en-GB"/>
          <w14:ligatures w14:val="standardContextual"/>
        </w:rPr>
      </w:pPr>
      <w:r>
        <w:rPr>
          <w:noProof/>
        </w:rPr>
        <w:t>15.5.4</w:t>
      </w:r>
      <w:r>
        <w:rPr>
          <w:rFonts w:eastAsiaTheme="minorEastAsia"/>
          <w:noProof/>
          <w:kern w:val="2"/>
          <w:sz w:val="24"/>
          <w:szCs w:val="24"/>
          <w:lang w:eastAsia="en-GB"/>
          <w14:ligatures w14:val="standardContextual"/>
        </w:rPr>
        <w:tab/>
      </w:r>
      <w:r>
        <w:rPr>
          <w:noProof/>
        </w:rPr>
        <w:t>Decommissioning Phase</w:t>
      </w:r>
      <w:r>
        <w:rPr>
          <w:noProof/>
        </w:rPr>
        <w:tab/>
      </w:r>
      <w:r>
        <w:rPr>
          <w:noProof/>
        </w:rPr>
        <w:fldChar w:fldCharType="begin"/>
      </w:r>
      <w:r>
        <w:rPr>
          <w:noProof/>
        </w:rPr>
        <w:instrText xml:space="preserve"> PAGEREF _Toc238735946 \h </w:instrText>
      </w:r>
      <w:r>
        <w:rPr>
          <w:noProof/>
        </w:rPr>
      </w:r>
      <w:r>
        <w:rPr>
          <w:noProof/>
        </w:rPr>
        <w:fldChar w:fldCharType="separate"/>
      </w:r>
      <w:r>
        <w:rPr>
          <w:noProof/>
        </w:rPr>
        <w:t>15-9</w:t>
      </w:r>
      <w:r>
        <w:rPr>
          <w:noProof/>
        </w:rPr>
        <w:fldChar w:fldCharType="end"/>
      </w:r>
    </w:p>
    <w:p w14:paraId="02B3E088" w14:textId="29C82566" w:rsidR="00CB06AE" w:rsidRDefault="00CB06AE">
      <w:pPr>
        <w:pStyle w:val="TOC3"/>
        <w:tabs>
          <w:tab w:val="left" w:pos="1440"/>
        </w:tabs>
        <w:rPr>
          <w:rFonts w:eastAsiaTheme="minorEastAsia"/>
          <w:noProof/>
          <w:kern w:val="2"/>
          <w:sz w:val="24"/>
          <w:szCs w:val="24"/>
          <w:lang w:eastAsia="en-GB"/>
          <w14:ligatures w14:val="standardContextual"/>
        </w:rPr>
      </w:pPr>
      <w:r>
        <w:rPr>
          <w:noProof/>
        </w:rPr>
        <w:t>15.5.5</w:t>
      </w:r>
      <w:r>
        <w:rPr>
          <w:rFonts w:eastAsiaTheme="minorEastAsia"/>
          <w:noProof/>
          <w:kern w:val="2"/>
          <w:sz w:val="24"/>
          <w:szCs w:val="24"/>
          <w:lang w:eastAsia="en-GB"/>
          <w14:ligatures w14:val="standardContextual"/>
        </w:rPr>
        <w:tab/>
      </w:r>
      <w:r>
        <w:rPr>
          <w:noProof/>
        </w:rPr>
        <w:t>Identification of Potential Accidents</w:t>
      </w:r>
      <w:r>
        <w:rPr>
          <w:noProof/>
        </w:rPr>
        <w:tab/>
      </w:r>
      <w:r>
        <w:rPr>
          <w:noProof/>
        </w:rPr>
        <w:fldChar w:fldCharType="begin"/>
      </w:r>
      <w:r>
        <w:rPr>
          <w:noProof/>
        </w:rPr>
        <w:instrText xml:space="preserve"> PAGEREF _Toc238735947 \h </w:instrText>
      </w:r>
      <w:r>
        <w:rPr>
          <w:noProof/>
        </w:rPr>
      </w:r>
      <w:r>
        <w:rPr>
          <w:noProof/>
        </w:rPr>
        <w:fldChar w:fldCharType="separate"/>
      </w:r>
      <w:r>
        <w:rPr>
          <w:noProof/>
        </w:rPr>
        <w:t>15-9</w:t>
      </w:r>
      <w:r>
        <w:rPr>
          <w:noProof/>
        </w:rPr>
        <w:fldChar w:fldCharType="end"/>
      </w:r>
    </w:p>
    <w:p w14:paraId="49B96200" w14:textId="49D618CF" w:rsidR="00CB06AE" w:rsidRDefault="00CB06AE">
      <w:pPr>
        <w:pStyle w:val="TOC3"/>
        <w:tabs>
          <w:tab w:val="left" w:pos="1440"/>
        </w:tabs>
        <w:rPr>
          <w:rFonts w:eastAsiaTheme="minorEastAsia"/>
          <w:noProof/>
          <w:kern w:val="2"/>
          <w:sz w:val="24"/>
          <w:szCs w:val="24"/>
          <w:lang w:eastAsia="en-GB"/>
          <w14:ligatures w14:val="standardContextual"/>
        </w:rPr>
      </w:pPr>
      <w:r>
        <w:rPr>
          <w:noProof/>
        </w:rPr>
        <w:t>15.5.6</w:t>
      </w:r>
      <w:r>
        <w:rPr>
          <w:rFonts w:eastAsiaTheme="minorEastAsia"/>
          <w:noProof/>
          <w:kern w:val="2"/>
          <w:sz w:val="24"/>
          <w:szCs w:val="24"/>
          <w:lang w:eastAsia="en-GB"/>
          <w14:ligatures w14:val="standardContextual"/>
        </w:rPr>
        <w:tab/>
      </w:r>
      <w:r>
        <w:rPr>
          <w:noProof/>
        </w:rPr>
        <w:t>Identification of Potential Disasters</w:t>
      </w:r>
      <w:r>
        <w:rPr>
          <w:noProof/>
        </w:rPr>
        <w:tab/>
      </w:r>
      <w:r>
        <w:rPr>
          <w:noProof/>
        </w:rPr>
        <w:fldChar w:fldCharType="begin"/>
      </w:r>
      <w:r>
        <w:rPr>
          <w:noProof/>
        </w:rPr>
        <w:instrText xml:space="preserve"> PAGEREF _Toc238735948 \h </w:instrText>
      </w:r>
      <w:r>
        <w:rPr>
          <w:noProof/>
        </w:rPr>
      </w:r>
      <w:r>
        <w:rPr>
          <w:noProof/>
        </w:rPr>
        <w:fldChar w:fldCharType="separate"/>
      </w:r>
      <w:r>
        <w:rPr>
          <w:noProof/>
        </w:rPr>
        <w:t>15-12</w:t>
      </w:r>
      <w:r>
        <w:rPr>
          <w:noProof/>
        </w:rPr>
        <w:fldChar w:fldCharType="end"/>
      </w:r>
    </w:p>
    <w:p w14:paraId="67F1745D" w14:textId="6DD22D56" w:rsidR="00CB06AE" w:rsidRDefault="00CB06AE">
      <w:pPr>
        <w:pStyle w:val="TOC3"/>
        <w:tabs>
          <w:tab w:val="left" w:pos="1440"/>
        </w:tabs>
        <w:rPr>
          <w:rFonts w:eastAsiaTheme="minorEastAsia"/>
          <w:noProof/>
          <w:kern w:val="2"/>
          <w:sz w:val="24"/>
          <w:szCs w:val="24"/>
          <w:lang w:eastAsia="en-GB"/>
          <w14:ligatures w14:val="standardContextual"/>
        </w:rPr>
      </w:pPr>
      <w:r>
        <w:rPr>
          <w:noProof/>
        </w:rPr>
        <w:t>15.5.7</w:t>
      </w:r>
      <w:r>
        <w:rPr>
          <w:rFonts w:eastAsiaTheme="minorEastAsia"/>
          <w:noProof/>
          <w:kern w:val="2"/>
          <w:sz w:val="24"/>
          <w:szCs w:val="24"/>
          <w:lang w:eastAsia="en-GB"/>
          <w14:ligatures w14:val="standardContextual"/>
        </w:rPr>
        <w:tab/>
      </w:r>
      <w:r>
        <w:rPr>
          <w:noProof/>
        </w:rPr>
        <w:t>Assessment of Major Accidents and Disasters</w:t>
      </w:r>
      <w:r>
        <w:rPr>
          <w:noProof/>
        </w:rPr>
        <w:tab/>
      </w:r>
      <w:r>
        <w:rPr>
          <w:noProof/>
        </w:rPr>
        <w:fldChar w:fldCharType="begin"/>
      </w:r>
      <w:r>
        <w:rPr>
          <w:noProof/>
        </w:rPr>
        <w:instrText xml:space="preserve"> PAGEREF _Toc238735949 \h </w:instrText>
      </w:r>
      <w:r>
        <w:rPr>
          <w:noProof/>
        </w:rPr>
      </w:r>
      <w:r>
        <w:rPr>
          <w:noProof/>
        </w:rPr>
        <w:fldChar w:fldCharType="separate"/>
      </w:r>
      <w:r>
        <w:rPr>
          <w:noProof/>
        </w:rPr>
        <w:t>15-16</w:t>
      </w:r>
      <w:r>
        <w:rPr>
          <w:noProof/>
        </w:rPr>
        <w:fldChar w:fldCharType="end"/>
      </w:r>
    </w:p>
    <w:p w14:paraId="350A06E0" w14:textId="42957D40" w:rsidR="00CB06AE" w:rsidRDefault="00CB06AE">
      <w:pPr>
        <w:pStyle w:val="TOC2"/>
        <w:rPr>
          <w:rFonts w:eastAsiaTheme="minorEastAsia"/>
          <w:noProof/>
          <w:kern w:val="2"/>
          <w:sz w:val="24"/>
          <w:szCs w:val="24"/>
          <w:lang w:eastAsia="en-GB"/>
          <w14:ligatures w14:val="standardContextual"/>
        </w:rPr>
      </w:pPr>
      <w:r>
        <w:rPr>
          <w:noProof/>
        </w:rPr>
        <w:t>15.6 Mitigation Measures</w:t>
      </w:r>
      <w:r>
        <w:rPr>
          <w:noProof/>
        </w:rPr>
        <w:tab/>
      </w:r>
      <w:r>
        <w:rPr>
          <w:noProof/>
        </w:rPr>
        <w:fldChar w:fldCharType="begin"/>
      </w:r>
      <w:r>
        <w:rPr>
          <w:noProof/>
        </w:rPr>
        <w:instrText xml:space="preserve"> PAGEREF _Toc238735950 \h </w:instrText>
      </w:r>
      <w:r>
        <w:rPr>
          <w:noProof/>
        </w:rPr>
      </w:r>
      <w:r>
        <w:rPr>
          <w:noProof/>
        </w:rPr>
        <w:fldChar w:fldCharType="separate"/>
      </w:r>
      <w:r>
        <w:rPr>
          <w:noProof/>
        </w:rPr>
        <w:t>15-18</w:t>
      </w:r>
      <w:r>
        <w:rPr>
          <w:noProof/>
        </w:rPr>
        <w:fldChar w:fldCharType="end"/>
      </w:r>
    </w:p>
    <w:p w14:paraId="5CB69936" w14:textId="2C0D73E7" w:rsidR="00CB06AE" w:rsidRDefault="00CB06AE">
      <w:pPr>
        <w:pStyle w:val="TOC3"/>
        <w:tabs>
          <w:tab w:val="left" w:pos="1440"/>
        </w:tabs>
        <w:rPr>
          <w:rFonts w:eastAsiaTheme="minorEastAsia"/>
          <w:noProof/>
          <w:kern w:val="2"/>
          <w:sz w:val="24"/>
          <w:szCs w:val="24"/>
          <w:lang w:eastAsia="en-GB"/>
          <w14:ligatures w14:val="standardContextual"/>
        </w:rPr>
      </w:pPr>
      <w:r>
        <w:rPr>
          <w:noProof/>
        </w:rPr>
        <w:t>15.6.1</w:t>
      </w:r>
      <w:r>
        <w:rPr>
          <w:rFonts w:eastAsiaTheme="minorEastAsia"/>
          <w:noProof/>
          <w:kern w:val="2"/>
          <w:sz w:val="24"/>
          <w:szCs w:val="24"/>
          <w:lang w:eastAsia="en-GB"/>
          <w14:ligatures w14:val="standardContextual"/>
        </w:rPr>
        <w:tab/>
      </w:r>
      <w:r>
        <w:rPr>
          <w:noProof/>
        </w:rPr>
        <w:t>Construction Phase</w:t>
      </w:r>
      <w:r>
        <w:rPr>
          <w:noProof/>
        </w:rPr>
        <w:tab/>
      </w:r>
      <w:r>
        <w:rPr>
          <w:noProof/>
        </w:rPr>
        <w:fldChar w:fldCharType="begin"/>
      </w:r>
      <w:r>
        <w:rPr>
          <w:noProof/>
        </w:rPr>
        <w:instrText xml:space="preserve"> PAGEREF _Toc238735951 \h </w:instrText>
      </w:r>
      <w:r>
        <w:rPr>
          <w:noProof/>
        </w:rPr>
      </w:r>
      <w:r>
        <w:rPr>
          <w:noProof/>
        </w:rPr>
        <w:fldChar w:fldCharType="separate"/>
      </w:r>
      <w:r>
        <w:rPr>
          <w:noProof/>
        </w:rPr>
        <w:t>15-18</w:t>
      </w:r>
      <w:r>
        <w:rPr>
          <w:noProof/>
        </w:rPr>
        <w:fldChar w:fldCharType="end"/>
      </w:r>
    </w:p>
    <w:p w14:paraId="6420A4A7" w14:textId="5768F714" w:rsidR="00CB06AE" w:rsidRDefault="00CB06AE">
      <w:pPr>
        <w:pStyle w:val="TOC3"/>
        <w:tabs>
          <w:tab w:val="left" w:pos="1440"/>
        </w:tabs>
        <w:rPr>
          <w:rFonts w:eastAsiaTheme="minorEastAsia"/>
          <w:noProof/>
          <w:kern w:val="2"/>
          <w:sz w:val="24"/>
          <w:szCs w:val="24"/>
          <w:lang w:eastAsia="en-GB"/>
          <w14:ligatures w14:val="standardContextual"/>
        </w:rPr>
      </w:pPr>
      <w:r>
        <w:rPr>
          <w:noProof/>
        </w:rPr>
        <w:t>15.6.2</w:t>
      </w:r>
      <w:r>
        <w:rPr>
          <w:rFonts w:eastAsiaTheme="minorEastAsia"/>
          <w:noProof/>
          <w:kern w:val="2"/>
          <w:sz w:val="24"/>
          <w:szCs w:val="24"/>
          <w:lang w:eastAsia="en-GB"/>
          <w14:ligatures w14:val="standardContextual"/>
        </w:rPr>
        <w:tab/>
      </w:r>
      <w:r>
        <w:rPr>
          <w:noProof/>
        </w:rPr>
        <w:t>Operational Phase</w:t>
      </w:r>
      <w:r>
        <w:rPr>
          <w:noProof/>
        </w:rPr>
        <w:tab/>
      </w:r>
      <w:r>
        <w:rPr>
          <w:noProof/>
        </w:rPr>
        <w:fldChar w:fldCharType="begin"/>
      </w:r>
      <w:r>
        <w:rPr>
          <w:noProof/>
        </w:rPr>
        <w:instrText xml:space="preserve"> PAGEREF _Toc238735952 \h </w:instrText>
      </w:r>
      <w:r>
        <w:rPr>
          <w:noProof/>
        </w:rPr>
      </w:r>
      <w:r>
        <w:rPr>
          <w:noProof/>
        </w:rPr>
        <w:fldChar w:fldCharType="separate"/>
      </w:r>
      <w:r>
        <w:rPr>
          <w:noProof/>
        </w:rPr>
        <w:t>15-18</w:t>
      </w:r>
      <w:r>
        <w:rPr>
          <w:noProof/>
        </w:rPr>
        <w:fldChar w:fldCharType="end"/>
      </w:r>
    </w:p>
    <w:p w14:paraId="5359740E" w14:textId="3700B11D" w:rsidR="00CB06AE" w:rsidRDefault="00CB06AE">
      <w:pPr>
        <w:pStyle w:val="TOC3"/>
        <w:tabs>
          <w:tab w:val="left" w:pos="1440"/>
        </w:tabs>
        <w:rPr>
          <w:rFonts w:eastAsiaTheme="minorEastAsia"/>
          <w:noProof/>
          <w:kern w:val="2"/>
          <w:sz w:val="24"/>
          <w:szCs w:val="24"/>
          <w:lang w:eastAsia="en-GB"/>
          <w14:ligatures w14:val="standardContextual"/>
        </w:rPr>
      </w:pPr>
      <w:r>
        <w:rPr>
          <w:noProof/>
        </w:rPr>
        <w:t>15.6.3</w:t>
      </w:r>
      <w:r>
        <w:rPr>
          <w:rFonts w:eastAsiaTheme="minorEastAsia"/>
          <w:noProof/>
          <w:kern w:val="2"/>
          <w:sz w:val="24"/>
          <w:szCs w:val="24"/>
          <w:lang w:eastAsia="en-GB"/>
          <w14:ligatures w14:val="standardContextual"/>
        </w:rPr>
        <w:tab/>
      </w:r>
      <w:r>
        <w:rPr>
          <w:noProof/>
        </w:rPr>
        <w:t>Plans and Procedures</w:t>
      </w:r>
      <w:r>
        <w:rPr>
          <w:noProof/>
        </w:rPr>
        <w:tab/>
      </w:r>
      <w:r>
        <w:rPr>
          <w:noProof/>
        </w:rPr>
        <w:fldChar w:fldCharType="begin"/>
      </w:r>
      <w:r>
        <w:rPr>
          <w:noProof/>
        </w:rPr>
        <w:instrText xml:space="preserve"> PAGEREF _Toc238735953 \h </w:instrText>
      </w:r>
      <w:r>
        <w:rPr>
          <w:noProof/>
        </w:rPr>
      </w:r>
      <w:r>
        <w:rPr>
          <w:noProof/>
        </w:rPr>
        <w:fldChar w:fldCharType="separate"/>
      </w:r>
      <w:r>
        <w:rPr>
          <w:noProof/>
        </w:rPr>
        <w:t>15-18</w:t>
      </w:r>
      <w:r>
        <w:rPr>
          <w:noProof/>
        </w:rPr>
        <w:fldChar w:fldCharType="end"/>
      </w:r>
    </w:p>
    <w:p w14:paraId="29C631AD" w14:textId="3DEA63F6" w:rsidR="00CB06AE" w:rsidRDefault="00CB06AE">
      <w:pPr>
        <w:pStyle w:val="TOC3"/>
        <w:tabs>
          <w:tab w:val="left" w:pos="1440"/>
        </w:tabs>
        <w:rPr>
          <w:rFonts w:eastAsiaTheme="minorEastAsia"/>
          <w:noProof/>
          <w:kern w:val="2"/>
          <w:sz w:val="24"/>
          <w:szCs w:val="24"/>
          <w:lang w:eastAsia="en-GB"/>
          <w14:ligatures w14:val="standardContextual"/>
        </w:rPr>
      </w:pPr>
      <w:r>
        <w:rPr>
          <w:noProof/>
        </w:rPr>
        <w:t>15.6.4</w:t>
      </w:r>
      <w:r>
        <w:rPr>
          <w:rFonts w:eastAsiaTheme="minorEastAsia"/>
          <w:noProof/>
          <w:kern w:val="2"/>
          <w:sz w:val="24"/>
          <w:szCs w:val="24"/>
          <w:lang w:eastAsia="en-GB"/>
          <w14:ligatures w14:val="standardContextual"/>
        </w:rPr>
        <w:tab/>
      </w:r>
      <w:r>
        <w:rPr>
          <w:noProof/>
        </w:rPr>
        <w:t>Maintenance of Plant and Equipment</w:t>
      </w:r>
      <w:r>
        <w:rPr>
          <w:noProof/>
        </w:rPr>
        <w:tab/>
      </w:r>
      <w:r>
        <w:rPr>
          <w:noProof/>
        </w:rPr>
        <w:fldChar w:fldCharType="begin"/>
      </w:r>
      <w:r>
        <w:rPr>
          <w:noProof/>
        </w:rPr>
        <w:instrText xml:space="preserve"> PAGEREF _Toc238735954 \h </w:instrText>
      </w:r>
      <w:r>
        <w:rPr>
          <w:noProof/>
        </w:rPr>
      </w:r>
      <w:r>
        <w:rPr>
          <w:noProof/>
        </w:rPr>
        <w:fldChar w:fldCharType="separate"/>
      </w:r>
      <w:r>
        <w:rPr>
          <w:noProof/>
        </w:rPr>
        <w:t>15-18</w:t>
      </w:r>
      <w:r>
        <w:rPr>
          <w:noProof/>
        </w:rPr>
        <w:fldChar w:fldCharType="end"/>
      </w:r>
    </w:p>
    <w:p w14:paraId="336C859A" w14:textId="6427A502" w:rsidR="00CB06AE" w:rsidRDefault="00CB06AE">
      <w:pPr>
        <w:pStyle w:val="TOC2"/>
        <w:rPr>
          <w:rFonts w:eastAsiaTheme="minorEastAsia"/>
          <w:noProof/>
          <w:kern w:val="2"/>
          <w:sz w:val="24"/>
          <w:szCs w:val="24"/>
          <w:lang w:eastAsia="en-GB"/>
          <w14:ligatures w14:val="standardContextual"/>
        </w:rPr>
      </w:pPr>
      <w:r>
        <w:rPr>
          <w:noProof/>
        </w:rPr>
        <w:t>15.7 Residual Impacts</w:t>
      </w:r>
      <w:r>
        <w:rPr>
          <w:noProof/>
        </w:rPr>
        <w:tab/>
      </w:r>
      <w:r>
        <w:rPr>
          <w:noProof/>
        </w:rPr>
        <w:fldChar w:fldCharType="begin"/>
      </w:r>
      <w:r>
        <w:rPr>
          <w:noProof/>
        </w:rPr>
        <w:instrText xml:space="preserve"> PAGEREF _Toc238735955 \h </w:instrText>
      </w:r>
      <w:r>
        <w:rPr>
          <w:noProof/>
        </w:rPr>
      </w:r>
      <w:r>
        <w:rPr>
          <w:noProof/>
        </w:rPr>
        <w:fldChar w:fldCharType="separate"/>
      </w:r>
      <w:r>
        <w:rPr>
          <w:noProof/>
        </w:rPr>
        <w:t>15-19</w:t>
      </w:r>
      <w:r>
        <w:rPr>
          <w:noProof/>
        </w:rPr>
        <w:fldChar w:fldCharType="end"/>
      </w:r>
    </w:p>
    <w:p w14:paraId="654E30EC" w14:textId="680E49DC" w:rsidR="00CB06AE" w:rsidRDefault="00CB06AE">
      <w:pPr>
        <w:pStyle w:val="TOC2"/>
        <w:rPr>
          <w:rFonts w:eastAsiaTheme="minorEastAsia"/>
          <w:noProof/>
          <w:kern w:val="2"/>
          <w:sz w:val="24"/>
          <w:szCs w:val="24"/>
          <w:lang w:eastAsia="en-GB"/>
          <w14:ligatures w14:val="standardContextual"/>
        </w:rPr>
      </w:pPr>
      <w:r>
        <w:rPr>
          <w:noProof/>
        </w:rPr>
        <w:t>15.8 Cumulative Impacts</w:t>
      </w:r>
      <w:r>
        <w:rPr>
          <w:noProof/>
        </w:rPr>
        <w:tab/>
      </w:r>
      <w:r>
        <w:rPr>
          <w:noProof/>
        </w:rPr>
        <w:fldChar w:fldCharType="begin"/>
      </w:r>
      <w:r>
        <w:rPr>
          <w:noProof/>
        </w:rPr>
        <w:instrText xml:space="preserve"> PAGEREF _Toc238735956 \h </w:instrText>
      </w:r>
      <w:r>
        <w:rPr>
          <w:noProof/>
        </w:rPr>
      </w:r>
      <w:r>
        <w:rPr>
          <w:noProof/>
        </w:rPr>
        <w:fldChar w:fldCharType="separate"/>
      </w:r>
      <w:r>
        <w:rPr>
          <w:noProof/>
        </w:rPr>
        <w:t>15-22</w:t>
      </w:r>
      <w:r>
        <w:rPr>
          <w:noProof/>
        </w:rPr>
        <w:fldChar w:fldCharType="end"/>
      </w:r>
    </w:p>
    <w:p w14:paraId="03B7AE9F" w14:textId="00CB67AB" w:rsidR="00CB06AE" w:rsidRDefault="00CB06AE">
      <w:pPr>
        <w:pStyle w:val="TOC3"/>
        <w:tabs>
          <w:tab w:val="left" w:pos="1440"/>
        </w:tabs>
        <w:rPr>
          <w:rFonts w:eastAsiaTheme="minorEastAsia"/>
          <w:noProof/>
          <w:kern w:val="2"/>
          <w:sz w:val="24"/>
          <w:szCs w:val="24"/>
          <w:lang w:eastAsia="en-GB"/>
          <w14:ligatures w14:val="standardContextual"/>
        </w:rPr>
      </w:pPr>
      <w:r>
        <w:rPr>
          <w:noProof/>
        </w:rPr>
        <w:t>15.8.1</w:t>
      </w:r>
      <w:r>
        <w:rPr>
          <w:rFonts w:eastAsiaTheme="minorEastAsia"/>
          <w:noProof/>
          <w:kern w:val="2"/>
          <w:sz w:val="24"/>
          <w:szCs w:val="24"/>
          <w:lang w:eastAsia="en-GB"/>
          <w14:ligatures w14:val="standardContextual"/>
        </w:rPr>
        <w:tab/>
      </w:r>
      <w:r>
        <w:rPr>
          <w:noProof/>
        </w:rPr>
        <w:t>Construction Phase Cumulative Effects</w:t>
      </w:r>
      <w:r>
        <w:rPr>
          <w:noProof/>
        </w:rPr>
        <w:tab/>
      </w:r>
      <w:r>
        <w:rPr>
          <w:noProof/>
        </w:rPr>
        <w:fldChar w:fldCharType="begin"/>
      </w:r>
      <w:r>
        <w:rPr>
          <w:noProof/>
        </w:rPr>
        <w:instrText xml:space="preserve"> PAGEREF _Toc238735957 \h </w:instrText>
      </w:r>
      <w:r>
        <w:rPr>
          <w:noProof/>
        </w:rPr>
      </w:r>
      <w:r>
        <w:rPr>
          <w:noProof/>
        </w:rPr>
        <w:fldChar w:fldCharType="separate"/>
      </w:r>
      <w:r>
        <w:rPr>
          <w:noProof/>
        </w:rPr>
        <w:t>15-22</w:t>
      </w:r>
      <w:r>
        <w:rPr>
          <w:noProof/>
        </w:rPr>
        <w:fldChar w:fldCharType="end"/>
      </w:r>
    </w:p>
    <w:p w14:paraId="38B2B7EB" w14:textId="4A6BD8EA" w:rsidR="00CB06AE" w:rsidRDefault="00CB06AE">
      <w:pPr>
        <w:pStyle w:val="TOC3"/>
        <w:tabs>
          <w:tab w:val="left" w:pos="1440"/>
        </w:tabs>
        <w:rPr>
          <w:rFonts w:eastAsiaTheme="minorEastAsia"/>
          <w:noProof/>
          <w:kern w:val="2"/>
          <w:sz w:val="24"/>
          <w:szCs w:val="24"/>
          <w:lang w:eastAsia="en-GB"/>
          <w14:ligatures w14:val="standardContextual"/>
        </w:rPr>
      </w:pPr>
      <w:r>
        <w:rPr>
          <w:noProof/>
        </w:rPr>
        <w:t>15.8.2</w:t>
      </w:r>
      <w:r>
        <w:rPr>
          <w:rFonts w:eastAsiaTheme="minorEastAsia"/>
          <w:noProof/>
          <w:kern w:val="2"/>
          <w:sz w:val="24"/>
          <w:szCs w:val="24"/>
          <w:lang w:eastAsia="en-GB"/>
          <w14:ligatures w14:val="standardContextual"/>
        </w:rPr>
        <w:tab/>
      </w:r>
      <w:r>
        <w:rPr>
          <w:noProof/>
        </w:rPr>
        <w:t>Operation Phase Cumulative Effects</w:t>
      </w:r>
      <w:r>
        <w:rPr>
          <w:noProof/>
        </w:rPr>
        <w:tab/>
      </w:r>
      <w:r>
        <w:rPr>
          <w:noProof/>
        </w:rPr>
        <w:fldChar w:fldCharType="begin"/>
      </w:r>
      <w:r>
        <w:rPr>
          <w:noProof/>
        </w:rPr>
        <w:instrText xml:space="preserve"> PAGEREF _Toc238735958 \h </w:instrText>
      </w:r>
      <w:r>
        <w:rPr>
          <w:noProof/>
        </w:rPr>
      </w:r>
      <w:r>
        <w:rPr>
          <w:noProof/>
        </w:rPr>
        <w:fldChar w:fldCharType="separate"/>
      </w:r>
      <w:r>
        <w:rPr>
          <w:noProof/>
        </w:rPr>
        <w:t>15-22</w:t>
      </w:r>
      <w:r>
        <w:rPr>
          <w:noProof/>
        </w:rPr>
        <w:fldChar w:fldCharType="end"/>
      </w:r>
    </w:p>
    <w:p w14:paraId="3B468804" w14:textId="4B4119F4" w:rsidR="00CB06AE" w:rsidRDefault="00CB06AE">
      <w:pPr>
        <w:pStyle w:val="TOC2"/>
        <w:rPr>
          <w:rFonts w:eastAsiaTheme="minorEastAsia"/>
          <w:noProof/>
          <w:kern w:val="2"/>
          <w:sz w:val="24"/>
          <w:szCs w:val="24"/>
          <w:lang w:eastAsia="en-GB"/>
          <w14:ligatures w14:val="standardContextual"/>
        </w:rPr>
      </w:pPr>
      <w:r>
        <w:rPr>
          <w:noProof/>
        </w:rPr>
        <w:t>15.9 ‘Do Nothing’ Scenario</w:t>
      </w:r>
      <w:r>
        <w:rPr>
          <w:noProof/>
        </w:rPr>
        <w:tab/>
      </w:r>
      <w:r>
        <w:rPr>
          <w:noProof/>
        </w:rPr>
        <w:fldChar w:fldCharType="begin"/>
      </w:r>
      <w:r>
        <w:rPr>
          <w:noProof/>
        </w:rPr>
        <w:instrText xml:space="preserve"> PAGEREF _Toc238735959 \h </w:instrText>
      </w:r>
      <w:r>
        <w:rPr>
          <w:noProof/>
        </w:rPr>
      </w:r>
      <w:r>
        <w:rPr>
          <w:noProof/>
        </w:rPr>
        <w:fldChar w:fldCharType="separate"/>
      </w:r>
      <w:r>
        <w:rPr>
          <w:noProof/>
        </w:rPr>
        <w:t>15-22</w:t>
      </w:r>
      <w:r>
        <w:rPr>
          <w:noProof/>
        </w:rPr>
        <w:fldChar w:fldCharType="end"/>
      </w:r>
    </w:p>
    <w:p w14:paraId="1BDCCC89" w14:textId="1F7456F1" w:rsidR="00CB06AE" w:rsidRDefault="00CB06AE">
      <w:pPr>
        <w:pStyle w:val="TOC2"/>
        <w:rPr>
          <w:rFonts w:eastAsiaTheme="minorEastAsia"/>
          <w:noProof/>
          <w:kern w:val="2"/>
          <w:sz w:val="24"/>
          <w:szCs w:val="24"/>
          <w:lang w:eastAsia="en-GB"/>
          <w14:ligatures w14:val="standardContextual"/>
        </w:rPr>
      </w:pPr>
      <w:r>
        <w:rPr>
          <w:noProof/>
        </w:rPr>
        <w:t>15.10 Summary</w:t>
      </w:r>
      <w:r>
        <w:rPr>
          <w:noProof/>
        </w:rPr>
        <w:tab/>
      </w:r>
      <w:r>
        <w:rPr>
          <w:noProof/>
        </w:rPr>
        <w:fldChar w:fldCharType="begin"/>
      </w:r>
      <w:r>
        <w:rPr>
          <w:noProof/>
        </w:rPr>
        <w:instrText xml:space="preserve"> PAGEREF _Toc238735960 \h </w:instrText>
      </w:r>
      <w:r>
        <w:rPr>
          <w:noProof/>
        </w:rPr>
      </w:r>
      <w:r>
        <w:rPr>
          <w:noProof/>
        </w:rPr>
        <w:fldChar w:fldCharType="separate"/>
      </w:r>
      <w:r>
        <w:rPr>
          <w:noProof/>
        </w:rPr>
        <w:t>15-22</w:t>
      </w:r>
      <w:r>
        <w:rPr>
          <w:noProof/>
        </w:rPr>
        <w:fldChar w:fldCharType="end"/>
      </w:r>
    </w:p>
    <w:p w14:paraId="009F5766" w14:textId="7E87E477" w:rsidR="00CB06AE" w:rsidRDefault="00CB06AE">
      <w:pPr>
        <w:pStyle w:val="TOC2"/>
        <w:rPr>
          <w:rFonts w:eastAsiaTheme="minorEastAsia"/>
          <w:noProof/>
          <w:kern w:val="2"/>
          <w:sz w:val="24"/>
          <w:szCs w:val="24"/>
          <w:lang w:eastAsia="en-GB"/>
          <w14:ligatures w14:val="standardContextual"/>
        </w:rPr>
      </w:pPr>
      <w:r>
        <w:rPr>
          <w:noProof/>
        </w:rPr>
        <w:t>15.11 References</w:t>
      </w:r>
      <w:r>
        <w:rPr>
          <w:noProof/>
        </w:rPr>
        <w:tab/>
      </w:r>
      <w:r>
        <w:rPr>
          <w:noProof/>
        </w:rPr>
        <w:fldChar w:fldCharType="begin"/>
      </w:r>
      <w:r>
        <w:rPr>
          <w:noProof/>
        </w:rPr>
        <w:instrText xml:space="preserve"> PAGEREF _Toc238735961 \h </w:instrText>
      </w:r>
      <w:r>
        <w:rPr>
          <w:noProof/>
        </w:rPr>
      </w:r>
      <w:r>
        <w:rPr>
          <w:noProof/>
        </w:rPr>
        <w:fldChar w:fldCharType="separate"/>
      </w:r>
      <w:r>
        <w:rPr>
          <w:noProof/>
        </w:rPr>
        <w:t>15-22</w:t>
      </w:r>
      <w:r>
        <w:rPr>
          <w:noProof/>
        </w:rPr>
        <w:fldChar w:fldCharType="end"/>
      </w:r>
    </w:p>
    <w:p w14:paraId="6DA182D8" w14:textId="3F77B143" w:rsidR="003964F2" w:rsidRDefault="00A40809" w:rsidP="003964F2">
      <w:pPr>
        <w:pStyle w:val="BodyText"/>
        <w:rPr>
          <w:noProof/>
        </w:rPr>
      </w:pPr>
      <w:r>
        <w:rPr>
          <w:rFonts w:asciiTheme="majorHAnsi" w:hAnsiTheme="majorHAnsi"/>
          <w:noProof/>
        </w:rPr>
        <w:fldChar w:fldCharType="end"/>
      </w:r>
    </w:p>
    <w:p w14:paraId="6825832A" w14:textId="77777777" w:rsidR="003964F2" w:rsidRDefault="003964F2" w:rsidP="00872CBA">
      <w:pPr>
        <w:pStyle w:val="TOCHeading"/>
        <w:pageBreakBefore w:val="0"/>
        <w:rPr>
          <w:noProof/>
        </w:rPr>
      </w:pPr>
      <w:bookmarkStart w:id="47" w:name="Text_Figures"/>
      <w:r>
        <w:rPr>
          <w:noProof/>
        </w:rPr>
        <w:t>Figures</w:t>
      </w:r>
      <w:bookmarkEnd w:id="47"/>
    </w:p>
    <w:p w14:paraId="0225D547" w14:textId="4F10B827" w:rsidR="003964F2" w:rsidRDefault="003964F2" w:rsidP="003964F2">
      <w:pPr>
        <w:pStyle w:val="BodyText"/>
        <w:rPr>
          <w:noProof/>
        </w:rPr>
      </w:pPr>
      <w:r>
        <w:rPr>
          <w:noProof/>
        </w:rPr>
        <w:fldChar w:fldCharType="begin"/>
      </w:r>
      <w:r>
        <w:rPr>
          <w:noProof/>
        </w:rPr>
        <w:instrText xml:space="preserve"> TOC \z \c "Figure" </w:instrText>
      </w:r>
      <w:r>
        <w:rPr>
          <w:noProof/>
        </w:rPr>
        <w:fldChar w:fldCharType="separate"/>
      </w:r>
      <w:r w:rsidR="00FE21B5">
        <w:rPr>
          <w:b/>
          <w:bCs/>
          <w:noProof/>
          <w:lang w:val="en-US"/>
        </w:rPr>
        <w:t>No table of figures entries found.</w:t>
      </w:r>
      <w:r>
        <w:rPr>
          <w:noProof/>
        </w:rPr>
        <w:fldChar w:fldCharType="end"/>
      </w:r>
    </w:p>
    <w:p w14:paraId="0073B14E" w14:textId="77777777" w:rsidR="003964F2" w:rsidRDefault="003964F2" w:rsidP="00872CBA">
      <w:pPr>
        <w:pStyle w:val="TOCHeading"/>
        <w:pageBreakBefore w:val="0"/>
        <w:rPr>
          <w:noProof/>
        </w:rPr>
      </w:pPr>
      <w:bookmarkStart w:id="48" w:name="Text_Tables"/>
      <w:r>
        <w:rPr>
          <w:noProof/>
        </w:rPr>
        <w:t>Tables</w:t>
      </w:r>
      <w:bookmarkEnd w:id="48"/>
    </w:p>
    <w:p w14:paraId="4CE2E8EA" w14:textId="296667FA" w:rsidR="00CB06AE" w:rsidRDefault="003964F2">
      <w:pPr>
        <w:pStyle w:val="TableofFigures"/>
        <w:rPr>
          <w:rFonts w:eastAsiaTheme="minorEastAsia"/>
          <w:noProof/>
          <w:kern w:val="2"/>
          <w:sz w:val="24"/>
          <w:szCs w:val="24"/>
          <w:lang w:eastAsia="en-GB"/>
          <w14:ligatures w14:val="standardContextual"/>
        </w:rPr>
      </w:pPr>
      <w:r>
        <w:rPr>
          <w:noProof/>
        </w:rPr>
        <w:fldChar w:fldCharType="begin"/>
      </w:r>
      <w:r>
        <w:rPr>
          <w:noProof/>
        </w:rPr>
        <w:instrText xml:space="preserve"> TOC \z \c "Table" </w:instrText>
      </w:r>
      <w:r>
        <w:rPr>
          <w:noProof/>
        </w:rPr>
        <w:fldChar w:fldCharType="separate"/>
      </w:r>
      <w:r w:rsidR="00CB06AE">
        <w:rPr>
          <w:noProof/>
        </w:rPr>
        <w:t>Table 15-1: Risk Classification Table – Consequence</w:t>
      </w:r>
      <w:r w:rsidR="00CB06AE">
        <w:rPr>
          <w:noProof/>
          <w:webHidden/>
        </w:rPr>
        <w:tab/>
      </w:r>
      <w:r w:rsidR="00CB06AE">
        <w:rPr>
          <w:noProof/>
          <w:webHidden/>
        </w:rPr>
        <w:fldChar w:fldCharType="begin"/>
      </w:r>
      <w:r w:rsidR="00CB06AE">
        <w:rPr>
          <w:noProof/>
          <w:webHidden/>
        </w:rPr>
        <w:instrText xml:space="preserve"> PAGEREF _Toc238735962 \h </w:instrText>
      </w:r>
      <w:r w:rsidR="00CB06AE">
        <w:rPr>
          <w:noProof/>
          <w:webHidden/>
        </w:rPr>
      </w:r>
      <w:r w:rsidR="00CB06AE">
        <w:rPr>
          <w:noProof/>
          <w:webHidden/>
        </w:rPr>
        <w:fldChar w:fldCharType="separate"/>
      </w:r>
      <w:r w:rsidR="00CB06AE">
        <w:rPr>
          <w:noProof/>
          <w:webHidden/>
        </w:rPr>
        <w:t>15-6</w:t>
      </w:r>
      <w:r w:rsidR="00CB06AE">
        <w:rPr>
          <w:noProof/>
          <w:webHidden/>
        </w:rPr>
        <w:fldChar w:fldCharType="end"/>
      </w:r>
    </w:p>
    <w:p w14:paraId="380E3492" w14:textId="6877374C" w:rsidR="00CB06AE" w:rsidRDefault="00CB06AE">
      <w:pPr>
        <w:pStyle w:val="TableofFigures"/>
        <w:rPr>
          <w:rFonts w:eastAsiaTheme="minorEastAsia"/>
          <w:noProof/>
          <w:kern w:val="2"/>
          <w:sz w:val="24"/>
          <w:szCs w:val="24"/>
          <w:lang w:eastAsia="en-GB"/>
          <w14:ligatures w14:val="standardContextual"/>
        </w:rPr>
      </w:pPr>
      <w:r>
        <w:rPr>
          <w:noProof/>
        </w:rPr>
        <w:t>Table 15-2: Risk Classification Table – Likelihood</w:t>
      </w:r>
      <w:r>
        <w:rPr>
          <w:noProof/>
          <w:webHidden/>
        </w:rPr>
        <w:tab/>
      </w:r>
      <w:r>
        <w:rPr>
          <w:noProof/>
          <w:webHidden/>
        </w:rPr>
        <w:fldChar w:fldCharType="begin"/>
      </w:r>
      <w:r>
        <w:rPr>
          <w:noProof/>
          <w:webHidden/>
        </w:rPr>
        <w:instrText xml:space="preserve"> PAGEREF _Toc238735963 \h </w:instrText>
      </w:r>
      <w:r>
        <w:rPr>
          <w:noProof/>
          <w:webHidden/>
        </w:rPr>
      </w:r>
      <w:r>
        <w:rPr>
          <w:noProof/>
          <w:webHidden/>
        </w:rPr>
        <w:fldChar w:fldCharType="separate"/>
      </w:r>
      <w:r>
        <w:rPr>
          <w:noProof/>
          <w:webHidden/>
        </w:rPr>
        <w:t>15-7</w:t>
      </w:r>
      <w:r>
        <w:rPr>
          <w:noProof/>
          <w:webHidden/>
        </w:rPr>
        <w:fldChar w:fldCharType="end"/>
      </w:r>
    </w:p>
    <w:p w14:paraId="14039D88" w14:textId="220F18D5" w:rsidR="00CB06AE" w:rsidRDefault="00CB06AE">
      <w:pPr>
        <w:pStyle w:val="TableofFigures"/>
        <w:rPr>
          <w:rFonts w:eastAsiaTheme="minorEastAsia"/>
          <w:noProof/>
          <w:kern w:val="2"/>
          <w:sz w:val="24"/>
          <w:szCs w:val="24"/>
          <w:lang w:eastAsia="en-GB"/>
          <w14:ligatures w14:val="standardContextual"/>
        </w:rPr>
      </w:pPr>
      <w:r>
        <w:rPr>
          <w:noProof/>
        </w:rPr>
        <w:t>Table 15-3: Level of Significance</w:t>
      </w:r>
      <w:r>
        <w:rPr>
          <w:noProof/>
          <w:webHidden/>
        </w:rPr>
        <w:tab/>
      </w:r>
      <w:r>
        <w:rPr>
          <w:noProof/>
          <w:webHidden/>
        </w:rPr>
        <w:fldChar w:fldCharType="begin"/>
      </w:r>
      <w:r>
        <w:rPr>
          <w:noProof/>
          <w:webHidden/>
        </w:rPr>
        <w:instrText xml:space="preserve"> PAGEREF _Toc238735964 \h </w:instrText>
      </w:r>
      <w:r>
        <w:rPr>
          <w:noProof/>
          <w:webHidden/>
        </w:rPr>
      </w:r>
      <w:r>
        <w:rPr>
          <w:noProof/>
          <w:webHidden/>
        </w:rPr>
        <w:fldChar w:fldCharType="separate"/>
      </w:r>
      <w:r>
        <w:rPr>
          <w:noProof/>
          <w:webHidden/>
        </w:rPr>
        <w:t>15-7</w:t>
      </w:r>
      <w:r>
        <w:rPr>
          <w:noProof/>
          <w:webHidden/>
        </w:rPr>
        <w:fldChar w:fldCharType="end"/>
      </w:r>
    </w:p>
    <w:p w14:paraId="69BF31BC" w14:textId="69BE43CC" w:rsidR="00CB06AE" w:rsidRDefault="00CB06AE">
      <w:pPr>
        <w:pStyle w:val="TableofFigures"/>
        <w:rPr>
          <w:rFonts w:eastAsiaTheme="minorEastAsia"/>
          <w:noProof/>
          <w:kern w:val="2"/>
          <w:sz w:val="24"/>
          <w:szCs w:val="24"/>
          <w:lang w:eastAsia="en-GB"/>
          <w14:ligatures w14:val="standardContextual"/>
        </w:rPr>
      </w:pPr>
      <w:r>
        <w:rPr>
          <w:noProof/>
        </w:rPr>
        <w:t>Table 15-3: Identification of Credible Major Accident Scenarios (Construction)</w:t>
      </w:r>
      <w:r>
        <w:rPr>
          <w:noProof/>
          <w:webHidden/>
        </w:rPr>
        <w:tab/>
      </w:r>
      <w:r>
        <w:rPr>
          <w:noProof/>
          <w:webHidden/>
        </w:rPr>
        <w:fldChar w:fldCharType="begin"/>
      </w:r>
      <w:r>
        <w:rPr>
          <w:noProof/>
          <w:webHidden/>
        </w:rPr>
        <w:instrText xml:space="preserve"> PAGEREF _Toc238735965 \h </w:instrText>
      </w:r>
      <w:r>
        <w:rPr>
          <w:noProof/>
          <w:webHidden/>
        </w:rPr>
      </w:r>
      <w:r>
        <w:rPr>
          <w:noProof/>
          <w:webHidden/>
        </w:rPr>
        <w:fldChar w:fldCharType="separate"/>
      </w:r>
      <w:r>
        <w:rPr>
          <w:noProof/>
          <w:webHidden/>
        </w:rPr>
        <w:t>15-10</w:t>
      </w:r>
      <w:r>
        <w:rPr>
          <w:noProof/>
          <w:webHidden/>
        </w:rPr>
        <w:fldChar w:fldCharType="end"/>
      </w:r>
    </w:p>
    <w:p w14:paraId="66E3F680" w14:textId="6C3BD630" w:rsidR="00CB06AE" w:rsidRDefault="00CB06AE">
      <w:pPr>
        <w:pStyle w:val="TableofFigures"/>
        <w:rPr>
          <w:rFonts w:eastAsiaTheme="minorEastAsia"/>
          <w:noProof/>
          <w:kern w:val="2"/>
          <w:sz w:val="24"/>
          <w:szCs w:val="24"/>
          <w:lang w:eastAsia="en-GB"/>
          <w14:ligatures w14:val="standardContextual"/>
        </w:rPr>
      </w:pPr>
      <w:r>
        <w:rPr>
          <w:noProof/>
        </w:rPr>
        <w:t>Table 15-4: Identification of Credible Major Accident Scenarios (Demolition)</w:t>
      </w:r>
      <w:r>
        <w:rPr>
          <w:noProof/>
          <w:webHidden/>
        </w:rPr>
        <w:tab/>
      </w:r>
      <w:r>
        <w:rPr>
          <w:noProof/>
          <w:webHidden/>
        </w:rPr>
        <w:fldChar w:fldCharType="begin"/>
      </w:r>
      <w:r>
        <w:rPr>
          <w:noProof/>
          <w:webHidden/>
        </w:rPr>
        <w:instrText xml:space="preserve"> PAGEREF _Toc238735966 \h </w:instrText>
      </w:r>
      <w:r>
        <w:rPr>
          <w:noProof/>
          <w:webHidden/>
        </w:rPr>
      </w:r>
      <w:r>
        <w:rPr>
          <w:noProof/>
          <w:webHidden/>
        </w:rPr>
        <w:fldChar w:fldCharType="separate"/>
      </w:r>
      <w:r>
        <w:rPr>
          <w:noProof/>
          <w:webHidden/>
        </w:rPr>
        <w:t>15-11</w:t>
      </w:r>
      <w:r>
        <w:rPr>
          <w:noProof/>
          <w:webHidden/>
        </w:rPr>
        <w:fldChar w:fldCharType="end"/>
      </w:r>
    </w:p>
    <w:p w14:paraId="52747A58" w14:textId="42E55676" w:rsidR="00CB06AE" w:rsidRDefault="00CB06AE">
      <w:pPr>
        <w:pStyle w:val="TableofFigures"/>
        <w:rPr>
          <w:rFonts w:eastAsiaTheme="minorEastAsia"/>
          <w:noProof/>
          <w:kern w:val="2"/>
          <w:sz w:val="24"/>
          <w:szCs w:val="24"/>
          <w:lang w:eastAsia="en-GB"/>
          <w14:ligatures w14:val="standardContextual"/>
        </w:rPr>
      </w:pPr>
      <w:r>
        <w:rPr>
          <w:noProof/>
        </w:rPr>
        <w:lastRenderedPageBreak/>
        <w:t>Table 15-6: Identification of Credible Potential Disasters Scenarios</w:t>
      </w:r>
      <w:r>
        <w:rPr>
          <w:noProof/>
          <w:webHidden/>
        </w:rPr>
        <w:tab/>
      </w:r>
      <w:r>
        <w:rPr>
          <w:noProof/>
          <w:webHidden/>
        </w:rPr>
        <w:fldChar w:fldCharType="begin"/>
      </w:r>
      <w:r>
        <w:rPr>
          <w:noProof/>
          <w:webHidden/>
        </w:rPr>
        <w:instrText xml:space="preserve"> PAGEREF _Toc238735967 \h </w:instrText>
      </w:r>
      <w:r>
        <w:rPr>
          <w:noProof/>
          <w:webHidden/>
        </w:rPr>
      </w:r>
      <w:r>
        <w:rPr>
          <w:noProof/>
          <w:webHidden/>
        </w:rPr>
        <w:fldChar w:fldCharType="separate"/>
      </w:r>
      <w:r>
        <w:rPr>
          <w:noProof/>
          <w:webHidden/>
        </w:rPr>
        <w:t>15-13</w:t>
      </w:r>
      <w:r>
        <w:rPr>
          <w:noProof/>
          <w:webHidden/>
        </w:rPr>
        <w:fldChar w:fldCharType="end"/>
      </w:r>
    </w:p>
    <w:p w14:paraId="598666BF" w14:textId="7C7F909F" w:rsidR="00CB06AE" w:rsidRDefault="00CB06AE">
      <w:pPr>
        <w:pStyle w:val="TableofFigures"/>
        <w:rPr>
          <w:rFonts w:eastAsiaTheme="minorEastAsia"/>
          <w:noProof/>
          <w:kern w:val="2"/>
          <w:sz w:val="24"/>
          <w:szCs w:val="24"/>
          <w:lang w:eastAsia="en-GB"/>
          <w14:ligatures w14:val="standardContextual"/>
        </w:rPr>
      </w:pPr>
      <w:r>
        <w:rPr>
          <w:noProof/>
        </w:rPr>
        <w:t>Table 15-6: Assessment of Major Accident and Disaster Scenarios</w:t>
      </w:r>
      <w:r>
        <w:rPr>
          <w:noProof/>
          <w:webHidden/>
        </w:rPr>
        <w:tab/>
      </w:r>
      <w:r>
        <w:rPr>
          <w:noProof/>
          <w:webHidden/>
        </w:rPr>
        <w:fldChar w:fldCharType="begin"/>
      </w:r>
      <w:r>
        <w:rPr>
          <w:noProof/>
          <w:webHidden/>
        </w:rPr>
        <w:instrText xml:space="preserve"> PAGEREF _Toc238735968 \h </w:instrText>
      </w:r>
      <w:r>
        <w:rPr>
          <w:noProof/>
          <w:webHidden/>
        </w:rPr>
      </w:r>
      <w:r>
        <w:rPr>
          <w:noProof/>
          <w:webHidden/>
        </w:rPr>
        <w:fldChar w:fldCharType="separate"/>
      </w:r>
      <w:r>
        <w:rPr>
          <w:noProof/>
          <w:webHidden/>
        </w:rPr>
        <w:t>15-17</w:t>
      </w:r>
      <w:r>
        <w:rPr>
          <w:noProof/>
          <w:webHidden/>
        </w:rPr>
        <w:fldChar w:fldCharType="end"/>
      </w:r>
    </w:p>
    <w:p w14:paraId="142092FE" w14:textId="4DF4BA1D" w:rsidR="00CB06AE" w:rsidRDefault="00CB06AE">
      <w:pPr>
        <w:pStyle w:val="TableofFigures"/>
        <w:rPr>
          <w:rFonts w:eastAsiaTheme="minorEastAsia"/>
          <w:noProof/>
          <w:kern w:val="2"/>
          <w:sz w:val="24"/>
          <w:szCs w:val="24"/>
          <w:lang w:eastAsia="en-GB"/>
          <w14:ligatures w14:val="standardContextual"/>
        </w:rPr>
      </w:pPr>
      <w:r>
        <w:rPr>
          <w:noProof/>
        </w:rPr>
        <w:t>Table 15-8: Summary of Construction Residual Effects</w:t>
      </w:r>
      <w:r>
        <w:rPr>
          <w:noProof/>
          <w:webHidden/>
        </w:rPr>
        <w:tab/>
      </w:r>
      <w:r>
        <w:rPr>
          <w:noProof/>
          <w:webHidden/>
        </w:rPr>
        <w:fldChar w:fldCharType="begin"/>
      </w:r>
      <w:r>
        <w:rPr>
          <w:noProof/>
          <w:webHidden/>
        </w:rPr>
        <w:instrText xml:space="preserve"> PAGEREF _Toc238735969 \h </w:instrText>
      </w:r>
      <w:r>
        <w:rPr>
          <w:noProof/>
          <w:webHidden/>
        </w:rPr>
      </w:r>
      <w:r>
        <w:rPr>
          <w:noProof/>
          <w:webHidden/>
        </w:rPr>
        <w:fldChar w:fldCharType="separate"/>
      </w:r>
      <w:r>
        <w:rPr>
          <w:noProof/>
          <w:webHidden/>
        </w:rPr>
        <w:t>15-20</w:t>
      </w:r>
      <w:r>
        <w:rPr>
          <w:noProof/>
          <w:webHidden/>
        </w:rPr>
        <w:fldChar w:fldCharType="end"/>
      </w:r>
    </w:p>
    <w:p w14:paraId="40B3D970" w14:textId="25C2CE1C" w:rsidR="00CB06AE" w:rsidRDefault="00CB06AE">
      <w:pPr>
        <w:pStyle w:val="TableofFigures"/>
        <w:rPr>
          <w:rFonts w:eastAsiaTheme="minorEastAsia"/>
          <w:noProof/>
          <w:kern w:val="2"/>
          <w:sz w:val="24"/>
          <w:szCs w:val="24"/>
          <w:lang w:eastAsia="en-GB"/>
          <w14:ligatures w14:val="standardContextual"/>
        </w:rPr>
      </w:pPr>
      <w:r>
        <w:rPr>
          <w:noProof/>
        </w:rPr>
        <w:t>Table 15-9: Summary of Operation Residual Effects</w:t>
      </w:r>
      <w:r>
        <w:rPr>
          <w:noProof/>
          <w:webHidden/>
        </w:rPr>
        <w:tab/>
      </w:r>
      <w:r>
        <w:rPr>
          <w:noProof/>
          <w:webHidden/>
        </w:rPr>
        <w:fldChar w:fldCharType="begin"/>
      </w:r>
      <w:r>
        <w:rPr>
          <w:noProof/>
          <w:webHidden/>
        </w:rPr>
        <w:instrText xml:space="preserve"> PAGEREF _Toc238735970 \h </w:instrText>
      </w:r>
      <w:r>
        <w:rPr>
          <w:noProof/>
          <w:webHidden/>
        </w:rPr>
      </w:r>
      <w:r>
        <w:rPr>
          <w:noProof/>
          <w:webHidden/>
        </w:rPr>
        <w:fldChar w:fldCharType="separate"/>
      </w:r>
      <w:r>
        <w:rPr>
          <w:noProof/>
          <w:webHidden/>
        </w:rPr>
        <w:t>15-20</w:t>
      </w:r>
      <w:r>
        <w:rPr>
          <w:noProof/>
          <w:webHidden/>
        </w:rPr>
        <w:fldChar w:fldCharType="end"/>
      </w:r>
    </w:p>
    <w:p w14:paraId="7165ACC4" w14:textId="342356B6" w:rsidR="007935AD" w:rsidRDefault="003964F2" w:rsidP="003964F2">
      <w:pPr>
        <w:pStyle w:val="BodyText"/>
        <w:rPr>
          <w:noProof/>
        </w:rPr>
      </w:pPr>
      <w:r>
        <w:rPr>
          <w:noProof/>
        </w:rPr>
        <w:fldChar w:fldCharType="end"/>
      </w:r>
      <w:bookmarkEnd w:id="46"/>
    </w:p>
    <w:p w14:paraId="64A1CB37" w14:textId="77777777" w:rsidR="007935AD" w:rsidRDefault="007935AD" w:rsidP="000A14DC">
      <w:pPr>
        <w:rPr>
          <w:b/>
          <w:bCs/>
          <w:noProof/>
        </w:rPr>
        <w:sectPr w:rsidR="007935AD" w:rsidSect="00CC1747">
          <w:headerReference w:type="default" r:id="rId17"/>
          <w:footerReference w:type="default" r:id="rId18"/>
          <w:type w:val="continuous"/>
          <w:pgSz w:w="11906" w:h="16838"/>
          <w:pgMar w:top="1134" w:right="1134" w:bottom="851" w:left="1418" w:header="567" w:footer="284" w:gutter="0"/>
          <w:cols w:space="284"/>
          <w:docGrid w:linePitch="360"/>
        </w:sectPr>
      </w:pPr>
    </w:p>
    <w:p w14:paraId="2DFDD8EB" w14:textId="2B096C78" w:rsidR="003B18BF" w:rsidRDefault="005F6D63" w:rsidP="005F6D63">
      <w:pPr>
        <w:pStyle w:val="Heading1"/>
      </w:pPr>
      <w:bookmarkStart w:id="49" w:name="_Toc238735925"/>
      <w:bookmarkStart w:id="50" w:name="BodyContent"/>
      <w:r>
        <w:lastRenderedPageBreak/>
        <w:t>Major Accidents and Disasters</w:t>
      </w:r>
      <w:bookmarkEnd w:id="49"/>
    </w:p>
    <w:p w14:paraId="7E778456" w14:textId="51148C5A" w:rsidR="00336BAB" w:rsidRDefault="00CD62E2" w:rsidP="00743568">
      <w:pPr>
        <w:pStyle w:val="Heading2"/>
      </w:pPr>
      <w:bookmarkStart w:id="51" w:name="_Toc238735926"/>
      <w:r>
        <w:t>Introduction</w:t>
      </w:r>
      <w:bookmarkEnd w:id="51"/>
    </w:p>
    <w:p w14:paraId="1D8C5F06" w14:textId="6B37097E" w:rsidR="00B50061" w:rsidRPr="00F750C7" w:rsidRDefault="00692149" w:rsidP="00F750C7">
      <w:pPr>
        <w:pStyle w:val="BodyText"/>
      </w:pPr>
      <w:r w:rsidRPr="00692149">
        <w:t xml:space="preserve">This chapter presents </w:t>
      </w:r>
      <w:r w:rsidR="00512CB4">
        <w:t>an</w:t>
      </w:r>
      <w:r w:rsidRPr="00692149">
        <w:t xml:space="preserve"> assessment of the </w:t>
      </w:r>
      <w:r w:rsidR="00214805">
        <w:t>potential</w:t>
      </w:r>
      <w:r w:rsidRPr="00692149">
        <w:t xml:space="preserve"> likely significant effects arising from the vulnerability of the Proposed Development to relevant major accidents and disasters (MA&amp;Ds) during its construction and operational phases</w:t>
      </w:r>
      <w:r w:rsidR="00514042">
        <w:t xml:space="preserve"> </w:t>
      </w:r>
      <w:r w:rsidR="00DE03D1">
        <w:t xml:space="preserve">and the potential for the Proposed Develop to contribute to or create new </w:t>
      </w:r>
      <w:r w:rsidR="007A77D5">
        <w:t xml:space="preserve">MA&amp;Ds. </w:t>
      </w:r>
      <w:r w:rsidRPr="00692149">
        <w:t>.</w:t>
      </w:r>
      <w:r w:rsidR="00F50BB9" w:rsidRPr="00F750C7">
        <w:t xml:space="preserve"> The assessment identifies reasonably foreseeable MA&amp;D scenarios and evaluates their potential consequences for environmental and human receptors.</w:t>
      </w:r>
      <w:r w:rsidR="00FD17AB" w:rsidRPr="00F750C7">
        <w:t xml:space="preserve"> </w:t>
      </w:r>
    </w:p>
    <w:p w14:paraId="57F32E8D" w14:textId="4F14230D" w:rsidR="00B50061" w:rsidRPr="00F750C7" w:rsidRDefault="00EB542A" w:rsidP="00F750C7">
      <w:pPr>
        <w:pStyle w:val="BodyText"/>
      </w:pPr>
      <w:r w:rsidRPr="00F750C7">
        <w:t xml:space="preserve">The Site </w:t>
      </w:r>
      <w:proofErr w:type="gramStart"/>
      <w:r w:rsidRPr="00F750C7">
        <w:t>is located in</w:t>
      </w:r>
      <w:proofErr w:type="gramEnd"/>
      <w:r w:rsidRPr="00F750C7">
        <w:t xml:space="preserve"> Rathcoole</w:t>
      </w:r>
      <w:r w:rsidR="00085D07">
        <w:t>,</w:t>
      </w:r>
      <w:r w:rsidRPr="00F750C7">
        <w:t xml:space="preserve"> within the administrative area of </w:t>
      </w:r>
      <w:r w:rsidR="00715DDD" w:rsidRPr="00F750C7">
        <w:t>South Dublin County Council (SDCC)</w:t>
      </w:r>
      <w:r w:rsidR="004B1131" w:rsidRPr="00F750C7">
        <w:t xml:space="preserve">. </w:t>
      </w:r>
      <w:r w:rsidR="002C4BC3" w:rsidRPr="00F750C7">
        <w:t>The</w:t>
      </w:r>
      <w:r w:rsidR="00FD17AB" w:rsidRPr="00F750C7">
        <w:t xml:space="preserve"> </w:t>
      </w:r>
      <w:r w:rsidR="002C4BC3" w:rsidRPr="00F750C7">
        <w:t>application</w:t>
      </w:r>
      <w:r w:rsidR="00FD17AB" w:rsidRPr="00F750C7">
        <w:t xml:space="preserve"> </w:t>
      </w:r>
      <w:r w:rsidR="002C4BC3" w:rsidRPr="00F750C7">
        <w:t>Site</w:t>
      </w:r>
      <w:r w:rsidR="00FD17AB" w:rsidRPr="00F750C7">
        <w:t xml:space="preserve"> </w:t>
      </w:r>
      <w:r w:rsidR="002C4BC3" w:rsidRPr="00F750C7">
        <w:t>boundary</w:t>
      </w:r>
      <w:r w:rsidR="00FD17AB" w:rsidRPr="00F750C7">
        <w:t xml:space="preserve"> </w:t>
      </w:r>
      <w:r w:rsidR="002C4BC3" w:rsidRPr="00F750C7">
        <w:t>(‘red</w:t>
      </w:r>
      <w:r w:rsidR="00FD17AB" w:rsidRPr="00F750C7">
        <w:t xml:space="preserve"> </w:t>
      </w:r>
      <w:r w:rsidR="002C4BC3" w:rsidRPr="00F750C7">
        <w:t>line’)</w:t>
      </w:r>
      <w:r w:rsidR="00FD17AB" w:rsidRPr="00F750C7">
        <w:t xml:space="preserve"> </w:t>
      </w:r>
      <w:r w:rsidR="002C4BC3" w:rsidRPr="00F750C7">
        <w:t>encloses</w:t>
      </w:r>
      <w:r w:rsidR="00FD17AB" w:rsidRPr="00F750C7">
        <w:t xml:space="preserve"> </w:t>
      </w:r>
      <w:r w:rsidR="002C4BC3" w:rsidRPr="00F750C7">
        <w:t>an</w:t>
      </w:r>
      <w:r w:rsidR="00FD17AB" w:rsidRPr="00F750C7">
        <w:t xml:space="preserve"> </w:t>
      </w:r>
      <w:r w:rsidR="002C4BC3" w:rsidRPr="00F750C7">
        <w:t>area</w:t>
      </w:r>
      <w:r w:rsidR="00FD17AB" w:rsidRPr="00F750C7">
        <w:t xml:space="preserve"> </w:t>
      </w:r>
      <w:r w:rsidR="002C4BC3" w:rsidRPr="00F750C7">
        <w:t xml:space="preserve">of approximately </w:t>
      </w:r>
      <w:r w:rsidR="00496832">
        <w:t>11.3</w:t>
      </w:r>
      <w:r w:rsidR="002C4BC3" w:rsidRPr="00456C44">
        <w:t xml:space="preserve"> ha.</w:t>
      </w:r>
      <w:r w:rsidR="002C4BC3" w:rsidRPr="00F750C7">
        <w:t xml:space="preserve"> </w:t>
      </w:r>
    </w:p>
    <w:p w14:paraId="6D4DF6E2" w14:textId="0BB4563F" w:rsidR="002C4BC3" w:rsidRPr="00F750C7" w:rsidRDefault="009B2112" w:rsidP="00F750C7">
      <w:pPr>
        <w:pStyle w:val="BodyText"/>
      </w:pPr>
      <w:r w:rsidRPr="00F750C7">
        <w:t>MA&amp;Ds are incidents which can result in immediate or delayed significant harm to human health and/ or the environment and require the use of resources beyond those of the proposed developer or its contractors to manage, such as the emergency services. In the context of this assessment, major accidents are</w:t>
      </w:r>
      <w:r w:rsidR="00FD17AB" w:rsidRPr="00F750C7">
        <w:t xml:space="preserve"> </w:t>
      </w:r>
      <w:r w:rsidRPr="00F750C7">
        <w:t>typically anthropogenic in nature and include for example,</w:t>
      </w:r>
      <w:r w:rsidR="00FD17AB" w:rsidRPr="00F750C7">
        <w:t xml:space="preserve"> </w:t>
      </w:r>
      <w:r w:rsidRPr="00F750C7">
        <w:t>the</w:t>
      </w:r>
      <w:r w:rsidR="00FD17AB" w:rsidRPr="00F750C7">
        <w:t xml:space="preserve"> </w:t>
      </w:r>
      <w:r w:rsidRPr="00F750C7">
        <w:t>accidental</w:t>
      </w:r>
      <w:r w:rsidR="00FD17AB" w:rsidRPr="00F750C7">
        <w:t xml:space="preserve"> </w:t>
      </w:r>
      <w:r w:rsidRPr="00F750C7">
        <w:t>loss</w:t>
      </w:r>
      <w:r w:rsidR="00FD17AB" w:rsidRPr="00F750C7">
        <w:t xml:space="preserve"> </w:t>
      </w:r>
      <w:r w:rsidRPr="00F750C7">
        <w:t xml:space="preserve">of containment of significant quantities of dangerous substances such as </w:t>
      </w:r>
      <w:r w:rsidR="00D10E3B" w:rsidRPr="004646B5">
        <w:t>Acetylene</w:t>
      </w:r>
      <w:r w:rsidRPr="00F750C7">
        <w:t xml:space="preserve"> gas, leading to fires and/ or explosions. Disasters are typically naturally occurring events, such as earthquakes, landslides and flooding, and can also include manmade or external hazards such as </w:t>
      </w:r>
      <w:r w:rsidR="005C3F5F">
        <w:t>civil unrest</w:t>
      </w:r>
      <w:r w:rsidRPr="00F750C7">
        <w:t>.</w:t>
      </w:r>
      <w:r w:rsidR="00FD17AB" w:rsidRPr="00F750C7">
        <w:t xml:space="preserve"> </w:t>
      </w:r>
    </w:p>
    <w:p w14:paraId="074868C9" w14:textId="47FA9011" w:rsidR="00FC0499" w:rsidRDefault="00426365" w:rsidP="00F750C7">
      <w:pPr>
        <w:pStyle w:val="BodyText"/>
      </w:pPr>
      <w:r w:rsidRPr="00F750C7">
        <w:t>In this assessment, the MA&amp;Ds pertinent to the Proposed Development are identified and qualitatively assessed to determine the potential impact on the following receptors:</w:t>
      </w:r>
    </w:p>
    <w:p w14:paraId="027367F3" w14:textId="34463BEF" w:rsidR="00426365" w:rsidRPr="000E493A" w:rsidRDefault="00BB2CD5" w:rsidP="00F35409">
      <w:pPr>
        <w:pStyle w:val="ListBullet"/>
        <w:numPr>
          <w:ilvl w:val="0"/>
          <w:numId w:val="31"/>
        </w:numPr>
      </w:pPr>
      <w:r w:rsidRPr="000E493A">
        <w:t>Population and human health;</w:t>
      </w:r>
      <w:r w:rsidR="00FD17AB" w:rsidRPr="000E493A">
        <w:t xml:space="preserve"> </w:t>
      </w:r>
    </w:p>
    <w:p w14:paraId="5844F35E" w14:textId="59058EA3" w:rsidR="00BB2CD5" w:rsidRPr="000E493A" w:rsidRDefault="00416A1D" w:rsidP="00F35409">
      <w:pPr>
        <w:pStyle w:val="ListBullet"/>
        <w:numPr>
          <w:ilvl w:val="0"/>
          <w:numId w:val="31"/>
        </w:numPr>
      </w:pPr>
      <w:r w:rsidRPr="000E493A">
        <w:t>Biodiversity, with particular attention to species and habitats protected under the Birds and Habitats Directives (Directives 2009/147/EC and 92/43/EEC)</w:t>
      </w:r>
      <w:r w:rsidR="00CE1712" w:rsidRPr="000E493A">
        <w:t xml:space="preserve"> (EU, 1992; 2009)</w:t>
      </w:r>
      <w:r w:rsidRPr="000E493A">
        <w:t>;</w:t>
      </w:r>
      <w:r w:rsidR="00FD17AB" w:rsidRPr="000E493A">
        <w:t xml:space="preserve"> </w:t>
      </w:r>
    </w:p>
    <w:p w14:paraId="1AED3D8D" w14:textId="0576379F" w:rsidR="00416A1D" w:rsidRPr="000E493A" w:rsidRDefault="00917BBE" w:rsidP="00F35409">
      <w:pPr>
        <w:pStyle w:val="ListBullet"/>
        <w:numPr>
          <w:ilvl w:val="0"/>
          <w:numId w:val="31"/>
        </w:numPr>
      </w:pPr>
      <w:r w:rsidRPr="000E493A">
        <w:t>Land, soil, water, air and climate; and</w:t>
      </w:r>
    </w:p>
    <w:p w14:paraId="22F77384" w14:textId="205D679C" w:rsidR="00917BBE" w:rsidRDefault="00F47D85" w:rsidP="00F35409">
      <w:pPr>
        <w:pStyle w:val="ListBullet"/>
        <w:numPr>
          <w:ilvl w:val="0"/>
          <w:numId w:val="31"/>
        </w:numPr>
      </w:pPr>
      <w:r w:rsidRPr="000E493A">
        <w:t>Property and material assets, cultural heritage and the landscape.</w:t>
      </w:r>
    </w:p>
    <w:p w14:paraId="063CB1F7" w14:textId="425DBD9C" w:rsidR="00F47D85" w:rsidRDefault="00261286" w:rsidP="00F750C7">
      <w:pPr>
        <w:pStyle w:val="BodyText"/>
      </w:pPr>
      <w:r w:rsidRPr="00261286">
        <w:t xml:space="preserve">The assessment of MA&amp;Ds considers the full lifecycle of the Proposed Development, from construction, through operation, </w:t>
      </w:r>
      <w:r w:rsidR="00E557B4">
        <w:t>and</w:t>
      </w:r>
      <w:r w:rsidRPr="00261286">
        <w:t xml:space="preserve"> maintenance</w:t>
      </w:r>
      <w:r w:rsidR="00E557B4">
        <w:t>.</w:t>
      </w:r>
      <w:r w:rsidRPr="00261286">
        <w:t xml:space="preserve"> </w:t>
      </w:r>
      <w:r w:rsidR="00FD17AB">
        <w:t xml:space="preserve"> </w:t>
      </w:r>
      <w:r w:rsidR="00244281">
        <w:t>However</w:t>
      </w:r>
      <w:r w:rsidR="00B83898">
        <w:t>, as this is a housing development, the</w:t>
      </w:r>
      <w:r w:rsidR="00B83898" w:rsidRPr="00B83898">
        <w:t xml:space="preserve"> </w:t>
      </w:r>
      <w:r w:rsidR="00B83898" w:rsidRPr="00261286">
        <w:t>decommissioning and demolition</w:t>
      </w:r>
      <w:r w:rsidR="00C336EA">
        <w:t xml:space="preserve"> </w:t>
      </w:r>
      <w:r w:rsidR="00AA2AFB">
        <w:t>have</w:t>
      </w:r>
      <w:r w:rsidR="00C336EA">
        <w:t xml:space="preserve"> been scoped out and won’t be considered further in this assessment.</w:t>
      </w:r>
    </w:p>
    <w:p w14:paraId="2C5CDC25" w14:textId="601F929E" w:rsidR="00261286" w:rsidRDefault="00252756" w:rsidP="00F750C7">
      <w:pPr>
        <w:pStyle w:val="BodyText"/>
      </w:pPr>
      <w:r w:rsidRPr="00252756">
        <w:t>Credible MA&amp;Ds scenarios which are identified are termed ‘Risk Events’ and the mitigation measures to reduce these risks are considered. These measures include the engineering design and operational controls to prevent MA&amp;Ds, and if Risk Events were to occur, reduce their impact and severity. Mitigation measures are therefore considered, along with the anticipated emergency management arrangements which would be initiated if the event occurred.</w:t>
      </w:r>
      <w:r w:rsidR="00FD17AB">
        <w:t xml:space="preserve"> </w:t>
      </w:r>
    </w:p>
    <w:p w14:paraId="5B259DD1" w14:textId="1B1DAA22" w:rsidR="00BC103A" w:rsidRDefault="0007413E" w:rsidP="00F750C7">
      <w:pPr>
        <w:pStyle w:val="BodyText"/>
      </w:pPr>
      <w:r w:rsidRPr="0007413E">
        <w:t>For each Risk Event, the qualitative assessment contained in this chapter will conclude if sufficient measures are in place to reduce risks associated with reasonably foreseeable worst-case impacts to acceptable limits, or if further mitigation is required.</w:t>
      </w:r>
      <w:r w:rsidR="00FD17AB">
        <w:t xml:space="preserve"> </w:t>
      </w:r>
    </w:p>
    <w:p w14:paraId="28757BC3" w14:textId="4E7DD895" w:rsidR="00C2759D" w:rsidRDefault="00C2759D" w:rsidP="00F750C7">
      <w:pPr>
        <w:pStyle w:val="BodyText"/>
      </w:pPr>
      <w:r w:rsidRPr="00C2759D">
        <w:t xml:space="preserve">This chapter contains an overview of the regulatory requirements to identify and assess </w:t>
      </w:r>
      <w:r w:rsidR="00594654" w:rsidRPr="00F750C7">
        <w:t>MA&amp;Ds</w:t>
      </w:r>
      <w:r w:rsidRPr="00C2759D">
        <w:t xml:space="preserve">. </w:t>
      </w:r>
      <w:r w:rsidRPr="00133649">
        <w:t xml:space="preserve">The methodology for </w:t>
      </w:r>
      <w:r w:rsidR="0029379C" w:rsidRPr="00F750C7">
        <w:t xml:space="preserve">MA&amp;Ds </w:t>
      </w:r>
      <w:r w:rsidRPr="00133649">
        <w:t>identification initially consider</w:t>
      </w:r>
      <w:r w:rsidR="0029379C" w:rsidRPr="005442C3">
        <w:t>s</w:t>
      </w:r>
      <w:r w:rsidRPr="00133649">
        <w:t xml:space="preserve"> the substances which </w:t>
      </w:r>
      <w:r w:rsidR="0029379C" w:rsidRPr="005442C3">
        <w:t xml:space="preserve">would </w:t>
      </w:r>
      <w:r w:rsidRPr="00133649">
        <w:t>be present on</w:t>
      </w:r>
      <w:r w:rsidR="006C6E27" w:rsidRPr="005442C3">
        <w:t>-</w:t>
      </w:r>
      <w:r w:rsidRPr="00133649">
        <w:t>site</w:t>
      </w:r>
      <w:r w:rsidR="00133649" w:rsidRPr="005442C3">
        <w:t xml:space="preserve"> (during construction for example)</w:t>
      </w:r>
      <w:r w:rsidRPr="00133649">
        <w:t>,</w:t>
      </w:r>
      <w:r w:rsidRPr="00C2759D">
        <w:t xml:space="preserve"> and which have the potential </w:t>
      </w:r>
      <w:r w:rsidR="009B3DCA">
        <w:t xml:space="preserve">to causes a </w:t>
      </w:r>
      <w:r w:rsidRPr="00C2759D">
        <w:t xml:space="preserve">major accident by virtue of their chemical or physical properties. Substances which have the potential to initiate and/ or contribute to a major accident </w:t>
      </w:r>
      <w:r w:rsidR="009B3DCA">
        <w:t xml:space="preserve">are </w:t>
      </w:r>
      <w:r w:rsidRPr="00C2759D">
        <w:t>identified within this chapter for qualitative assessment.</w:t>
      </w:r>
      <w:r w:rsidR="00FD17AB">
        <w:t xml:space="preserve"> </w:t>
      </w:r>
    </w:p>
    <w:p w14:paraId="372F06E2" w14:textId="4CEAB567" w:rsidR="0007413E" w:rsidRDefault="000C3B9A" w:rsidP="00F750C7">
      <w:pPr>
        <w:pStyle w:val="BodyText"/>
      </w:pPr>
      <w:r w:rsidRPr="000C3B9A">
        <w:t xml:space="preserve">The potential for natural disasters such as flooding and seismic events is primarily determined by the location of the </w:t>
      </w:r>
      <w:r w:rsidR="0099164E" w:rsidRPr="0099164E">
        <w:t>Proposed Development</w:t>
      </w:r>
      <w:r w:rsidRPr="000C3B9A">
        <w:t>.</w:t>
      </w:r>
      <w:r w:rsidR="00FD17AB">
        <w:t xml:space="preserve"> </w:t>
      </w:r>
    </w:p>
    <w:p w14:paraId="097C9E99" w14:textId="3A215D48" w:rsidR="000C3B9A" w:rsidRPr="000E493A" w:rsidRDefault="004D387B" w:rsidP="000E493A">
      <w:pPr>
        <w:pStyle w:val="BodyText"/>
      </w:pPr>
      <w:r w:rsidRPr="004D387B">
        <w:t xml:space="preserve">A detailed description of the Proposed Development is provided in </w:t>
      </w:r>
      <w:r w:rsidRPr="00D525F1">
        <w:rPr>
          <w:b/>
        </w:rPr>
        <w:t>Chapter 2: Description of Development</w:t>
      </w:r>
      <w:r w:rsidRPr="00D525F1" w:rsidDel="004D387B">
        <w:rPr>
          <w:b/>
        </w:rPr>
        <w:t xml:space="preserve"> </w:t>
      </w:r>
      <w:r w:rsidR="00990181" w:rsidRPr="000E493A">
        <w:rPr>
          <w:b/>
          <w:bCs/>
        </w:rPr>
        <w:t>(EIAR Volume</w:t>
      </w:r>
      <w:r w:rsidR="001D1975" w:rsidRPr="000E493A">
        <w:rPr>
          <w:b/>
          <w:bCs/>
        </w:rPr>
        <w:t xml:space="preserve"> </w:t>
      </w:r>
      <w:r w:rsidR="00990181" w:rsidRPr="000E493A">
        <w:rPr>
          <w:b/>
          <w:bCs/>
        </w:rPr>
        <w:t>1</w:t>
      </w:r>
      <w:r w:rsidR="00990181" w:rsidRPr="008928D6">
        <w:rPr>
          <w:b/>
          <w:bCs/>
        </w:rPr>
        <w:t>)</w:t>
      </w:r>
      <w:r w:rsidR="00990181" w:rsidRPr="005442C3">
        <w:t>.</w:t>
      </w:r>
      <w:r w:rsidR="00FD17AB" w:rsidRPr="000E493A">
        <w:t xml:space="preserve"> </w:t>
      </w:r>
    </w:p>
    <w:p w14:paraId="1233AD0A" w14:textId="556C00EB" w:rsidR="00CD67AC" w:rsidRPr="000C334B" w:rsidRDefault="00CD67AC" w:rsidP="00CD67AC">
      <w:pPr>
        <w:pStyle w:val="BodyText"/>
      </w:pPr>
    </w:p>
    <w:p w14:paraId="2BA9886F" w14:textId="77777777" w:rsidR="00CD67AC" w:rsidRDefault="00CD67AC" w:rsidP="00497D17">
      <w:pPr>
        <w:pStyle w:val="BodyText"/>
      </w:pPr>
    </w:p>
    <w:p w14:paraId="31D52C05" w14:textId="3A7BA18A" w:rsidR="00497D17" w:rsidRDefault="00497D17" w:rsidP="00743568">
      <w:pPr>
        <w:pStyle w:val="Heading2"/>
      </w:pPr>
      <w:bookmarkStart w:id="52" w:name="_Toc238735927"/>
      <w:r>
        <w:t>Legislation, Policy and Guidance</w:t>
      </w:r>
      <w:bookmarkEnd w:id="52"/>
    </w:p>
    <w:p w14:paraId="2D95D917" w14:textId="5C1EA5E3" w:rsidR="0043534C" w:rsidRPr="000E493A" w:rsidRDefault="0043534C" w:rsidP="000E493A">
      <w:pPr>
        <w:pStyle w:val="BodyText"/>
      </w:pPr>
      <w:r w:rsidRPr="000E493A">
        <w:t>This section identifies the relevant policy, legislation and guidance informing the</w:t>
      </w:r>
      <w:r w:rsidR="00FD17AB" w:rsidRPr="000E493A">
        <w:t xml:space="preserve"> </w:t>
      </w:r>
      <w:r w:rsidRPr="000E493A">
        <w:t>scope</w:t>
      </w:r>
      <w:r w:rsidR="00FD17AB" w:rsidRPr="000E493A">
        <w:t xml:space="preserve"> </w:t>
      </w:r>
      <w:r w:rsidRPr="000E493A">
        <w:t>of</w:t>
      </w:r>
      <w:r w:rsidR="00FD17AB" w:rsidRPr="000E493A">
        <w:t xml:space="preserve"> </w:t>
      </w:r>
      <w:r w:rsidRPr="000E493A">
        <w:t xml:space="preserve">the </w:t>
      </w:r>
      <w:r w:rsidR="00936DC8" w:rsidRPr="00F750C7">
        <w:t xml:space="preserve">MA&amp;Ds </w:t>
      </w:r>
      <w:r w:rsidRPr="000E493A">
        <w:t>assessment and sets out the requirements stipulated within Directive 2011/92/EU</w:t>
      </w:r>
      <w:r w:rsidR="00B80E7C" w:rsidRPr="000E493A">
        <w:t xml:space="preserve"> (E</w:t>
      </w:r>
      <w:r w:rsidR="002A360E" w:rsidRPr="000E493A">
        <w:t>uropean Parliament</w:t>
      </w:r>
      <w:r w:rsidR="00B80E7C" w:rsidRPr="000E493A">
        <w:t>, 2011)</w:t>
      </w:r>
      <w:r w:rsidRPr="000E493A">
        <w:t xml:space="preserve"> on the assessment of the effects of certain public and private projects on the environment as amended by Directive 2014/52/EU of the European Parliament and of the Council of 16 April 2014 (the EIA Directive)</w:t>
      </w:r>
      <w:r w:rsidR="00B80E7C" w:rsidRPr="000E493A">
        <w:t xml:space="preserve"> (E</w:t>
      </w:r>
      <w:r w:rsidR="002A360E" w:rsidRPr="000E493A">
        <w:t>uropean Parliament</w:t>
      </w:r>
      <w:r w:rsidR="00B80E7C" w:rsidRPr="000E493A">
        <w:t>, 2014)</w:t>
      </w:r>
      <w:r w:rsidRPr="000E493A">
        <w:t>.</w:t>
      </w:r>
      <w:r w:rsidR="00FD17AB" w:rsidRPr="000E493A">
        <w:t xml:space="preserve"> </w:t>
      </w:r>
    </w:p>
    <w:p w14:paraId="427AF78D" w14:textId="6DA2F61C" w:rsidR="00DC7936" w:rsidRDefault="00DC7936" w:rsidP="00DC7936">
      <w:pPr>
        <w:pStyle w:val="Heading3"/>
      </w:pPr>
      <w:bookmarkStart w:id="53" w:name="_Toc238735928"/>
      <w:r>
        <w:t>Legislation</w:t>
      </w:r>
      <w:bookmarkEnd w:id="53"/>
    </w:p>
    <w:p w14:paraId="46592108" w14:textId="77777777" w:rsidR="0034422F" w:rsidRDefault="00ED157F" w:rsidP="0034422F">
      <w:pPr>
        <w:tabs>
          <w:tab w:val="clear" w:pos="284"/>
        </w:tabs>
        <w:spacing w:line="240" w:lineRule="auto"/>
        <w:jc w:val="left"/>
      </w:pPr>
      <w:r w:rsidRPr="000E493A">
        <w:t xml:space="preserve">The assessment of the vulnerability of the Proposed Development to MA&amp;Ds is included within </w:t>
      </w:r>
      <w:r w:rsidR="00934C37">
        <w:t xml:space="preserve">the </w:t>
      </w:r>
      <w:r w:rsidRPr="000E493A">
        <w:t>EIAR following changes to EU legislation now transposed into Irish law within the revised EIA Directive</w:t>
      </w:r>
      <w:r w:rsidRPr="00ED157F">
        <w:t xml:space="preserve"> </w:t>
      </w:r>
      <w:r w:rsidRPr="00035726">
        <w:rPr>
          <w:rStyle w:val="QuoteChar"/>
        </w:rPr>
        <w:t xml:space="preserve">2014/52/EU, transposed into Irish law through </w:t>
      </w:r>
      <w:r w:rsidR="0034422F">
        <w:t>European Union (Planning and Development) (Environmental Impact Assessment) Regulations 2018 (S.I. No. 296/2018), as amended.</w:t>
      </w:r>
    </w:p>
    <w:p w14:paraId="798846CB" w14:textId="6893C140" w:rsidR="00541F7D" w:rsidRDefault="002A360E" w:rsidP="0043534C">
      <w:pPr>
        <w:pStyle w:val="BodyText"/>
      </w:pPr>
      <w:r>
        <w:rPr>
          <w:rStyle w:val="QuoteChar"/>
          <w:i w:val="0"/>
          <w:iCs w:val="0"/>
        </w:rPr>
        <w:t>.</w:t>
      </w:r>
      <w:r w:rsidR="00ED157F" w:rsidRPr="00ED157F">
        <w:t xml:space="preserve"> </w:t>
      </w:r>
      <w:r w:rsidR="00ED157F" w:rsidRPr="000E493A">
        <w:t xml:space="preserve">These Regulations </w:t>
      </w:r>
      <w:r w:rsidR="00BD408F">
        <w:t>(S.I. No. 296/2018)</w:t>
      </w:r>
      <w:r w:rsidR="00ED157F" w:rsidRPr="000E493A">
        <w:t xml:space="preserve"> state</w:t>
      </w:r>
      <w:r w:rsidR="00A06930">
        <w:t xml:space="preserve"> in relation to an EIA</w:t>
      </w:r>
      <w:r w:rsidR="00541F7D">
        <w:t>:</w:t>
      </w:r>
    </w:p>
    <w:p w14:paraId="1CB848FE" w14:textId="76A89AFC" w:rsidR="00541F7D" w:rsidRDefault="00541F7D" w:rsidP="0043534C">
      <w:pPr>
        <w:pStyle w:val="BodyText"/>
        <w:rPr>
          <w:i/>
          <w:iCs/>
        </w:rPr>
      </w:pPr>
      <w:r>
        <w:rPr>
          <w:i/>
          <w:iCs/>
        </w:rPr>
        <w:t>“</w:t>
      </w:r>
      <w:r w:rsidR="001E254A">
        <w:rPr>
          <w:i/>
          <w:iCs/>
        </w:rPr>
        <w:t xml:space="preserve"> </w:t>
      </w:r>
      <w:r w:rsidR="001E254A" w:rsidRPr="00BD408F">
        <w:rPr>
          <w:b/>
          <w:bCs/>
          <w:i/>
          <w:iCs/>
        </w:rPr>
        <w:t>Condition 16</w:t>
      </w:r>
      <w:r w:rsidR="00503286">
        <w:rPr>
          <w:i/>
          <w:iCs/>
        </w:rPr>
        <w:t xml:space="preserve"> </w:t>
      </w:r>
      <w:r w:rsidR="00503286">
        <w:t xml:space="preserve">that environmental impact assessment process means a process of; </w:t>
      </w:r>
      <w:r w:rsidRPr="008F5B7D">
        <w:rPr>
          <w:b/>
          <w:bCs/>
          <w:i/>
          <w:iCs/>
        </w:rPr>
        <w:t xml:space="preserve">(a) </w:t>
      </w:r>
      <w:r w:rsidR="00E35311" w:rsidRPr="008F5B7D">
        <w:rPr>
          <w:b/>
          <w:bCs/>
          <w:i/>
          <w:iCs/>
        </w:rPr>
        <w:t>(</w:t>
      </w:r>
      <w:proofErr w:type="spellStart"/>
      <w:r w:rsidR="00E35311" w:rsidRPr="008F5B7D">
        <w:rPr>
          <w:b/>
          <w:bCs/>
          <w:i/>
          <w:iCs/>
        </w:rPr>
        <w:t>i</w:t>
      </w:r>
      <w:proofErr w:type="spellEnd"/>
      <w:r w:rsidR="00E35311" w:rsidRPr="008F5B7D">
        <w:rPr>
          <w:b/>
          <w:bCs/>
          <w:i/>
          <w:iCs/>
        </w:rPr>
        <w:t>)</w:t>
      </w:r>
      <w:r w:rsidR="00E35311">
        <w:rPr>
          <w:i/>
          <w:iCs/>
        </w:rPr>
        <w:t xml:space="preserve"> the preparation of an environmental impact assessment report by the applicant in accordance with this Act and</w:t>
      </w:r>
      <w:r w:rsidR="00E326DE">
        <w:rPr>
          <w:i/>
          <w:iCs/>
        </w:rPr>
        <w:t xml:space="preserve"> regulations made there under.</w:t>
      </w:r>
    </w:p>
    <w:p w14:paraId="06DAD368" w14:textId="241C6CC5" w:rsidR="00E326DE" w:rsidRPr="00AF090E" w:rsidRDefault="00E326DE" w:rsidP="0043534C">
      <w:pPr>
        <w:pStyle w:val="BodyText"/>
        <w:rPr>
          <w:i/>
          <w:iCs/>
        </w:rPr>
      </w:pPr>
      <w:r w:rsidRPr="008F5B7D">
        <w:rPr>
          <w:b/>
          <w:bCs/>
          <w:i/>
          <w:iCs/>
        </w:rPr>
        <w:t>(b)</w:t>
      </w:r>
      <w:r w:rsidR="00C90F20" w:rsidRPr="008F5B7D">
        <w:rPr>
          <w:b/>
          <w:bCs/>
          <w:i/>
          <w:iCs/>
        </w:rPr>
        <w:t xml:space="preserve"> </w:t>
      </w:r>
      <w:r w:rsidR="007666A0" w:rsidRPr="008F5B7D">
        <w:rPr>
          <w:b/>
          <w:bCs/>
          <w:i/>
          <w:iCs/>
        </w:rPr>
        <w:t>(i</w:t>
      </w:r>
      <w:r w:rsidR="007666A0" w:rsidRPr="008F5B7D">
        <w:rPr>
          <w:i/>
          <w:iCs/>
        </w:rPr>
        <w:t>i)</w:t>
      </w:r>
      <w:r w:rsidR="007666A0">
        <w:rPr>
          <w:i/>
          <w:iCs/>
        </w:rPr>
        <w:t xml:space="preserve"> such an examination, analysis and evaluation of the </w:t>
      </w:r>
      <w:r w:rsidR="0078345A">
        <w:rPr>
          <w:i/>
          <w:iCs/>
        </w:rPr>
        <w:t xml:space="preserve">expected direct and indirect significant effects on the environment derived from the vulnerability of the proposed development </w:t>
      </w:r>
      <w:r w:rsidR="00DC1EFB">
        <w:rPr>
          <w:i/>
          <w:iCs/>
        </w:rPr>
        <w:t xml:space="preserve">to risk of major accidents or disaster, or both major accidents and disasters that are </w:t>
      </w:r>
      <w:r w:rsidR="007A09A3">
        <w:rPr>
          <w:i/>
          <w:iCs/>
        </w:rPr>
        <w:t>relevant to that development”.</w:t>
      </w:r>
    </w:p>
    <w:p w14:paraId="0D8299A4" w14:textId="01A6747F" w:rsidR="00D149A8" w:rsidRDefault="00503286" w:rsidP="008F5B7D">
      <w:pPr>
        <w:pStyle w:val="BodyText"/>
        <w:rPr>
          <w:b/>
          <w:bCs/>
          <w:i/>
          <w:iCs/>
        </w:rPr>
      </w:pPr>
      <w:r>
        <w:t>“</w:t>
      </w:r>
      <w:r w:rsidRPr="00AF090E">
        <w:rPr>
          <w:b/>
          <w:bCs/>
          <w:i/>
          <w:iCs/>
        </w:rPr>
        <w:t>Schedule 6</w:t>
      </w:r>
      <w:r w:rsidR="00656D67" w:rsidRPr="00AF090E">
        <w:rPr>
          <w:b/>
          <w:bCs/>
          <w:i/>
          <w:iCs/>
        </w:rPr>
        <w:t xml:space="preserve">, Condition 2 </w:t>
      </w:r>
      <w:r w:rsidR="00E36C78" w:rsidRPr="008F5B7D">
        <w:rPr>
          <w:i/>
          <w:iCs/>
        </w:rPr>
        <w:t>additional information</w:t>
      </w:r>
      <w:r w:rsidR="00D149A8">
        <w:rPr>
          <w:i/>
          <w:iCs/>
        </w:rPr>
        <w:t xml:space="preserve"> relevant to the </w:t>
      </w:r>
      <w:r w:rsidR="008F5B7D" w:rsidRPr="008F5B7D">
        <w:rPr>
          <w:i/>
          <w:iCs/>
        </w:rPr>
        <w:t xml:space="preserve"> specific characteristics of the</w:t>
      </w:r>
      <w:r w:rsidR="008F5B7D">
        <w:rPr>
          <w:i/>
          <w:iCs/>
        </w:rPr>
        <w:t xml:space="preserve"> </w:t>
      </w:r>
      <w:r w:rsidR="008F5B7D" w:rsidRPr="008F5B7D">
        <w:rPr>
          <w:i/>
          <w:iCs/>
        </w:rPr>
        <w:t>development or type of development concerned and to the environmental</w:t>
      </w:r>
      <w:r w:rsidR="008F5B7D">
        <w:rPr>
          <w:i/>
          <w:iCs/>
        </w:rPr>
        <w:t xml:space="preserve"> </w:t>
      </w:r>
      <w:r w:rsidR="008F5B7D" w:rsidRPr="008F5B7D">
        <w:rPr>
          <w:i/>
          <w:iCs/>
        </w:rPr>
        <w:t>features likely to be affected</w:t>
      </w:r>
      <w:r w:rsidR="002E6313">
        <w:rPr>
          <w:i/>
          <w:iCs/>
        </w:rPr>
        <w:t>.</w:t>
      </w:r>
    </w:p>
    <w:p w14:paraId="2573E6B6" w14:textId="1A461439" w:rsidR="00541F7D" w:rsidRPr="00AF090E" w:rsidRDefault="00E36C78" w:rsidP="00AF090E">
      <w:pPr>
        <w:pStyle w:val="BodyText"/>
        <w:rPr>
          <w:i/>
          <w:iCs/>
        </w:rPr>
      </w:pPr>
      <w:r>
        <w:rPr>
          <w:b/>
          <w:bCs/>
          <w:i/>
          <w:iCs/>
        </w:rPr>
        <w:t xml:space="preserve"> </w:t>
      </w:r>
      <w:r w:rsidR="00656D67" w:rsidRPr="00AF090E">
        <w:rPr>
          <w:b/>
          <w:bCs/>
          <w:i/>
          <w:iCs/>
        </w:rPr>
        <w:t>(h)</w:t>
      </w:r>
      <w:r w:rsidR="00656D67">
        <w:rPr>
          <w:i/>
          <w:iCs/>
        </w:rPr>
        <w:t xml:space="preserve"> </w:t>
      </w:r>
      <w:r w:rsidR="00AF090E" w:rsidRPr="00AF090E">
        <w:rPr>
          <w:i/>
          <w:iCs/>
        </w:rPr>
        <w:t>a description of the expected significant adverse effects on the</w:t>
      </w:r>
      <w:r w:rsidR="00AF090E">
        <w:rPr>
          <w:i/>
          <w:iCs/>
        </w:rPr>
        <w:t xml:space="preserve"> </w:t>
      </w:r>
      <w:r w:rsidR="00AF090E" w:rsidRPr="00AF090E">
        <w:rPr>
          <w:i/>
          <w:iCs/>
        </w:rPr>
        <w:t>environment of the proposed development deriving from its vulnerability to</w:t>
      </w:r>
      <w:r w:rsidR="00AF090E">
        <w:rPr>
          <w:i/>
          <w:iCs/>
        </w:rPr>
        <w:t xml:space="preserve"> </w:t>
      </w:r>
      <w:r w:rsidR="00AF090E" w:rsidRPr="00AF090E">
        <w:rPr>
          <w:i/>
          <w:iCs/>
        </w:rPr>
        <w:t>risks of major accidents and/or disasters which are relevant to it. Relevant</w:t>
      </w:r>
      <w:r w:rsidR="00AC1838">
        <w:rPr>
          <w:i/>
          <w:iCs/>
        </w:rPr>
        <w:t xml:space="preserve"> </w:t>
      </w:r>
      <w:r w:rsidR="00AF090E" w:rsidRPr="00AF090E">
        <w:rPr>
          <w:i/>
          <w:iCs/>
        </w:rPr>
        <w:t>information available and obtained through risk assessments pursuant to</w:t>
      </w:r>
      <w:r w:rsidR="00AC1838">
        <w:rPr>
          <w:i/>
          <w:iCs/>
        </w:rPr>
        <w:t xml:space="preserve"> </w:t>
      </w:r>
      <w:r w:rsidR="00AF090E" w:rsidRPr="00AF090E">
        <w:rPr>
          <w:i/>
          <w:iCs/>
        </w:rPr>
        <w:t>European Union legislation such as the Seveso III Directive or the Nuclear</w:t>
      </w:r>
      <w:r w:rsidR="00AC1838">
        <w:rPr>
          <w:i/>
          <w:iCs/>
        </w:rPr>
        <w:t xml:space="preserve"> </w:t>
      </w:r>
      <w:r w:rsidR="00AF090E" w:rsidRPr="00AF090E">
        <w:rPr>
          <w:i/>
          <w:iCs/>
        </w:rPr>
        <w:t>Safety Directive or relevant assessments carried out pursuant to national</w:t>
      </w:r>
      <w:r w:rsidR="00AC1838">
        <w:rPr>
          <w:i/>
          <w:iCs/>
        </w:rPr>
        <w:t xml:space="preserve"> </w:t>
      </w:r>
      <w:r w:rsidR="00AF090E" w:rsidRPr="00AF090E">
        <w:rPr>
          <w:i/>
          <w:iCs/>
        </w:rPr>
        <w:t>legislation may be used for this purpose, provided that the requirements of the</w:t>
      </w:r>
      <w:r w:rsidR="00AC1838">
        <w:rPr>
          <w:i/>
          <w:iCs/>
        </w:rPr>
        <w:t xml:space="preserve"> </w:t>
      </w:r>
      <w:r w:rsidR="00AF090E" w:rsidRPr="00AF090E">
        <w:rPr>
          <w:i/>
          <w:iCs/>
        </w:rPr>
        <w:t>Environmental Impact Assessment Directive are met. Where appropriate, this</w:t>
      </w:r>
      <w:r w:rsidR="00AC1838">
        <w:rPr>
          <w:i/>
          <w:iCs/>
        </w:rPr>
        <w:t xml:space="preserve"> </w:t>
      </w:r>
      <w:r w:rsidR="00AF090E" w:rsidRPr="00AF090E">
        <w:rPr>
          <w:i/>
          <w:iCs/>
        </w:rPr>
        <w:t>description should include measures envisaged to prevent or mitigate the</w:t>
      </w:r>
      <w:r w:rsidR="00AC1838">
        <w:rPr>
          <w:i/>
          <w:iCs/>
        </w:rPr>
        <w:t xml:space="preserve"> </w:t>
      </w:r>
      <w:r w:rsidR="00AF090E" w:rsidRPr="00AF090E">
        <w:rPr>
          <w:i/>
          <w:iCs/>
        </w:rPr>
        <w:t>significant adverse effects of such events on the environment and details of the</w:t>
      </w:r>
      <w:r w:rsidR="00AC1838">
        <w:rPr>
          <w:i/>
          <w:iCs/>
        </w:rPr>
        <w:t xml:space="preserve"> </w:t>
      </w:r>
      <w:r w:rsidR="00AF090E" w:rsidRPr="00AF090E">
        <w:rPr>
          <w:i/>
          <w:iCs/>
        </w:rPr>
        <w:t>preparedness for, and proposed response to, emergencies arising from such</w:t>
      </w:r>
      <w:r w:rsidR="00AC1838">
        <w:rPr>
          <w:i/>
          <w:iCs/>
        </w:rPr>
        <w:t xml:space="preserve"> </w:t>
      </w:r>
      <w:r w:rsidR="00AF090E" w:rsidRPr="00AF090E">
        <w:rPr>
          <w:i/>
          <w:iCs/>
        </w:rPr>
        <w:t>events.</w:t>
      </w:r>
      <w:r w:rsidR="00AC1838">
        <w:rPr>
          <w:i/>
          <w:iCs/>
        </w:rPr>
        <w:t>”</w:t>
      </w:r>
    </w:p>
    <w:p w14:paraId="575B529F" w14:textId="12BE299F" w:rsidR="00085367" w:rsidRPr="004336CF" w:rsidRDefault="009E041D" w:rsidP="004336CF">
      <w:pPr>
        <w:pStyle w:val="BodyText"/>
      </w:pPr>
      <w:r w:rsidRPr="004336CF">
        <w:t xml:space="preserve">This assessment therefore considers embedded and additional measures to prevent or mitigate MA&amp;D risks, and the preparedness for emergency response. The assessment reflects the current stage of </w:t>
      </w:r>
      <w:r w:rsidR="00873C8D">
        <w:t>the Proposed Development</w:t>
      </w:r>
      <w:r w:rsidR="00873C8D" w:rsidRPr="004336CF">
        <w:t xml:space="preserve"> </w:t>
      </w:r>
      <w:r w:rsidRPr="004336CF">
        <w:t>design.</w:t>
      </w:r>
    </w:p>
    <w:p w14:paraId="61D2BDEC" w14:textId="23B7447E" w:rsidR="00E00FF5" w:rsidRPr="004336CF" w:rsidRDefault="00A11F2B" w:rsidP="004336CF">
      <w:pPr>
        <w:pStyle w:val="BodyText"/>
      </w:pPr>
      <w:r w:rsidRPr="004336CF">
        <w:t xml:space="preserve">Many regulations have been made which are of relevance to the control of MA&amp;Ds of the </w:t>
      </w:r>
      <w:r w:rsidR="00C24827">
        <w:t xml:space="preserve">construction of the </w:t>
      </w:r>
      <w:r w:rsidRPr="004336CF">
        <w:t>Proposed Development, including the following:</w:t>
      </w:r>
      <w:r w:rsidR="00FD17AB" w:rsidRPr="004336CF">
        <w:t xml:space="preserve"> </w:t>
      </w:r>
    </w:p>
    <w:p w14:paraId="268063C4" w14:textId="074BC11B" w:rsidR="00A11F2B" w:rsidRPr="003470AC" w:rsidRDefault="00004667" w:rsidP="002D1D60">
      <w:pPr>
        <w:pStyle w:val="ListBullet"/>
        <w:numPr>
          <w:ilvl w:val="0"/>
          <w:numId w:val="32"/>
        </w:numPr>
      </w:pPr>
      <w:r w:rsidRPr="003470AC">
        <w:t>Act No.10/2005 - Safety, Health and Welfare at Work Act (HSWA) (</w:t>
      </w:r>
      <w:r w:rsidR="00673850" w:rsidRPr="003470AC">
        <w:t>ISB</w:t>
      </w:r>
      <w:r w:rsidRPr="003470AC">
        <w:t>, 2005). Including associated amendments</w:t>
      </w:r>
      <w:r w:rsidR="008A7358">
        <w:t>;</w:t>
      </w:r>
      <w:r w:rsidR="00FD17AB" w:rsidRPr="003470AC">
        <w:t xml:space="preserve"> </w:t>
      </w:r>
    </w:p>
    <w:p w14:paraId="28BE6FD5" w14:textId="003BD685" w:rsidR="00D43A4E" w:rsidRPr="003470AC" w:rsidRDefault="00D43A4E" w:rsidP="002D1D60">
      <w:pPr>
        <w:pStyle w:val="ListBullet"/>
        <w:numPr>
          <w:ilvl w:val="0"/>
          <w:numId w:val="32"/>
        </w:numPr>
      </w:pPr>
      <w:r w:rsidRPr="003470AC">
        <w:t>S.I.</w:t>
      </w:r>
      <w:r w:rsidR="00FD17AB" w:rsidRPr="003470AC">
        <w:t xml:space="preserve"> </w:t>
      </w:r>
      <w:r w:rsidRPr="003470AC">
        <w:t>No.</w:t>
      </w:r>
      <w:r w:rsidR="00FD17AB" w:rsidRPr="003470AC">
        <w:t xml:space="preserve"> </w:t>
      </w:r>
      <w:r w:rsidRPr="003470AC">
        <w:t>231/2021</w:t>
      </w:r>
      <w:r w:rsidR="00FD17AB" w:rsidRPr="003470AC">
        <w:t xml:space="preserve"> </w:t>
      </w:r>
      <w:r w:rsidRPr="003470AC">
        <w:t>-</w:t>
      </w:r>
      <w:r w:rsidR="00FD17AB" w:rsidRPr="003470AC">
        <w:t xml:space="preserve"> </w:t>
      </w:r>
      <w:r w:rsidRPr="003470AC">
        <w:t>Safety,</w:t>
      </w:r>
      <w:r w:rsidR="00FD17AB" w:rsidRPr="003470AC">
        <w:t xml:space="preserve"> </w:t>
      </w:r>
      <w:r w:rsidRPr="003470AC">
        <w:t>Health</w:t>
      </w:r>
      <w:r w:rsidR="00FD17AB" w:rsidRPr="003470AC">
        <w:t xml:space="preserve"> </w:t>
      </w:r>
      <w:r w:rsidRPr="003470AC">
        <w:t>and</w:t>
      </w:r>
      <w:r w:rsidR="00FD17AB" w:rsidRPr="003470AC">
        <w:t xml:space="preserve"> </w:t>
      </w:r>
      <w:r w:rsidRPr="003470AC">
        <w:t>Welfare</w:t>
      </w:r>
      <w:r w:rsidR="00FD17AB" w:rsidRPr="003470AC">
        <w:t xml:space="preserve"> </w:t>
      </w:r>
      <w:r w:rsidRPr="003470AC">
        <w:t>at</w:t>
      </w:r>
      <w:r w:rsidR="00FD17AB" w:rsidRPr="003470AC">
        <w:t xml:space="preserve"> </w:t>
      </w:r>
      <w:r w:rsidRPr="003470AC">
        <w:t>Work</w:t>
      </w:r>
      <w:r w:rsidR="00FD17AB" w:rsidRPr="003470AC">
        <w:t xml:space="preserve"> </w:t>
      </w:r>
      <w:r w:rsidRPr="003470AC">
        <w:t>(Chemical Agents)</w:t>
      </w:r>
      <w:r w:rsidR="00FD17AB" w:rsidRPr="003470AC">
        <w:t xml:space="preserve"> </w:t>
      </w:r>
      <w:r w:rsidRPr="003470AC">
        <w:t>(Amendment) Regulations (</w:t>
      </w:r>
      <w:r w:rsidR="00673850" w:rsidRPr="003470AC">
        <w:t>ISB</w:t>
      </w:r>
      <w:r w:rsidRPr="003470AC">
        <w:t>, 2021</w:t>
      </w:r>
      <w:r w:rsidR="00AF21D9" w:rsidRPr="003470AC">
        <w:t>a</w:t>
      </w:r>
      <w:r w:rsidRPr="003470AC">
        <w:t>)</w:t>
      </w:r>
      <w:r w:rsidR="008A7358">
        <w:t>;</w:t>
      </w:r>
      <w:r w:rsidR="00FD17AB" w:rsidRPr="003470AC">
        <w:t xml:space="preserve"> </w:t>
      </w:r>
    </w:p>
    <w:p w14:paraId="5739DFFA" w14:textId="12A15827" w:rsidR="00004667" w:rsidRPr="003470AC" w:rsidRDefault="004325EB" w:rsidP="002D1D60">
      <w:pPr>
        <w:pStyle w:val="ListBullet"/>
        <w:numPr>
          <w:ilvl w:val="0"/>
          <w:numId w:val="32"/>
        </w:numPr>
      </w:pPr>
      <w:r w:rsidRPr="003470AC">
        <w:t>S.I. No. 528/2021 - Safety, Health and Welfare at Work (Construction) (Amendment) Regulations (</w:t>
      </w:r>
      <w:r w:rsidR="00673850" w:rsidRPr="003470AC">
        <w:t>ISB</w:t>
      </w:r>
      <w:r w:rsidRPr="003470AC">
        <w:t>, 2021</w:t>
      </w:r>
      <w:r w:rsidR="00AF21D9" w:rsidRPr="003470AC">
        <w:t>b</w:t>
      </w:r>
      <w:r w:rsidRPr="003470AC">
        <w:t>)</w:t>
      </w:r>
      <w:r w:rsidR="008A7358">
        <w:t>;</w:t>
      </w:r>
      <w:r w:rsidR="00FD17AB" w:rsidRPr="003470AC">
        <w:t xml:space="preserve"> </w:t>
      </w:r>
    </w:p>
    <w:p w14:paraId="74C3833A" w14:textId="52BF8D9C" w:rsidR="004325EB" w:rsidRPr="003470AC" w:rsidRDefault="008E4775" w:rsidP="002D1D60">
      <w:pPr>
        <w:pStyle w:val="ListBullet"/>
        <w:numPr>
          <w:ilvl w:val="0"/>
          <w:numId w:val="32"/>
        </w:numPr>
      </w:pPr>
      <w:r w:rsidRPr="003470AC">
        <w:t>S.I. No. 255/2023 - Safety, Health and Welfare at Work (General Application) (Amendment) Regulations (</w:t>
      </w:r>
      <w:r w:rsidR="00673850" w:rsidRPr="003470AC">
        <w:t>ISB</w:t>
      </w:r>
      <w:r w:rsidRPr="003470AC">
        <w:t>, 2023)</w:t>
      </w:r>
      <w:r w:rsidR="008A7358">
        <w:t>;</w:t>
      </w:r>
      <w:r w:rsidR="00FD17AB" w:rsidRPr="003470AC">
        <w:t xml:space="preserve"> </w:t>
      </w:r>
    </w:p>
    <w:p w14:paraId="63104881" w14:textId="703AED1A" w:rsidR="004B115A" w:rsidRPr="003470AC" w:rsidRDefault="004B115A" w:rsidP="002D1D60">
      <w:pPr>
        <w:pStyle w:val="ListBullet"/>
        <w:numPr>
          <w:ilvl w:val="0"/>
          <w:numId w:val="32"/>
        </w:numPr>
      </w:pPr>
      <w:r w:rsidRPr="003470AC">
        <w:t>Act No. 10/1972 (as amended by Act No. 21/1979) - Dangerous Substances Act (</w:t>
      </w:r>
      <w:r w:rsidR="00673850" w:rsidRPr="003470AC">
        <w:t>ISB</w:t>
      </w:r>
      <w:r w:rsidRPr="003470AC">
        <w:t>, 1972)</w:t>
      </w:r>
      <w:r w:rsidR="008A7358">
        <w:t>;</w:t>
      </w:r>
    </w:p>
    <w:p w14:paraId="27E9D4E2" w14:textId="44F66FA7" w:rsidR="004B115A" w:rsidRPr="003470AC" w:rsidRDefault="009E280C" w:rsidP="002D1D60">
      <w:pPr>
        <w:pStyle w:val="ListBullet"/>
        <w:numPr>
          <w:ilvl w:val="0"/>
          <w:numId w:val="32"/>
        </w:numPr>
      </w:pPr>
      <w:r w:rsidRPr="003470AC">
        <w:t>S.I. No. 272/2008 - European Communities (Classification, Packaging, Labelling and Notification of Dangerous Substances) Regulations (CLP) (</w:t>
      </w:r>
      <w:r w:rsidR="00673850" w:rsidRPr="003470AC">
        <w:t>ISB</w:t>
      </w:r>
      <w:r w:rsidRPr="003470AC">
        <w:t>, 2008).</w:t>
      </w:r>
      <w:r w:rsidR="00FD17AB" w:rsidRPr="003470AC">
        <w:t xml:space="preserve"> </w:t>
      </w:r>
    </w:p>
    <w:p w14:paraId="4E9E9588" w14:textId="7C37AEF4" w:rsidR="009E280C" w:rsidRPr="00085367" w:rsidRDefault="00504453" w:rsidP="004336CF">
      <w:pPr>
        <w:pStyle w:val="BodyText"/>
      </w:pPr>
      <w:r w:rsidRPr="00504453">
        <w:t xml:space="preserve">Another regulation of </w:t>
      </w:r>
      <w:r w:rsidR="00A35D89">
        <w:t xml:space="preserve">relevance to MA&amp;Ds </w:t>
      </w:r>
      <w:r w:rsidRPr="00504453">
        <w:t xml:space="preserve">is the EU SEVESO III Directive (2012/18/EU) </w:t>
      </w:r>
      <w:r w:rsidR="00F668D1">
        <w:t xml:space="preserve">(EU, 2012) </w:t>
      </w:r>
      <w:r w:rsidRPr="00504453">
        <w:t xml:space="preserve">which is implemented in Ireland through the Chemicals Act (Control of Major Hazards Involving Dangerous </w:t>
      </w:r>
      <w:r w:rsidRPr="00504453">
        <w:lastRenderedPageBreak/>
        <w:t>Substances) Regulations SI. No. 209/2015 (</w:t>
      </w:r>
      <w:r w:rsidR="00A35D89">
        <w:t>‘</w:t>
      </w:r>
      <w:r w:rsidRPr="00504453">
        <w:t>the COMAH Regulations</w:t>
      </w:r>
      <w:r w:rsidR="00A35D89">
        <w:t>’</w:t>
      </w:r>
      <w:r w:rsidRPr="00504453">
        <w:t>)</w:t>
      </w:r>
      <w:r w:rsidR="003B5C45">
        <w:t xml:space="preserve"> (</w:t>
      </w:r>
      <w:r w:rsidR="00673850">
        <w:t>ISB</w:t>
      </w:r>
      <w:r w:rsidR="003B5C45">
        <w:t>, 2015)</w:t>
      </w:r>
      <w:r w:rsidRPr="00504453">
        <w:t xml:space="preserve">. The COMAH Regulations apply to sites storing threshold quantities of dangerous substances. Based on current design information, the Proposed Development </w:t>
      </w:r>
      <w:r w:rsidR="00A35D89">
        <w:t>would</w:t>
      </w:r>
      <w:r w:rsidR="00A35D89" w:rsidRPr="00504453">
        <w:t xml:space="preserve"> </w:t>
      </w:r>
      <w:r w:rsidRPr="00504453">
        <w:t xml:space="preserve">not store any dangerous substances that reach COMAH thresholds and </w:t>
      </w:r>
      <w:r w:rsidR="00361462">
        <w:t>would</w:t>
      </w:r>
      <w:r w:rsidR="00361462" w:rsidRPr="00504453">
        <w:t xml:space="preserve"> </w:t>
      </w:r>
      <w:r w:rsidRPr="00504453">
        <w:t>therefore not be considered a COMAH Establishment.</w:t>
      </w:r>
      <w:r w:rsidR="00FD17AB">
        <w:t xml:space="preserve"> </w:t>
      </w:r>
    </w:p>
    <w:p w14:paraId="30B7E7D7" w14:textId="4741955E" w:rsidR="00DC7936" w:rsidRDefault="00DC7936" w:rsidP="00DC7936">
      <w:pPr>
        <w:pStyle w:val="Heading3"/>
      </w:pPr>
      <w:bookmarkStart w:id="54" w:name="_Toc238735929"/>
      <w:r>
        <w:t>Policy</w:t>
      </w:r>
      <w:bookmarkEnd w:id="54"/>
    </w:p>
    <w:p w14:paraId="112D992B" w14:textId="6D2DAEE4" w:rsidR="00D92CBF" w:rsidRDefault="00D92CBF" w:rsidP="00D92CBF">
      <w:pPr>
        <w:pStyle w:val="Heading4"/>
      </w:pPr>
      <w:r>
        <w:t xml:space="preserve">National </w:t>
      </w:r>
    </w:p>
    <w:p w14:paraId="74A4CFB9" w14:textId="4D3A9886" w:rsidR="003602DB" w:rsidRDefault="0003401A" w:rsidP="003602DB">
      <w:pPr>
        <w:pStyle w:val="BodyText"/>
      </w:pPr>
      <w:r w:rsidRPr="004336CF">
        <w:t xml:space="preserve">The Department of Housing, Local Government and Heritage (DHLGH) as part of the </w:t>
      </w:r>
      <w:r w:rsidR="00673850" w:rsidRPr="004336CF">
        <w:t>ISB</w:t>
      </w:r>
      <w:r w:rsidRPr="004336CF">
        <w:t xml:space="preserve"> has published a series of guidance documents in line with their Major Emergency Management Framework </w:t>
      </w:r>
      <w:proofErr w:type="gramStart"/>
      <w:r w:rsidRPr="004336CF">
        <w:t>in order to</w:t>
      </w:r>
      <w:proofErr w:type="gramEnd"/>
      <w:r w:rsidRPr="004336CF">
        <w:t xml:space="preserve"> set out arrangements for co-ordination at local, regional and national levels of emergency management. The framework also introduces a system to immediately determine a lead agency in all emergency situations </w:t>
      </w:r>
      <w:r w:rsidRPr="0003401A">
        <w:t xml:space="preserve">(DHLGH, </w:t>
      </w:r>
      <w:r w:rsidR="00E24FCE">
        <w:t>published in Sept 2021, and updated in June 2025</w:t>
      </w:r>
      <w:r w:rsidRPr="0003401A">
        <w:t>).</w:t>
      </w:r>
    </w:p>
    <w:p w14:paraId="42A360E5" w14:textId="40FFEF4B" w:rsidR="00CF4478" w:rsidRDefault="00CF4478" w:rsidP="0003401A">
      <w:pPr>
        <w:pStyle w:val="Heading4"/>
      </w:pPr>
      <w:r>
        <w:t>Regional</w:t>
      </w:r>
    </w:p>
    <w:p w14:paraId="29B3B162" w14:textId="2933F081" w:rsidR="00CF4478" w:rsidRPr="00CF4478" w:rsidRDefault="00E61212" w:rsidP="00CF4478">
      <w:pPr>
        <w:pStyle w:val="BodyText"/>
      </w:pPr>
      <w:r w:rsidRPr="004336CF">
        <w:t xml:space="preserve">The Eastern and Midland Regional Assembly (EMRA, </w:t>
      </w:r>
      <w:r w:rsidR="008F473E" w:rsidRPr="004336CF">
        <w:t>201</w:t>
      </w:r>
      <w:r w:rsidR="008F473E">
        <w:t>9</w:t>
      </w:r>
      <w:r w:rsidRPr="004336CF">
        <w:t xml:space="preserve">) </w:t>
      </w:r>
      <w:r w:rsidR="004D0DE4">
        <w:t>“</w:t>
      </w:r>
      <w:r w:rsidRPr="004336CF">
        <w:t xml:space="preserve">Regional Spatial and Economic Strategy </w:t>
      </w:r>
      <w:r w:rsidR="004D0DE4">
        <w:t>FOR THE Eastern and Mi</w:t>
      </w:r>
      <w:r w:rsidR="00294288">
        <w:t xml:space="preserve">dland Region 2019 – 2931” </w:t>
      </w:r>
      <w:r w:rsidRPr="004336CF">
        <w:t>does not provide guidance regarding the assessment of MA&amp;Ds. The Strategy does refer to the need to ensure the resilience of critical infrastructure</w:t>
      </w:r>
      <w:r w:rsidRPr="00E61212">
        <w:t xml:space="preserve"> “</w:t>
      </w:r>
      <w:r w:rsidRPr="00E61212">
        <w:rPr>
          <w:rStyle w:val="QuoteChar"/>
        </w:rPr>
        <w:t>as both natural, including extreme weather events, and man-made disaster and crises situations become more common place</w:t>
      </w:r>
      <w:r w:rsidRPr="00E61212">
        <w:t>”.</w:t>
      </w:r>
    </w:p>
    <w:p w14:paraId="661D97ED" w14:textId="50F78482" w:rsidR="0003401A" w:rsidRDefault="0003401A" w:rsidP="0003401A">
      <w:pPr>
        <w:pStyle w:val="Heading4"/>
      </w:pPr>
      <w:r>
        <w:t>Local</w:t>
      </w:r>
    </w:p>
    <w:p w14:paraId="79ABBADE" w14:textId="7BBE526D" w:rsidR="0003401A" w:rsidRDefault="0003401A" w:rsidP="0003401A">
      <w:pPr>
        <w:pStyle w:val="BodyText"/>
      </w:pPr>
      <w:r w:rsidRPr="004336CF">
        <w:t xml:space="preserve">The </w:t>
      </w:r>
      <w:r w:rsidR="00E61212" w:rsidRPr="004336CF">
        <w:t xml:space="preserve">South </w:t>
      </w:r>
      <w:r w:rsidR="00E248B8" w:rsidRPr="004336CF">
        <w:t xml:space="preserve">Dublin County Development Plan 2022-2028 </w:t>
      </w:r>
      <w:r w:rsidR="008D589C" w:rsidRPr="004336CF">
        <w:t xml:space="preserve">refers to the </w:t>
      </w:r>
      <w:r w:rsidR="009F1680" w:rsidRPr="004336CF">
        <w:t>EU Direc</w:t>
      </w:r>
      <w:r w:rsidR="00223CD6" w:rsidRPr="004336CF">
        <w:t xml:space="preserve">tive 2012/18/EU </w:t>
      </w:r>
      <w:r w:rsidR="00F668D1" w:rsidRPr="004336CF">
        <w:t xml:space="preserve">(EU, 2012) </w:t>
      </w:r>
      <w:r w:rsidR="00223CD6" w:rsidRPr="004336CF">
        <w:t xml:space="preserve">on the control </w:t>
      </w:r>
      <w:r w:rsidR="00882042" w:rsidRPr="004336CF">
        <w:t>of MA&amp;Ds</w:t>
      </w:r>
      <w:r w:rsidR="00336C23" w:rsidRPr="004336CF">
        <w:t xml:space="preserve"> </w:t>
      </w:r>
      <w:r w:rsidR="00336C23">
        <w:t>(SD</w:t>
      </w:r>
      <w:r w:rsidR="001E5997">
        <w:t>C</w:t>
      </w:r>
      <w:r w:rsidR="00336C23">
        <w:t>C, 2022)</w:t>
      </w:r>
      <w:r w:rsidR="002D312D">
        <w:t>.</w:t>
      </w:r>
      <w:r w:rsidR="00FD17AB">
        <w:t xml:space="preserve"> </w:t>
      </w:r>
      <w:r w:rsidR="00BD56AF" w:rsidRPr="004336CF">
        <w:t>SD</w:t>
      </w:r>
      <w:r w:rsidR="001E5997">
        <w:t>C</w:t>
      </w:r>
      <w:r w:rsidR="00BD56AF" w:rsidRPr="004336CF">
        <w:t xml:space="preserve">C have </w:t>
      </w:r>
      <w:r w:rsidR="00D30CC0" w:rsidRPr="004336CF">
        <w:t>t</w:t>
      </w:r>
      <w:r w:rsidR="002D312D" w:rsidRPr="004336CF">
        <w:t xml:space="preserve">he following </w:t>
      </w:r>
      <w:r w:rsidR="00BD56AF" w:rsidRPr="004336CF">
        <w:t>p</w:t>
      </w:r>
      <w:r w:rsidR="00882042" w:rsidRPr="004336CF">
        <w:t>oli</w:t>
      </w:r>
      <w:r w:rsidR="00BD56AF" w:rsidRPr="004336CF">
        <w:t xml:space="preserve">cies </w:t>
      </w:r>
      <w:r w:rsidR="00D30CC0" w:rsidRPr="004336CF">
        <w:t xml:space="preserve">in place </w:t>
      </w:r>
      <w:r w:rsidR="00BD56AF" w:rsidRPr="004336CF">
        <w:t>in the context of MA&amp;Ds</w:t>
      </w:r>
      <w:r w:rsidR="00D30CC0" w:rsidRPr="004336CF">
        <w:t>:</w:t>
      </w:r>
    </w:p>
    <w:p w14:paraId="21BF65AF" w14:textId="0DD0F45A" w:rsidR="00D30CC0" w:rsidRDefault="006E11A2" w:rsidP="002D1D60">
      <w:pPr>
        <w:pStyle w:val="ListBullet"/>
        <w:numPr>
          <w:ilvl w:val="0"/>
          <w:numId w:val="33"/>
        </w:numPr>
      </w:pPr>
      <w:r w:rsidRPr="00D654CE">
        <w:rPr>
          <w:b/>
          <w:bCs/>
        </w:rPr>
        <w:t>Policy ED</w:t>
      </w:r>
      <w:r w:rsidR="00755F89" w:rsidRPr="00D654CE">
        <w:rPr>
          <w:b/>
          <w:bCs/>
        </w:rPr>
        <w:t>E26: Major Accidents:</w:t>
      </w:r>
      <w:r w:rsidR="00755F89">
        <w:t xml:space="preserve"> “</w:t>
      </w:r>
      <w:r w:rsidR="00755F89" w:rsidRPr="008D73A2">
        <w:rPr>
          <w:rStyle w:val="QuoteChar"/>
        </w:rPr>
        <w:t>Have regard to the provisions of the Major Accidents Directive (European Council Directive 2012 / 18 / EU)</w:t>
      </w:r>
      <w:r w:rsidR="00F668D1">
        <w:rPr>
          <w:rStyle w:val="QuoteChar"/>
        </w:rPr>
        <w:t xml:space="preserve"> (EU,2012)</w:t>
      </w:r>
      <w:r w:rsidR="00755F89" w:rsidRPr="008D73A2">
        <w:rPr>
          <w:rStyle w:val="QuoteChar"/>
        </w:rPr>
        <w:t xml:space="preserve"> and the technical advice of the Health and Safety Authority (HSA) in relation to identified SEVESO sites in the County</w:t>
      </w:r>
      <w:r w:rsidR="00755F89">
        <w:t>”</w:t>
      </w:r>
      <w:r w:rsidR="008D73A2">
        <w:t>.</w:t>
      </w:r>
    </w:p>
    <w:p w14:paraId="4A921BCA" w14:textId="2A248533" w:rsidR="00755F89" w:rsidRDefault="008D73A2" w:rsidP="002D1D60">
      <w:pPr>
        <w:pStyle w:val="ListBullet"/>
        <w:numPr>
          <w:ilvl w:val="0"/>
          <w:numId w:val="33"/>
        </w:numPr>
      </w:pPr>
      <w:r w:rsidRPr="00D654CE">
        <w:rPr>
          <w:b/>
          <w:bCs/>
        </w:rPr>
        <w:t>EDE26 Objective 1:</w:t>
      </w:r>
      <w:r>
        <w:t xml:space="preserve"> “</w:t>
      </w:r>
      <w:r w:rsidR="00A511FD" w:rsidRPr="00A511FD">
        <w:rPr>
          <w:rStyle w:val="QuoteChar"/>
        </w:rPr>
        <w:t>To have regard to the policy and approach of the HSA Guidance on Technical Land-use Planning Advice for Planning Authorities and Established COMAH Operators (HSA,202</w:t>
      </w:r>
      <w:r w:rsidR="0060586E">
        <w:rPr>
          <w:rStyle w:val="QuoteChar"/>
        </w:rPr>
        <w:t>3</w:t>
      </w:r>
      <w:r w:rsidR="00A511FD" w:rsidRPr="00A511FD">
        <w:rPr>
          <w:rStyle w:val="QuoteChar"/>
        </w:rPr>
        <w:t>) or any superseding documents where appropriate, in assessing planning applications and in preparing land use plans</w:t>
      </w:r>
      <w:r w:rsidR="00A511FD">
        <w:t>”.</w:t>
      </w:r>
    </w:p>
    <w:p w14:paraId="4F70F47D" w14:textId="20B1FD0B" w:rsidR="00DC7936" w:rsidRDefault="00DC7936" w:rsidP="00DC7936">
      <w:pPr>
        <w:pStyle w:val="Heading3"/>
      </w:pPr>
      <w:bookmarkStart w:id="55" w:name="_Toc238735930"/>
      <w:r>
        <w:t>Guidance</w:t>
      </w:r>
      <w:bookmarkEnd w:id="55"/>
    </w:p>
    <w:p w14:paraId="75C8F3A2" w14:textId="54D0664F" w:rsidR="009A3628" w:rsidRPr="004336CF" w:rsidRDefault="00FA65E9" w:rsidP="004336CF">
      <w:pPr>
        <w:pStyle w:val="BodyText"/>
      </w:pPr>
      <w:r w:rsidRPr="004336CF">
        <w:t>Key considerations for MA&amp;Ds assessment are provided in the European Commission</w:t>
      </w:r>
      <w:r w:rsidR="00DD6F56" w:rsidRPr="004336CF">
        <w:t xml:space="preserve"> (EC)</w:t>
      </w:r>
      <w:r w:rsidRPr="004336CF">
        <w:t>: Guidance on the preparation of the Environmental Impact Assessment Report (EC, 2017).</w:t>
      </w:r>
    </w:p>
    <w:p w14:paraId="16B0A6CF" w14:textId="0C23302E" w:rsidR="00FA65E9" w:rsidRPr="004336CF" w:rsidRDefault="00D400E7" w:rsidP="004336CF">
      <w:pPr>
        <w:pStyle w:val="BodyText"/>
      </w:pPr>
      <w:r w:rsidRPr="004336CF">
        <w:t xml:space="preserve">No dedicated MA&amp;D guidance exists for EIARs in Ireland. However, the scope of the assessment has been developed with reference to the Institute of Environmental Management and Assessment (IEMA) </w:t>
      </w:r>
      <w:r w:rsidR="00E50C0B">
        <w:t xml:space="preserve">(now called the </w:t>
      </w:r>
      <w:r w:rsidR="00E50C0B" w:rsidRPr="004336CF">
        <w:t>Institute of Sustainability and Environmental Professionals (ISEP)</w:t>
      </w:r>
      <w:r w:rsidR="00E50C0B">
        <w:t xml:space="preserve">) </w:t>
      </w:r>
      <w:r w:rsidRPr="004336CF">
        <w:t xml:space="preserve">publication </w:t>
      </w:r>
      <w:r w:rsidR="00E50C0B">
        <w:t>‘</w:t>
      </w:r>
      <w:r w:rsidRPr="004336CF">
        <w:rPr>
          <w:rStyle w:val="QuoteChar"/>
          <w:i w:val="0"/>
          <w:iCs w:val="0"/>
          <w:color w:val="auto"/>
        </w:rPr>
        <w:t>Major Accidents and Disasters in EIA: An IEMA Primer</w:t>
      </w:r>
      <w:r w:rsidR="00E50C0B">
        <w:rPr>
          <w:rStyle w:val="QuoteChar"/>
          <w:i w:val="0"/>
          <w:iCs w:val="0"/>
          <w:color w:val="auto"/>
        </w:rPr>
        <w:t>’</w:t>
      </w:r>
      <w:r w:rsidRPr="004336CF">
        <w:t xml:space="preserve"> (</w:t>
      </w:r>
      <w:r w:rsidR="000F30E7" w:rsidRPr="004336CF">
        <w:rPr>
          <w:rStyle w:val="QuoteChar"/>
          <w:i w:val="0"/>
          <w:iCs w:val="0"/>
          <w:color w:val="auto"/>
        </w:rPr>
        <w:t>IEMA</w:t>
      </w:r>
      <w:r w:rsidRPr="004336CF">
        <w:t>, 2020) which lays out emerging best practice.</w:t>
      </w:r>
    </w:p>
    <w:p w14:paraId="15C6C7CD" w14:textId="2CE6DEB2" w:rsidR="00774A9C" w:rsidRPr="004336CF" w:rsidRDefault="00D06271" w:rsidP="004336CF">
      <w:pPr>
        <w:pStyle w:val="BodyText"/>
      </w:pPr>
      <w:r w:rsidRPr="00D06271">
        <w:t>The assessment has also been informed by the Environmental Protection Agency (EPA) Guidelines on the Information to be Contained in Environmental Impact Assessment Reports</w:t>
      </w:r>
      <w:r w:rsidRPr="00D06271" w:rsidDel="00D06271">
        <w:t xml:space="preserve"> </w:t>
      </w:r>
      <w:r w:rsidR="00774A9C" w:rsidRPr="004336CF">
        <w:t xml:space="preserve">(EPA, 2022), </w:t>
      </w:r>
      <w:r w:rsidR="00663D99">
        <w:t xml:space="preserve">and </w:t>
      </w:r>
      <w:r w:rsidR="00774A9C" w:rsidRPr="004336CF">
        <w:t>the Health and Safety Authority (HSA, 2023) .</w:t>
      </w:r>
      <w:r w:rsidR="00FD17AB" w:rsidRPr="004336CF">
        <w:t xml:space="preserve"> </w:t>
      </w:r>
    </w:p>
    <w:p w14:paraId="29B01F9B" w14:textId="2FFA2011" w:rsidR="00774A9C" w:rsidRPr="009A3628" w:rsidRDefault="009959D0" w:rsidP="004336CF">
      <w:pPr>
        <w:pStyle w:val="BodyText"/>
      </w:pPr>
      <w:r w:rsidRPr="004336CF">
        <w:t>As an emerging topic within environmental impact assessment (EIA), the IEMA, EPA, HSA, and CDOIF Guidelines provide useful guidance on the assessment of MA&amp;Ds via the application of a process involving hazard identification via the consideration of typical guidewords</w:t>
      </w:r>
      <w:r w:rsidR="000F30E7">
        <w:t xml:space="preserve"> and the</w:t>
      </w:r>
      <w:r w:rsidRPr="004336CF">
        <w:t xml:space="preserve"> assessment of consequences</w:t>
      </w:r>
      <w:r w:rsidR="004336CF" w:rsidRPr="004336CF">
        <w:t>.</w:t>
      </w:r>
    </w:p>
    <w:p w14:paraId="3D65CE0E" w14:textId="5E5F531D" w:rsidR="00911729" w:rsidRDefault="00911729" w:rsidP="00743568">
      <w:pPr>
        <w:pStyle w:val="Heading2"/>
      </w:pPr>
      <w:bookmarkStart w:id="56" w:name="_Toc238735931"/>
      <w:r>
        <w:t>Methodology</w:t>
      </w:r>
      <w:bookmarkEnd w:id="56"/>
    </w:p>
    <w:p w14:paraId="3FCA652D" w14:textId="0F0A41B5" w:rsidR="00CA1D94" w:rsidRPr="004336CF" w:rsidRDefault="00CA1D94" w:rsidP="004336CF">
      <w:pPr>
        <w:pStyle w:val="BodyText"/>
      </w:pPr>
      <w:r w:rsidRPr="004336CF">
        <w:t xml:space="preserve">The assessment of MA&amp;Ds applies a proportionate hazard-identification and qualitative risk-screening methodology, consistent with the </w:t>
      </w:r>
      <w:r w:rsidR="000F30E7" w:rsidRPr="004336CF">
        <w:rPr>
          <w:rStyle w:val="QuoteChar"/>
          <w:i w:val="0"/>
          <w:iCs w:val="0"/>
          <w:color w:val="auto"/>
        </w:rPr>
        <w:t xml:space="preserve">IEMA </w:t>
      </w:r>
      <w:r w:rsidRPr="004336CF">
        <w:t xml:space="preserve">Primer (2020) and EPA (2022). As the Proposed Development is not a COMAH establishment, a proportionate EIAR-level approach </w:t>
      </w:r>
      <w:r w:rsidR="000F30E7">
        <w:t>ha</w:t>
      </w:r>
      <w:r w:rsidRPr="004336CF">
        <w:t xml:space="preserve">s </w:t>
      </w:r>
      <w:r w:rsidR="000F30E7">
        <w:t>been</w:t>
      </w:r>
      <w:r w:rsidRPr="004336CF">
        <w:t xml:space="preserve"> used rather than a full COMAH-style risk assessment.</w:t>
      </w:r>
      <w:r w:rsidR="00FD17AB" w:rsidRPr="004336CF">
        <w:t xml:space="preserve"> </w:t>
      </w:r>
    </w:p>
    <w:p w14:paraId="5C2A644B" w14:textId="134DE441" w:rsidR="00CA1D94" w:rsidRPr="004336CF" w:rsidRDefault="009F6014" w:rsidP="004336CF">
      <w:pPr>
        <w:pStyle w:val="BodyText"/>
      </w:pPr>
      <w:r w:rsidRPr="004336CF">
        <w:t xml:space="preserve">The methodology </w:t>
      </w:r>
      <w:r w:rsidR="000F30E7">
        <w:t>aims</w:t>
      </w:r>
      <w:r w:rsidRPr="004336CF">
        <w:t xml:space="preserve"> to identify credible MA&amp;D scenarios relevant to the substances, activities and location of the Proposed Development. For each credible scenario, embedded design controls and operational measures are considered, and the residual risk is described qualitatively. The EIAR considers </w:t>
      </w:r>
      <w:r w:rsidRPr="004336CF">
        <w:lastRenderedPageBreak/>
        <w:t xml:space="preserve">whether risks can be reduced to a level that is low and broadly acceptable, in line with the precautionary approach outlined in the </w:t>
      </w:r>
      <w:r w:rsidR="00661C2C" w:rsidRPr="004336CF">
        <w:rPr>
          <w:rStyle w:val="QuoteChar"/>
          <w:i w:val="0"/>
          <w:iCs w:val="0"/>
          <w:color w:val="auto"/>
        </w:rPr>
        <w:t xml:space="preserve">IEMA </w:t>
      </w:r>
      <w:r w:rsidRPr="004336CF">
        <w:t>Primer.</w:t>
      </w:r>
      <w:r w:rsidR="00FD17AB" w:rsidRPr="004336CF">
        <w:t xml:space="preserve"> </w:t>
      </w:r>
    </w:p>
    <w:p w14:paraId="07B7EF4F" w14:textId="4735FE53" w:rsidR="00DC7936" w:rsidRDefault="00DC7936" w:rsidP="00DC7936">
      <w:pPr>
        <w:pStyle w:val="Heading3"/>
      </w:pPr>
      <w:bookmarkStart w:id="57" w:name="_Toc238735932"/>
      <w:r>
        <w:t>Study Area</w:t>
      </w:r>
      <w:bookmarkEnd w:id="57"/>
    </w:p>
    <w:p w14:paraId="304A9329" w14:textId="2E3A4311" w:rsidR="009A23B7" w:rsidRDefault="009A23B7" w:rsidP="009A23B7">
      <w:pPr>
        <w:pStyle w:val="BodyText"/>
      </w:pPr>
      <w:r>
        <w:t xml:space="preserve">The Study Area for assessment of MA&amp;Ds is not defined within regulatory guidance or standardised methodology. The distances identified for the different features outlined below were identified based on a combination of a review of the Study Areas set within each of the individual technical chapters of this </w:t>
      </w:r>
      <w:r w:rsidR="00165A6E">
        <w:t>EIAR</w:t>
      </w:r>
      <w:r>
        <w:t xml:space="preserve">, </w:t>
      </w:r>
      <w:r w:rsidR="00216F87">
        <w:t>professional judg</w:t>
      </w:r>
      <w:r w:rsidR="00B4515C">
        <w:t>e</w:t>
      </w:r>
      <w:r w:rsidR="00216F87">
        <w:t xml:space="preserve">ment and </w:t>
      </w:r>
      <w:r>
        <w:t xml:space="preserve"> an appraisal of the types of features considered within this MA&amp;Ds assessment.</w:t>
      </w:r>
    </w:p>
    <w:p w14:paraId="37FC54E0" w14:textId="77777777" w:rsidR="009A23B7" w:rsidRDefault="009A23B7" w:rsidP="009A23B7">
      <w:pPr>
        <w:pStyle w:val="BodyText"/>
      </w:pPr>
      <w:r>
        <w:t xml:space="preserve">The following factors and associated distances were taken into consideration for setting the Study Area, </w:t>
      </w:r>
      <w:proofErr w:type="gramStart"/>
      <w:r>
        <w:t>in order to</w:t>
      </w:r>
      <w:proofErr w:type="gramEnd"/>
      <w:r>
        <w:t xml:space="preserve"> capture the adverse consequences caused by other events, on the Proposed Development and relate to distances from the Site:</w:t>
      </w:r>
    </w:p>
    <w:p w14:paraId="6650EC11" w14:textId="77777777" w:rsidR="009A23B7" w:rsidRDefault="009A23B7" w:rsidP="009A23B7">
      <w:pPr>
        <w:pStyle w:val="BodyText"/>
      </w:pPr>
      <w:r>
        <w:t>•</w:t>
      </w:r>
      <w:r>
        <w:tab/>
        <w:t>Built Environment</w:t>
      </w:r>
    </w:p>
    <w:p w14:paraId="497D2815" w14:textId="0C2BB886" w:rsidR="009A23B7" w:rsidRDefault="009A23B7" w:rsidP="006B6E01">
      <w:pPr>
        <w:pStyle w:val="BodyText"/>
        <w:numPr>
          <w:ilvl w:val="0"/>
          <w:numId w:val="34"/>
        </w:numPr>
      </w:pPr>
      <w:r>
        <w:t>Airports and airfields within 13km</w:t>
      </w:r>
      <w:r w:rsidR="00E47F1B">
        <w:t xml:space="preserve"> (general safeguarding </w:t>
      </w:r>
      <w:r w:rsidR="00BD4D8B">
        <w:t>zone)</w:t>
      </w:r>
      <w:r w:rsidR="0056128F">
        <w:t>;</w:t>
      </w:r>
    </w:p>
    <w:p w14:paraId="61779AA6" w14:textId="1DE3C0D3" w:rsidR="009A23B7" w:rsidRDefault="009A23B7" w:rsidP="006B6E01">
      <w:pPr>
        <w:pStyle w:val="BodyText"/>
        <w:numPr>
          <w:ilvl w:val="0"/>
          <w:numId w:val="34"/>
        </w:numPr>
      </w:pPr>
      <w:r>
        <w:t>COMAH establishments within 5km</w:t>
      </w:r>
      <w:r w:rsidR="00B4515C">
        <w:t xml:space="preserve"> (</w:t>
      </w:r>
      <w:r w:rsidR="008372A2">
        <w:t xml:space="preserve">worst case </w:t>
      </w:r>
      <w:r w:rsidR="00207F5B">
        <w:t>consultation zone</w:t>
      </w:r>
      <w:r w:rsidR="008372A2">
        <w:t>)</w:t>
      </w:r>
      <w:r w:rsidR="00207F5B">
        <w:t xml:space="preserve"> </w:t>
      </w:r>
    </w:p>
    <w:p w14:paraId="4474B729" w14:textId="45693365" w:rsidR="009A23B7" w:rsidRDefault="009A23B7" w:rsidP="006B6E01">
      <w:pPr>
        <w:pStyle w:val="BodyText"/>
        <w:numPr>
          <w:ilvl w:val="0"/>
          <w:numId w:val="34"/>
        </w:numPr>
      </w:pPr>
      <w:r>
        <w:t>Major Accident Hazard (MAH) Pipelines within 1km</w:t>
      </w:r>
      <w:r w:rsidR="008372A2">
        <w:t xml:space="preserve"> (worst case consultation zone)</w:t>
      </w:r>
      <w:r w:rsidR="0056128F">
        <w:t>;</w:t>
      </w:r>
    </w:p>
    <w:p w14:paraId="4CA3661A" w14:textId="6FE5943D" w:rsidR="009A23B7" w:rsidRDefault="009A23B7" w:rsidP="006B6E01">
      <w:pPr>
        <w:pStyle w:val="BodyText"/>
        <w:numPr>
          <w:ilvl w:val="0"/>
          <w:numId w:val="34"/>
        </w:numPr>
      </w:pPr>
      <w:r>
        <w:t>Fuel bulk storage within 1km</w:t>
      </w:r>
      <w:r w:rsidR="00FD1A23">
        <w:t xml:space="preserve"> (worst case consultation zone)</w:t>
      </w:r>
      <w:r w:rsidR="0056128F">
        <w:t>;</w:t>
      </w:r>
    </w:p>
    <w:p w14:paraId="3390D4DA" w14:textId="5574CD3D" w:rsidR="009A23B7" w:rsidRDefault="009A23B7" w:rsidP="006B6E01">
      <w:pPr>
        <w:pStyle w:val="BodyText"/>
        <w:numPr>
          <w:ilvl w:val="0"/>
          <w:numId w:val="34"/>
        </w:numPr>
      </w:pPr>
      <w:r>
        <w:t>Rail within 1km</w:t>
      </w:r>
      <w:r w:rsidR="0056128F">
        <w:t>;</w:t>
      </w:r>
    </w:p>
    <w:p w14:paraId="56428E21" w14:textId="7CF27858" w:rsidR="009A23B7" w:rsidRDefault="009A23B7" w:rsidP="006B6E01">
      <w:pPr>
        <w:pStyle w:val="BodyText"/>
        <w:numPr>
          <w:ilvl w:val="0"/>
          <w:numId w:val="34"/>
        </w:numPr>
      </w:pPr>
      <w:r>
        <w:t xml:space="preserve">Utilities/transmission crossing the </w:t>
      </w:r>
      <w:r w:rsidR="00AD0D89">
        <w:t xml:space="preserve">Site </w:t>
      </w:r>
      <w:r>
        <w:t>boundaries</w:t>
      </w:r>
      <w:r w:rsidR="0056128F">
        <w:t>.</w:t>
      </w:r>
    </w:p>
    <w:p w14:paraId="52536725" w14:textId="77777777" w:rsidR="009A23B7" w:rsidRDefault="009A23B7" w:rsidP="009A23B7">
      <w:pPr>
        <w:pStyle w:val="BodyText"/>
      </w:pPr>
      <w:r>
        <w:t>•</w:t>
      </w:r>
      <w:r>
        <w:tab/>
        <w:t>Natural Features</w:t>
      </w:r>
    </w:p>
    <w:p w14:paraId="64A8EA81" w14:textId="7CFFCA57" w:rsidR="009A23B7" w:rsidRDefault="009A23B7" w:rsidP="006B6E01">
      <w:pPr>
        <w:pStyle w:val="BodyText"/>
        <w:numPr>
          <w:ilvl w:val="0"/>
          <w:numId w:val="35"/>
        </w:numPr>
      </w:pPr>
      <w:r>
        <w:t>Flooding within 1km</w:t>
      </w:r>
      <w:r w:rsidR="0056128F">
        <w:t>;</w:t>
      </w:r>
    </w:p>
    <w:p w14:paraId="3F393E90" w14:textId="7C026DE7" w:rsidR="009A23B7" w:rsidRDefault="009A23B7" w:rsidP="006B6E01">
      <w:pPr>
        <w:pStyle w:val="BodyText"/>
        <w:numPr>
          <w:ilvl w:val="0"/>
          <w:numId w:val="35"/>
        </w:numPr>
      </w:pPr>
      <w:r>
        <w:t>Ground stability within 1km</w:t>
      </w:r>
      <w:r w:rsidR="0056128F">
        <w:t>;</w:t>
      </w:r>
    </w:p>
    <w:p w14:paraId="12220324" w14:textId="043F3254" w:rsidR="009A23B7" w:rsidRDefault="009A23B7" w:rsidP="006B6E01">
      <w:pPr>
        <w:pStyle w:val="BodyText"/>
        <w:numPr>
          <w:ilvl w:val="0"/>
          <w:numId w:val="35"/>
        </w:numPr>
      </w:pPr>
      <w:r>
        <w:t>Dam failures within 3km</w:t>
      </w:r>
      <w:r w:rsidR="0056128F">
        <w:t>;</w:t>
      </w:r>
    </w:p>
    <w:p w14:paraId="50FD89E2" w14:textId="077A7A4A" w:rsidR="00EB029A" w:rsidRPr="00EB029A" w:rsidRDefault="009A23B7" w:rsidP="006B6E01">
      <w:pPr>
        <w:pStyle w:val="BodyText"/>
        <w:numPr>
          <w:ilvl w:val="0"/>
          <w:numId w:val="35"/>
        </w:numPr>
      </w:pPr>
      <w:r>
        <w:t>Seismic activity within 5km</w:t>
      </w:r>
      <w:r w:rsidR="00EB029A" w:rsidRPr="00932A89">
        <w:t>.</w:t>
      </w:r>
    </w:p>
    <w:p w14:paraId="5315EBB8" w14:textId="0E3D352E" w:rsidR="00DC7936" w:rsidRDefault="00DC7936" w:rsidP="00DC7936">
      <w:pPr>
        <w:pStyle w:val="Heading3"/>
      </w:pPr>
      <w:bookmarkStart w:id="58" w:name="_Toc238735934"/>
      <w:r>
        <w:t>Identifying Significant Environmental Effects</w:t>
      </w:r>
      <w:bookmarkEnd w:id="58"/>
    </w:p>
    <w:p w14:paraId="3763F4AF" w14:textId="6BF8E8DF" w:rsidR="008D3C02" w:rsidRPr="004A215F" w:rsidRDefault="008D3C02" w:rsidP="004A215F">
      <w:pPr>
        <w:pStyle w:val="BodyText"/>
      </w:pPr>
      <w:r w:rsidRPr="004A215F">
        <w:t xml:space="preserve">A proportionate, precautionary approach has been used in this assessment, based on the relative likelihood of the credible hazardous scenarios identified. A greater level of detail </w:t>
      </w:r>
      <w:r w:rsidR="00762F1D">
        <w:t xml:space="preserve">has </w:t>
      </w:r>
      <w:r w:rsidRPr="004A215F">
        <w:t>be</w:t>
      </w:r>
      <w:r w:rsidR="00762F1D">
        <w:t>en</w:t>
      </w:r>
      <w:r w:rsidRPr="004A215F">
        <w:t xml:space="preserve"> applied to the assessment of scenarios which are considered more likely to occur, or to scenarios with potentially more significant consequences. </w:t>
      </w:r>
    </w:p>
    <w:p w14:paraId="10AE9BEB" w14:textId="77777777" w:rsidR="008D3C02" w:rsidRDefault="008D3C02" w:rsidP="004A215F">
      <w:pPr>
        <w:pStyle w:val="BodyText"/>
      </w:pPr>
      <w:r w:rsidRPr="004A215F">
        <w:t xml:space="preserve">The approach used in this assessment is summarised as follows:  </w:t>
      </w:r>
    </w:p>
    <w:p w14:paraId="15A04A1C" w14:textId="470AB204" w:rsidR="008D3C02" w:rsidRDefault="008D3C02" w:rsidP="006B6E01">
      <w:pPr>
        <w:pStyle w:val="ListBullet"/>
        <w:numPr>
          <w:ilvl w:val="0"/>
          <w:numId w:val="36"/>
        </w:numPr>
      </w:pPr>
      <w:r>
        <w:t>Identify the hazardous substances which could be present over the lifecycle of the Proposed Development. These include flammable substances, materials harmful to the environment and materials harmful to human health</w:t>
      </w:r>
      <w:r w:rsidR="005B0841">
        <w:t>;</w:t>
      </w:r>
      <w:r>
        <w:t xml:space="preserve">  </w:t>
      </w:r>
    </w:p>
    <w:p w14:paraId="4147CF71" w14:textId="005C18CD" w:rsidR="008D3C02" w:rsidRDefault="008D3C02" w:rsidP="006B6E01">
      <w:pPr>
        <w:pStyle w:val="ListBullet"/>
        <w:numPr>
          <w:ilvl w:val="0"/>
          <w:numId w:val="36"/>
        </w:numPr>
      </w:pPr>
      <w:r>
        <w:t>Consider the quantities and storage arrangements associated with these substances and the operations carried out at the Proposed Development involving these materials</w:t>
      </w:r>
      <w:r w:rsidR="005B0841">
        <w:t>;</w:t>
      </w:r>
      <w:r>
        <w:t xml:space="preserve">  </w:t>
      </w:r>
    </w:p>
    <w:p w14:paraId="7AEDEF86" w14:textId="68301FAD" w:rsidR="008D3C02" w:rsidRDefault="008D3C02" w:rsidP="006B6E01">
      <w:pPr>
        <w:pStyle w:val="ListBullet"/>
        <w:numPr>
          <w:ilvl w:val="0"/>
          <w:numId w:val="36"/>
        </w:numPr>
      </w:pPr>
      <w:r w:rsidRPr="003569C4">
        <w:t>Identify the credible major hazard scenarios associated with these materials and operations</w:t>
      </w:r>
      <w:r w:rsidR="005B0841">
        <w:t>;</w:t>
      </w:r>
    </w:p>
    <w:p w14:paraId="150AE0D7" w14:textId="77777777" w:rsidR="008D3C02" w:rsidRDefault="008D3C02" w:rsidP="006B6E01">
      <w:pPr>
        <w:pStyle w:val="ListBullet"/>
        <w:numPr>
          <w:ilvl w:val="0"/>
          <w:numId w:val="36"/>
        </w:numPr>
      </w:pPr>
      <w:r>
        <w:t xml:space="preserve">Assess the location and vulnerability of the Proposed Development to hazards </w:t>
      </w:r>
      <w:proofErr w:type="gramStart"/>
      <w:r>
        <w:t>as a result of</w:t>
      </w:r>
      <w:proofErr w:type="gramEnd"/>
      <w:r>
        <w:t xml:space="preserve"> infrastructure, climatic conditions and geological events.  </w:t>
      </w:r>
    </w:p>
    <w:p w14:paraId="5D606701" w14:textId="193C1A53" w:rsidR="008D3C02" w:rsidRDefault="008D3C02" w:rsidP="008D3C02">
      <w:pPr>
        <w:pStyle w:val="ListBullet"/>
      </w:pPr>
      <w:r w:rsidRPr="0044176A">
        <w:t>In general, credible MA&amp;D scenarios fall into one of three categories:</w:t>
      </w:r>
      <w:r>
        <w:t xml:space="preserve"> </w:t>
      </w:r>
      <w:r w:rsidRPr="0044176A">
        <w:t xml:space="preserve"> </w:t>
      </w:r>
    </w:p>
    <w:p w14:paraId="565C7577" w14:textId="77777777" w:rsidR="008D3C02" w:rsidRDefault="008D3C02" w:rsidP="00F77F1C">
      <w:pPr>
        <w:pStyle w:val="ListBullet2"/>
        <w:numPr>
          <w:ilvl w:val="1"/>
          <w:numId w:val="37"/>
        </w:numPr>
      </w:pPr>
      <w:r>
        <w:t xml:space="preserve">Events that could not realistically occur, due to the substances present, the type of development or its geographic location;  </w:t>
      </w:r>
    </w:p>
    <w:p w14:paraId="341349D9" w14:textId="77777777" w:rsidR="008D3C02" w:rsidRDefault="008D3C02" w:rsidP="00F77F1C">
      <w:pPr>
        <w:pStyle w:val="ListBullet2"/>
        <w:numPr>
          <w:ilvl w:val="1"/>
          <w:numId w:val="37"/>
        </w:numPr>
      </w:pPr>
      <w:r w:rsidRPr="005C59F0">
        <w:t>Events that could realistically occur, but for which the Proposed Development, and associated receptors, are no more vulnerable than any other development; and</w:t>
      </w:r>
      <w:r>
        <w:t xml:space="preserve"> </w:t>
      </w:r>
      <w:r w:rsidRPr="005C59F0">
        <w:t xml:space="preserve"> </w:t>
      </w:r>
    </w:p>
    <w:p w14:paraId="6304C7B9" w14:textId="77777777" w:rsidR="008D3C02" w:rsidRDefault="008D3C02" w:rsidP="00F77F1C">
      <w:pPr>
        <w:pStyle w:val="ListBullet2"/>
        <w:numPr>
          <w:ilvl w:val="1"/>
          <w:numId w:val="37"/>
        </w:numPr>
      </w:pPr>
      <w:r w:rsidRPr="000677D6">
        <w:lastRenderedPageBreak/>
        <w:t>Events that could occur, and to which the Proposed Development is particularly vulnerable, or which the Proposed Development has a capacity to exacerbate.</w:t>
      </w:r>
      <w:r>
        <w:t xml:space="preserve"> </w:t>
      </w:r>
      <w:r w:rsidRPr="000677D6">
        <w:t xml:space="preserve"> </w:t>
      </w:r>
    </w:p>
    <w:p w14:paraId="496EDF65" w14:textId="31CAA849" w:rsidR="008D3C02" w:rsidRDefault="008D3C02" w:rsidP="00F77F1C">
      <w:pPr>
        <w:pStyle w:val="ListBullet"/>
        <w:ind w:left="0" w:firstLine="0"/>
      </w:pPr>
      <w:r>
        <w:t xml:space="preserve">Where credible major accident or disaster scenarios are identified, the potential for any change in the relevant environmental and human health receptors </w:t>
      </w:r>
      <w:r w:rsidR="00B9663E">
        <w:t xml:space="preserve">is described </w:t>
      </w:r>
      <w:r>
        <w:t xml:space="preserve">in qualitative terms.  </w:t>
      </w:r>
    </w:p>
    <w:p w14:paraId="3D7D01B4" w14:textId="0F7A5478" w:rsidR="008D3C02" w:rsidRPr="00B46A92" w:rsidRDefault="00270A16" w:rsidP="00F77F1C">
      <w:pPr>
        <w:pStyle w:val="ListBullet"/>
        <w:tabs>
          <w:tab w:val="clear" w:pos="425"/>
          <w:tab w:val="num" w:pos="0"/>
        </w:tabs>
        <w:ind w:left="0" w:firstLine="0"/>
      </w:pPr>
      <w:r>
        <w:t>M</w:t>
      </w:r>
      <w:r w:rsidR="008D3C02" w:rsidRPr="00B46A92">
        <w:t xml:space="preserve">itigation measures which </w:t>
      </w:r>
      <w:r>
        <w:t>would</w:t>
      </w:r>
      <w:r w:rsidR="008D3C02" w:rsidRPr="00B46A92">
        <w:t xml:space="preserve"> be adopted during the design, construction and operation</w:t>
      </w:r>
      <w:r w:rsidR="008D3C02">
        <w:t xml:space="preserve"> </w:t>
      </w:r>
      <w:r w:rsidR="008D3C02" w:rsidRPr="00B46A92">
        <w:t>of</w:t>
      </w:r>
      <w:r w:rsidR="008D3C02">
        <w:t xml:space="preserve"> </w:t>
      </w:r>
      <w:r w:rsidR="008D3C02" w:rsidRPr="00B46A92">
        <w:t>the</w:t>
      </w:r>
      <w:r w:rsidR="008D3C02">
        <w:t xml:space="preserve"> </w:t>
      </w:r>
      <w:r w:rsidR="008D3C02" w:rsidRPr="00B46A92">
        <w:t>Proposed</w:t>
      </w:r>
      <w:r w:rsidR="008D3C02">
        <w:t xml:space="preserve"> </w:t>
      </w:r>
      <w:r w:rsidR="008D3C02" w:rsidRPr="00B46A92">
        <w:t>Development</w:t>
      </w:r>
      <w:r w:rsidR="005A2E38">
        <w:t xml:space="preserve"> are descri</w:t>
      </w:r>
      <w:r w:rsidR="00205011">
        <w:t>b</w:t>
      </w:r>
      <w:r w:rsidR="005A2E38">
        <w:t xml:space="preserve">ed </w:t>
      </w:r>
      <w:r w:rsidR="008D3C02" w:rsidRPr="00B46A92">
        <w:t>to</w:t>
      </w:r>
      <w:r w:rsidR="008D3C02">
        <w:t xml:space="preserve"> </w:t>
      </w:r>
      <w:r w:rsidR="008D3C02" w:rsidRPr="00B46A92">
        <w:t>provide</w:t>
      </w:r>
      <w:r w:rsidR="008D3C02">
        <w:t xml:space="preserve"> </w:t>
      </w:r>
      <w:r w:rsidR="008D3C02" w:rsidRPr="00B46A92">
        <w:t>documented</w:t>
      </w:r>
      <w:r w:rsidR="008D3C02">
        <w:t xml:space="preserve"> </w:t>
      </w:r>
      <w:r w:rsidR="008D3C02" w:rsidRPr="00B46A92">
        <w:t>evidence</w:t>
      </w:r>
      <w:r w:rsidR="008D3C02">
        <w:t xml:space="preserve"> </w:t>
      </w:r>
      <w:r w:rsidR="008D3C02" w:rsidRPr="00B46A92">
        <w:t>to</w:t>
      </w:r>
      <w:r w:rsidR="008D3C02">
        <w:t xml:space="preserve"> </w:t>
      </w:r>
      <w:r w:rsidR="008D3C02" w:rsidRPr="00B46A92">
        <w:t>support</w:t>
      </w:r>
      <w:r w:rsidR="008D3C02">
        <w:t xml:space="preserve"> </w:t>
      </w:r>
      <w:r w:rsidR="008D3C02" w:rsidRPr="00B46A92">
        <w:t xml:space="preserve">and demonstrate that likely effects </w:t>
      </w:r>
      <w:r w:rsidR="00205011">
        <w:t xml:space="preserve">would </w:t>
      </w:r>
      <w:r w:rsidR="008D3C02" w:rsidRPr="00B46A92">
        <w:t>be mitigated or managed to an acceptable level. Section 1</w:t>
      </w:r>
      <w:r w:rsidR="008D3C02">
        <w:t>5</w:t>
      </w:r>
      <w:r w:rsidR="008D3C02" w:rsidRPr="00B46A92">
        <w:t>.</w:t>
      </w:r>
      <w:r w:rsidR="008D3C02">
        <w:t>6</w:t>
      </w:r>
      <w:r w:rsidR="008D3C02" w:rsidRPr="00B46A92">
        <w:t xml:space="preserve"> contains a screening process to identify the credible Risk Events for further consideration. The specific mitigation measures associated with each Risk Event are presented and the general mitigation measures to reduce risk are discussed in Section 1</w:t>
      </w:r>
      <w:r w:rsidR="008D3C02">
        <w:t>5</w:t>
      </w:r>
      <w:r w:rsidR="008D3C02" w:rsidRPr="00B46A92">
        <w:t>.6.</w:t>
      </w:r>
      <w:r w:rsidR="008D3C02">
        <w:t xml:space="preserve"> </w:t>
      </w:r>
      <w:r w:rsidR="008D3C02" w:rsidRPr="00B46A92">
        <w:t xml:space="preserve"> </w:t>
      </w:r>
    </w:p>
    <w:p w14:paraId="7FB73253" w14:textId="7CF2D92F" w:rsidR="008D3C02" w:rsidRDefault="008D3C02" w:rsidP="00321794">
      <w:pPr>
        <w:pStyle w:val="ListBullet"/>
        <w:tabs>
          <w:tab w:val="clear" w:pos="425"/>
          <w:tab w:val="num" w:pos="0"/>
        </w:tabs>
        <w:ind w:left="0" w:firstLine="0"/>
      </w:pPr>
      <w:proofErr w:type="gramStart"/>
      <w:r w:rsidRPr="00A024D2">
        <w:t>For the purpose of</w:t>
      </w:r>
      <w:proofErr w:type="gramEnd"/>
      <w:r w:rsidRPr="00A024D2">
        <w:t xml:space="preserve"> this assessment, the definition of a ‘Major Accident’ is taken from the guidelines on MA&amp;Ds within the </w:t>
      </w:r>
      <w:r w:rsidR="008475C5">
        <w:t>IEMA</w:t>
      </w:r>
      <w:r w:rsidR="008475C5" w:rsidRPr="00A024D2">
        <w:t xml:space="preserve"> </w:t>
      </w:r>
      <w:r w:rsidRPr="00A024D2">
        <w:t>Primer (</w:t>
      </w:r>
      <w:r w:rsidR="008475C5">
        <w:t>IEMA</w:t>
      </w:r>
      <w:r w:rsidRPr="00A024D2">
        <w:t>, 2020):</w:t>
      </w:r>
      <w:r>
        <w:t xml:space="preserve"> </w:t>
      </w:r>
    </w:p>
    <w:p w14:paraId="3212957C" w14:textId="77777777" w:rsidR="008D3C02" w:rsidRDefault="008D3C02" w:rsidP="008D3C02">
      <w:pPr>
        <w:pStyle w:val="Quote"/>
      </w:pPr>
      <w:r>
        <w:t xml:space="preserve">“A </w:t>
      </w:r>
      <w:r w:rsidRPr="00FD72E5">
        <w:rPr>
          <w:b/>
          <w:bCs/>
        </w:rPr>
        <w:t>major accident</w:t>
      </w:r>
      <w:r>
        <w:t xml:space="preserve"> is an event (for instance, train derailment or major road traffic accident) that threatens immediate or delayed serious environmental effects to human health, welfare and/ or the environment and requires the use of resources beyond those of the client or its appointed representatives (i.e., contractors) to manage. </w:t>
      </w:r>
    </w:p>
    <w:p w14:paraId="0DFD8F4A" w14:textId="77777777" w:rsidR="008D3C02" w:rsidRDefault="008D3C02" w:rsidP="008D3C02">
      <w:pPr>
        <w:pStyle w:val="Quote"/>
      </w:pPr>
      <w:r>
        <w:t>Major accidents can be caused by disasters resulting from both man-made and natural hazards.</w:t>
      </w:r>
    </w:p>
    <w:p w14:paraId="536ECA2C" w14:textId="77777777" w:rsidR="008D3C02" w:rsidRDefault="008D3C02" w:rsidP="008D3C02">
      <w:pPr>
        <w:pStyle w:val="Quote"/>
      </w:pPr>
      <w:r>
        <w:t xml:space="preserve">A </w:t>
      </w:r>
      <w:r w:rsidRPr="00FD72E5">
        <w:rPr>
          <w:b/>
          <w:bCs/>
        </w:rPr>
        <w:t>disaster</w:t>
      </w:r>
      <w:r>
        <w:t xml:space="preserve"> is a man-made/ external hazard (such as an act of terrorism) or a natural hazard (such as an earthquake) with the potential to cause an event or situation that meets the definition of a major accident. </w:t>
      </w:r>
    </w:p>
    <w:p w14:paraId="5C4ECDFA" w14:textId="77777777" w:rsidR="008D3C02" w:rsidRDefault="008D3C02" w:rsidP="008D3C02">
      <w:pPr>
        <w:pStyle w:val="Quote"/>
      </w:pPr>
      <w:r>
        <w:t>In general, major accidents and/ or disasters should be considered as part of an assessment where the development has the potential to cause the loss of life, permanent injury and/or temporary or permanent destruction of an environmental receptor which cannot be restored through minor clean-up and restoration”.</w:t>
      </w:r>
    </w:p>
    <w:p w14:paraId="5640E169" w14:textId="77777777" w:rsidR="008D3C02" w:rsidRPr="00FD72E5" w:rsidRDefault="008D3C02" w:rsidP="008D3C02"/>
    <w:p w14:paraId="12146113" w14:textId="343C7410" w:rsidR="008D3C02" w:rsidRDefault="008D3C02" w:rsidP="004A215F">
      <w:pPr>
        <w:pStyle w:val="BodyText"/>
      </w:pPr>
      <w:r w:rsidRPr="000D1232">
        <w:t xml:space="preserve">The Proposed Development </w:t>
      </w:r>
      <w:r w:rsidR="008475C5">
        <w:t>would</w:t>
      </w:r>
      <w:r w:rsidR="008475C5" w:rsidRPr="000D1232">
        <w:t xml:space="preserve"> </w:t>
      </w:r>
      <w:r w:rsidRPr="000D1232">
        <w:t>not be classified as a COMAH Establishment</w:t>
      </w:r>
      <w:r w:rsidR="008475C5">
        <w:t>,</w:t>
      </w:r>
      <w:r w:rsidRPr="000D1232">
        <w:t xml:space="preserve"> however, the criteria for a major accident are listed in Schedule </w:t>
      </w:r>
      <w:r w:rsidR="00ED0B8A">
        <w:t>6</w:t>
      </w:r>
      <w:r w:rsidRPr="000D1232">
        <w:t xml:space="preserve"> of the COMAH Regulations (</w:t>
      </w:r>
      <w:r w:rsidR="00F750C7">
        <w:t xml:space="preserve">S.I. No. </w:t>
      </w:r>
      <w:r w:rsidR="0023290D">
        <w:t>20</w:t>
      </w:r>
      <w:r w:rsidR="009921FC">
        <w:t>9/2015</w:t>
      </w:r>
      <w:r w:rsidRPr="000D1232">
        <w:t xml:space="preserve">) </w:t>
      </w:r>
      <w:r w:rsidR="00BA5073">
        <w:t>(</w:t>
      </w:r>
      <w:r w:rsidR="009921FC">
        <w:t>ISB</w:t>
      </w:r>
      <w:r w:rsidR="00122D95">
        <w:t xml:space="preserve">, </w:t>
      </w:r>
      <w:r w:rsidR="009921FC">
        <w:t>2015b</w:t>
      </w:r>
      <w:r w:rsidR="00122D95">
        <w:t>)</w:t>
      </w:r>
      <w:r w:rsidR="00BA5073">
        <w:t xml:space="preserve"> </w:t>
      </w:r>
      <w:r w:rsidRPr="000D1232">
        <w:t>which are as follows</w:t>
      </w:r>
      <w:r w:rsidR="00C61BEB">
        <w:t>:</w:t>
      </w:r>
    </w:p>
    <w:p w14:paraId="5AC7842D" w14:textId="77777777" w:rsidR="008D3C02" w:rsidRDefault="008D3C02" w:rsidP="008D3C02">
      <w:pPr>
        <w:pStyle w:val="ListNumber"/>
      </w:pPr>
      <w:r w:rsidRPr="007C53CF">
        <w:t>Injury to persons and damage to real estate:</w:t>
      </w:r>
    </w:p>
    <w:p w14:paraId="3326A0A5" w14:textId="0E3D514C" w:rsidR="008D3C02" w:rsidRDefault="008D3C02" w:rsidP="008D3C02">
      <w:pPr>
        <w:pStyle w:val="ListNumber2"/>
      </w:pPr>
      <w:r w:rsidRPr="0040370B">
        <w:t>A death</w:t>
      </w:r>
      <w:r w:rsidR="000D37A9">
        <w:t>;</w:t>
      </w:r>
    </w:p>
    <w:p w14:paraId="6BED9BCD" w14:textId="61648F06" w:rsidR="008D3C02" w:rsidRDefault="008D3C02" w:rsidP="008D3C02">
      <w:pPr>
        <w:pStyle w:val="ListNumber2"/>
      </w:pPr>
      <w:r w:rsidRPr="007D4A7A">
        <w:t>Six persons injured within the establishment and hospitalised for at least 24 hours (hrs)</w:t>
      </w:r>
      <w:r w:rsidR="000D37A9">
        <w:t>;</w:t>
      </w:r>
    </w:p>
    <w:p w14:paraId="157EFAB7" w14:textId="69CFBEC8" w:rsidR="008D3C02" w:rsidRDefault="008D3C02" w:rsidP="008D3C02">
      <w:pPr>
        <w:pStyle w:val="ListNumber2"/>
      </w:pPr>
      <w:r w:rsidRPr="00E93008">
        <w:t>One person outside the establishment hospitalised for at least 24 hrs</w:t>
      </w:r>
      <w:r w:rsidR="000D37A9">
        <w:t>;</w:t>
      </w:r>
    </w:p>
    <w:p w14:paraId="4365000B" w14:textId="61D6E42F" w:rsidR="008D3C02" w:rsidRDefault="008D3C02" w:rsidP="008D3C02">
      <w:pPr>
        <w:pStyle w:val="ListNumber2"/>
      </w:pPr>
      <w:r w:rsidRPr="00BD65DC">
        <w:t xml:space="preserve">A dwelling outside the establishment which is damaged and unusable </w:t>
      </w:r>
      <w:proofErr w:type="gramStart"/>
      <w:r w:rsidRPr="00BD65DC">
        <w:t>as a result of</w:t>
      </w:r>
      <w:proofErr w:type="gramEnd"/>
      <w:r w:rsidRPr="00BD65DC">
        <w:t xml:space="preserve"> the accident</w:t>
      </w:r>
      <w:r w:rsidR="000D37A9">
        <w:t>;</w:t>
      </w:r>
    </w:p>
    <w:p w14:paraId="14BF7D5E" w14:textId="0BFCBDA3" w:rsidR="008D3C02" w:rsidRDefault="008D3C02" w:rsidP="008D3C02">
      <w:pPr>
        <w:pStyle w:val="ListNumber2"/>
      </w:pPr>
      <w:r w:rsidRPr="00A563B6">
        <w:t>The evacuation or confinement of persons for more than 2 hrs where the value (persons × hours) is at least 500</w:t>
      </w:r>
      <w:r w:rsidR="000D37A9">
        <w:t>;</w:t>
      </w:r>
    </w:p>
    <w:p w14:paraId="11392AAF" w14:textId="77777777" w:rsidR="008D3C02" w:rsidRDefault="008D3C02" w:rsidP="008D3C02">
      <w:pPr>
        <w:pStyle w:val="ListNumber2"/>
      </w:pPr>
      <w:r w:rsidRPr="00B96445">
        <w:t>The interruption of drinking water, electricity, gas or telephone services for more than 2 hrs where the value (persons × hours) is at least 1,000.</w:t>
      </w:r>
    </w:p>
    <w:p w14:paraId="59274381" w14:textId="77777777" w:rsidR="008D3C02" w:rsidRDefault="008D3C02" w:rsidP="008D3C02">
      <w:pPr>
        <w:pStyle w:val="ListNumber"/>
      </w:pPr>
      <w:r w:rsidRPr="00CA478A">
        <w:t>Immediate damage to the environment:</w:t>
      </w:r>
    </w:p>
    <w:p w14:paraId="52559416" w14:textId="57E76308" w:rsidR="008D3C02" w:rsidRDefault="008D3C02" w:rsidP="008D3C02">
      <w:pPr>
        <w:pStyle w:val="ListNumber2"/>
      </w:pPr>
      <w:r w:rsidRPr="001C22D3">
        <w:t>Permanent or long-term damage to terrestrial habitats</w:t>
      </w:r>
      <w:r w:rsidR="000D37A9">
        <w:t>:</w:t>
      </w:r>
    </w:p>
    <w:p w14:paraId="381F033C" w14:textId="77777777" w:rsidR="008D3C02" w:rsidRDefault="008D3C02" w:rsidP="008D3C02">
      <w:pPr>
        <w:pStyle w:val="ListNumber3"/>
      </w:pPr>
      <w:r w:rsidRPr="00DA5091">
        <w:t>0.5 ha or more of a habitat of environmental or conservation importance protected by legislation; or</w:t>
      </w:r>
    </w:p>
    <w:p w14:paraId="18CBD636" w14:textId="77777777" w:rsidR="008D3C02" w:rsidRDefault="008D3C02" w:rsidP="008D3C02">
      <w:pPr>
        <w:pStyle w:val="ListNumber3"/>
      </w:pPr>
      <w:r w:rsidRPr="007A2A4A">
        <w:t>10 ha or more of more widespread habitat, including agricultural land.</w:t>
      </w:r>
    </w:p>
    <w:p w14:paraId="5EE59F0C" w14:textId="77777777" w:rsidR="008D3C02" w:rsidRDefault="008D3C02" w:rsidP="008D3C02">
      <w:pPr>
        <w:pStyle w:val="ListNumber2"/>
      </w:pPr>
      <w:r w:rsidRPr="00BF570B">
        <w:t>Significant or long-term damage to freshwater and marine habitats:</w:t>
      </w:r>
    </w:p>
    <w:p w14:paraId="2A136980" w14:textId="7A03D287" w:rsidR="008D3C02" w:rsidRDefault="008D3C02" w:rsidP="008D3C02">
      <w:pPr>
        <w:pStyle w:val="ListNumber3"/>
      </w:pPr>
      <w:r w:rsidRPr="00DD752B">
        <w:t>10 kilometres (km) or more of river or canal</w:t>
      </w:r>
      <w:r w:rsidR="000D37A9">
        <w:t>;</w:t>
      </w:r>
    </w:p>
    <w:p w14:paraId="45C31AAF" w14:textId="7FB08DB5" w:rsidR="008D3C02" w:rsidRDefault="008D3C02" w:rsidP="008D3C02">
      <w:pPr>
        <w:pStyle w:val="ListNumber3"/>
      </w:pPr>
      <w:r w:rsidRPr="009812C6">
        <w:t>1.0 ha or more of a lake or pond</w:t>
      </w:r>
      <w:r w:rsidR="000D37A9">
        <w:t>;</w:t>
      </w:r>
    </w:p>
    <w:p w14:paraId="68E3747A" w14:textId="77777777" w:rsidR="008D3C02" w:rsidRDefault="008D3C02" w:rsidP="008D3C02">
      <w:pPr>
        <w:pStyle w:val="ListNumber3"/>
      </w:pPr>
      <w:r w:rsidRPr="00323252">
        <w:t>2.0 ha or more of delta; or</w:t>
      </w:r>
    </w:p>
    <w:p w14:paraId="78F86267" w14:textId="77777777" w:rsidR="008D3C02" w:rsidRDefault="008D3C02" w:rsidP="008D3C02">
      <w:pPr>
        <w:pStyle w:val="ListNumber3"/>
      </w:pPr>
      <w:r>
        <w:t>2</w:t>
      </w:r>
      <w:r w:rsidRPr="00B44C99">
        <w:t>.0 ha or more of a coastline or open sea; or</w:t>
      </w:r>
    </w:p>
    <w:p w14:paraId="6BE413CF" w14:textId="77777777" w:rsidR="008D3C02" w:rsidRDefault="008D3C02" w:rsidP="008D3C02">
      <w:pPr>
        <w:pStyle w:val="ListNumber3"/>
      </w:pPr>
      <w:r w:rsidRPr="004E45D8">
        <w:lastRenderedPageBreak/>
        <w:t>Significant damage to an aquifer or underground water: 1.0 ha or more.</w:t>
      </w:r>
    </w:p>
    <w:p w14:paraId="27D8D8EC" w14:textId="77777777" w:rsidR="008D3C02" w:rsidRDefault="008D3C02" w:rsidP="008D3C02">
      <w:pPr>
        <w:pStyle w:val="ListNumber"/>
      </w:pPr>
      <w:r w:rsidRPr="00D84960">
        <w:t>Damage to property:</w:t>
      </w:r>
    </w:p>
    <w:p w14:paraId="45069ECA" w14:textId="333964F2" w:rsidR="008D3C02" w:rsidRDefault="008D3C02" w:rsidP="008D3C02">
      <w:pPr>
        <w:pStyle w:val="ListNumber2"/>
      </w:pPr>
      <w:r w:rsidRPr="003F3E07">
        <w:t>Damage to property in the establishment, to the value of at least €2 million</w:t>
      </w:r>
      <w:r w:rsidR="000D37A9">
        <w:t>;</w:t>
      </w:r>
    </w:p>
    <w:p w14:paraId="2A06890B" w14:textId="77777777" w:rsidR="008D3C02" w:rsidRDefault="008D3C02" w:rsidP="008D3C02">
      <w:pPr>
        <w:pStyle w:val="ListNumber2"/>
      </w:pPr>
      <w:r w:rsidRPr="00270DAE">
        <w:t>Damage to property outside the establishment, to the value of at least €500,000.</w:t>
      </w:r>
    </w:p>
    <w:p w14:paraId="3EFD58AE" w14:textId="08766A72" w:rsidR="00DC7936" w:rsidRDefault="00DC7936" w:rsidP="00DC7936">
      <w:pPr>
        <w:pStyle w:val="Heading3"/>
      </w:pPr>
      <w:bookmarkStart w:id="59" w:name="_Toc238735935"/>
      <w:r>
        <w:t>Determination of Sensitive Receptors</w:t>
      </w:r>
      <w:bookmarkEnd w:id="59"/>
    </w:p>
    <w:p w14:paraId="4BE438BD" w14:textId="6B19B8CC" w:rsidR="00CC4961" w:rsidRDefault="00E834A9" w:rsidP="00E834A9">
      <w:pPr>
        <w:pStyle w:val="Heading4"/>
      </w:pPr>
      <w:r>
        <w:t>Residential</w:t>
      </w:r>
    </w:p>
    <w:p w14:paraId="312790FE" w14:textId="6FB2EAB7" w:rsidR="00E834A9" w:rsidRPr="004A215F" w:rsidRDefault="00E834A9" w:rsidP="004A215F">
      <w:pPr>
        <w:pStyle w:val="BodyText"/>
      </w:pPr>
      <w:r w:rsidRPr="004A215F">
        <w:t xml:space="preserve">The nearest residential receptors </w:t>
      </w:r>
      <w:r w:rsidR="00BE0A59" w:rsidRPr="004A215F">
        <w:t>are</w:t>
      </w:r>
      <w:r w:rsidR="00DA3B00" w:rsidRPr="004A215F">
        <w:t xml:space="preserve"> on Beechwood Lawns</w:t>
      </w:r>
      <w:r w:rsidR="000A7E9F">
        <w:t>,</w:t>
      </w:r>
      <w:r w:rsidR="000A7E9F" w:rsidRPr="000A7E9F">
        <w:rPr>
          <w:rFonts w:ascii="Segoe UI" w:hAnsi="Segoe UI" w:cs="Segoe UI"/>
          <w:sz w:val="18"/>
          <w:shd w:val="clear" w:color="auto" w:fill="FFFFFF"/>
        </w:rPr>
        <w:t xml:space="preserve"> </w:t>
      </w:r>
      <w:proofErr w:type="spellStart"/>
      <w:r w:rsidR="000A7E9F" w:rsidRPr="000A7E9F">
        <w:t>Coolamber</w:t>
      </w:r>
      <w:proofErr w:type="spellEnd"/>
      <w:r w:rsidR="000A7E9F" w:rsidRPr="000A7E9F">
        <w:t xml:space="preserve"> Road, </w:t>
      </w:r>
      <w:proofErr w:type="spellStart"/>
      <w:r w:rsidR="000A7E9F" w:rsidRPr="000A7E9F">
        <w:t>Coolamber</w:t>
      </w:r>
      <w:proofErr w:type="spellEnd"/>
      <w:r w:rsidR="000A7E9F" w:rsidRPr="000A7E9F">
        <w:t xml:space="preserve"> Drive</w:t>
      </w:r>
      <w:r w:rsidR="0038448C">
        <w:t xml:space="preserve">, </w:t>
      </w:r>
      <w:proofErr w:type="spellStart"/>
      <w:r w:rsidR="0038448C" w:rsidRPr="0038448C">
        <w:t>Greenogue</w:t>
      </w:r>
      <w:proofErr w:type="spellEnd"/>
      <w:r w:rsidR="0038448C" w:rsidRPr="0038448C">
        <w:t xml:space="preserve"> Drive</w:t>
      </w:r>
      <w:r w:rsidR="005E25B0">
        <w:t xml:space="preserve"> and</w:t>
      </w:r>
      <w:r w:rsidR="009A305F">
        <w:t xml:space="preserve"> </w:t>
      </w:r>
      <w:r w:rsidR="009A305F" w:rsidRPr="009A305F">
        <w:t>Mulally’s Lane</w:t>
      </w:r>
      <w:r w:rsidR="00BE0A59" w:rsidRPr="004A215F">
        <w:t xml:space="preserve"> </w:t>
      </w:r>
      <w:r w:rsidR="0026411A" w:rsidRPr="004A215F">
        <w:t xml:space="preserve">in Rathcoole </w:t>
      </w:r>
      <w:r w:rsidR="00BE0A59" w:rsidRPr="004A215F">
        <w:t>and Millrace Park</w:t>
      </w:r>
      <w:r w:rsidR="0026411A" w:rsidRPr="004A215F">
        <w:t xml:space="preserve"> in </w:t>
      </w:r>
      <w:proofErr w:type="spellStart"/>
      <w:r w:rsidR="0026411A" w:rsidRPr="004A215F">
        <w:t>Saggart</w:t>
      </w:r>
      <w:proofErr w:type="spellEnd"/>
      <w:r w:rsidR="00D41DA6" w:rsidRPr="004A215F">
        <w:t xml:space="preserve"> which are within 100m of the Site </w:t>
      </w:r>
      <w:r w:rsidR="00805CE8">
        <w:t>b</w:t>
      </w:r>
      <w:r w:rsidR="00D41DA6" w:rsidRPr="004A215F">
        <w:t xml:space="preserve">oundary. </w:t>
      </w:r>
      <w:r w:rsidR="00C62C5A" w:rsidRPr="004A215F">
        <w:t xml:space="preserve">There are </w:t>
      </w:r>
      <w:r w:rsidR="00E06845" w:rsidRPr="004A215F">
        <w:t xml:space="preserve">numerous </w:t>
      </w:r>
      <w:r w:rsidR="00C62C5A" w:rsidRPr="004A215F">
        <w:t xml:space="preserve">residential receptors within </w:t>
      </w:r>
      <w:r w:rsidR="00E06845" w:rsidRPr="004A215F">
        <w:t xml:space="preserve">Rathcoole and </w:t>
      </w:r>
      <w:proofErr w:type="spellStart"/>
      <w:r w:rsidR="00E06845" w:rsidRPr="004A215F">
        <w:t>Saggart</w:t>
      </w:r>
      <w:proofErr w:type="spellEnd"/>
      <w:r w:rsidR="00E06845" w:rsidRPr="004A215F">
        <w:t xml:space="preserve"> within 500m of the Site </w:t>
      </w:r>
      <w:r w:rsidR="00805CE8">
        <w:t>b</w:t>
      </w:r>
      <w:r w:rsidR="00E06845" w:rsidRPr="004A215F">
        <w:t>oundary</w:t>
      </w:r>
      <w:r w:rsidR="005775B3">
        <w:t>.</w:t>
      </w:r>
    </w:p>
    <w:p w14:paraId="5DF44981" w14:textId="11C06681" w:rsidR="00E834A9" w:rsidRDefault="0089531E" w:rsidP="0089531E">
      <w:pPr>
        <w:pStyle w:val="Heading4"/>
      </w:pPr>
      <w:r>
        <w:t xml:space="preserve">Industrial </w:t>
      </w:r>
    </w:p>
    <w:p w14:paraId="4DCED347" w14:textId="3DE36D09" w:rsidR="0089531E" w:rsidRPr="004A215F" w:rsidRDefault="0089531E" w:rsidP="004A215F">
      <w:pPr>
        <w:pStyle w:val="BodyText"/>
      </w:pPr>
      <w:r w:rsidRPr="004A215F">
        <w:t xml:space="preserve">The Site </w:t>
      </w:r>
      <w:proofErr w:type="gramStart"/>
      <w:r w:rsidRPr="004A215F">
        <w:t xml:space="preserve">is located </w:t>
      </w:r>
      <w:r w:rsidR="0050352F" w:rsidRPr="004A215F">
        <w:t>in</w:t>
      </w:r>
      <w:proofErr w:type="gramEnd"/>
      <w:r w:rsidR="0050352F" w:rsidRPr="004A215F">
        <w:t xml:space="preserve"> Rathcoole Park</w:t>
      </w:r>
      <w:r w:rsidR="000D7D92" w:rsidRPr="004A215F">
        <w:t xml:space="preserve"> </w:t>
      </w:r>
      <w:r w:rsidR="00694774">
        <w:t xml:space="preserve">approximately </w:t>
      </w:r>
      <w:r w:rsidR="00F9385D" w:rsidRPr="004A215F">
        <w:t>1.5km south of</w:t>
      </w:r>
      <w:r w:rsidR="000D7D92" w:rsidRPr="004A215F">
        <w:t xml:space="preserve"> the </w:t>
      </w:r>
      <w:r w:rsidR="00F9385D" w:rsidRPr="004A215F">
        <w:t>Casem</w:t>
      </w:r>
      <w:r w:rsidR="00671097">
        <w:t>en</w:t>
      </w:r>
      <w:r w:rsidR="00F9385D" w:rsidRPr="004A215F">
        <w:t>t Aerodrome</w:t>
      </w:r>
      <w:r w:rsidR="00EF5A3B" w:rsidRPr="004A215F">
        <w:t xml:space="preserve">, which is </w:t>
      </w:r>
      <w:r w:rsidR="00DA7645" w:rsidRPr="004A215F">
        <w:t xml:space="preserve">a </w:t>
      </w:r>
      <w:r w:rsidR="00EF5A3B" w:rsidRPr="004A215F">
        <w:t xml:space="preserve">military airbase operated by the </w:t>
      </w:r>
      <w:r w:rsidR="0043624C" w:rsidRPr="004A215F">
        <w:t xml:space="preserve">Department of Defence. </w:t>
      </w:r>
      <w:r w:rsidR="003470AC">
        <w:t xml:space="preserve">There are </w:t>
      </w:r>
      <w:r w:rsidR="00694774">
        <w:t xml:space="preserve">two </w:t>
      </w:r>
      <w:r w:rsidR="003470AC">
        <w:t xml:space="preserve">COMAH sites within the study area, </w:t>
      </w:r>
      <w:r w:rsidR="005F506D">
        <w:t xml:space="preserve">namely the </w:t>
      </w:r>
      <w:r w:rsidR="003470AC" w:rsidRPr="003470AC">
        <w:t>Brenntag Chemical Distribution (Ireland) –</w:t>
      </w:r>
      <w:r w:rsidR="003470AC">
        <w:t xml:space="preserve"> a</w:t>
      </w:r>
      <w:r w:rsidR="003470AC" w:rsidRPr="003470AC">
        <w:t xml:space="preserve"> Lower Tier COMAH site and </w:t>
      </w:r>
      <w:proofErr w:type="spellStart"/>
      <w:r w:rsidR="003470AC" w:rsidRPr="003470AC">
        <w:t>Dachser</w:t>
      </w:r>
      <w:proofErr w:type="spellEnd"/>
      <w:r w:rsidR="003470AC" w:rsidRPr="003470AC">
        <w:t xml:space="preserve"> Ireland (Ltd) –</w:t>
      </w:r>
      <w:r w:rsidR="003470AC">
        <w:t xml:space="preserve"> an</w:t>
      </w:r>
      <w:r w:rsidR="003470AC" w:rsidRPr="003470AC">
        <w:t xml:space="preserve"> Upper Tier COMAH site</w:t>
      </w:r>
      <w:r w:rsidR="003470AC">
        <w:t>.</w:t>
      </w:r>
    </w:p>
    <w:p w14:paraId="2A49F597" w14:textId="1FDC7506" w:rsidR="0089531E" w:rsidRDefault="0089531E" w:rsidP="0089531E">
      <w:pPr>
        <w:pStyle w:val="Heading4"/>
      </w:pPr>
      <w:r>
        <w:t>Transport</w:t>
      </w:r>
    </w:p>
    <w:p w14:paraId="5D06BDF8" w14:textId="77997A16" w:rsidR="0089531E" w:rsidRPr="004A215F" w:rsidRDefault="00C819D8" w:rsidP="004A215F">
      <w:pPr>
        <w:pStyle w:val="BodyText"/>
      </w:pPr>
      <w:r>
        <w:t xml:space="preserve">Aside from the residential </w:t>
      </w:r>
      <w:r w:rsidR="00446986">
        <w:t>roads mentioned above, t</w:t>
      </w:r>
      <w:r w:rsidR="0089531E" w:rsidRPr="004A215F">
        <w:t xml:space="preserve">he Site located is </w:t>
      </w:r>
      <w:proofErr w:type="gramStart"/>
      <w:r w:rsidR="00816810" w:rsidRPr="004A215F">
        <w:t>close proximity</w:t>
      </w:r>
      <w:proofErr w:type="gramEnd"/>
      <w:r w:rsidR="00816810" w:rsidRPr="004A215F">
        <w:t xml:space="preserve"> to the </w:t>
      </w:r>
      <w:r w:rsidR="005801E2" w:rsidRPr="004A215F">
        <w:t>south</w:t>
      </w:r>
      <w:r w:rsidR="00816810" w:rsidRPr="004A215F">
        <w:t xml:space="preserve"> of the</w:t>
      </w:r>
      <w:r w:rsidR="005801E2" w:rsidRPr="004A215F">
        <w:t xml:space="preserve"> N7</w:t>
      </w:r>
      <w:r>
        <w:t xml:space="preserve"> and Main street</w:t>
      </w:r>
      <w:r w:rsidR="00313BC2" w:rsidRPr="004A215F">
        <w:t xml:space="preserve">. </w:t>
      </w:r>
      <w:r w:rsidR="00816810" w:rsidRPr="004A215F">
        <w:t xml:space="preserve">The Site is located south of </w:t>
      </w:r>
      <w:r w:rsidR="00823C3B" w:rsidRPr="004A215F">
        <w:t>Case</w:t>
      </w:r>
      <w:r w:rsidR="00254E43" w:rsidRPr="004A215F">
        <w:t>m</w:t>
      </w:r>
      <w:r w:rsidR="00F23C98">
        <w:t>e</w:t>
      </w:r>
      <w:r w:rsidR="00254E43" w:rsidRPr="004A215F">
        <w:t xml:space="preserve">nt Aerodrome </w:t>
      </w:r>
      <w:r w:rsidR="00816810" w:rsidRPr="004A215F">
        <w:t>(</w:t>
      </w:r>
      <w:r w:rsidR="007E020A">
        <w:t>r</w:t>
      </w:r>
      <w:r w:rsidR="00816810" w:rsidRPr="004A215F">
        <w:t xml:space="preserve">efer to </w:t>
      </w:r>
      <w:r w:rsidR="00816810" w:rsidRPr="00172582">
        <w:rPr>
          <w:b/>
          <w:bCs/>
        </w:rPr>
        <w:t xml:space="preserve">Chapter </w:t>
      </w:r>
      <w:r w:rsidR="00FB7F07">
        <w:rPr>
          <w:b/>
          <w:bCs/>
        </w:rPr>
        <w:t>14</w:t>
      </w:r>
      <w:r w:rsidR="00172582" w:rsidRPr="00172582">
        <w:rPr>
          <w:b/>
          <w:bCs/>
        </w:rPr>
        <w:t>:</w:t>
      </w:r>
      <w:r w:rsidR="00816810" w:rsidRPr="00172582">
        <w:rPr>
          <w:b/>
          <w:bCs/>
        </w:rPr>
        <w:t xml:space="preserve"> Traffic</w:t>
      </w:r>
      <w:r w:rsidR="00816810" w:rsidRPr="004A215F">
        <w:t>)</w:t>
      </w:r>
      <w:r w:rsidR="00254E43" w:rsidRPr="004A215F">
        <w:t>.</w:t>
      </w:r>
      <w:r w:rsidR="00C36983" w:rsidRPr="004A215F">
        <w:t xml:space="preserve"> </w:t>
      </w:r>
    </w:p>
    <w:p w14:paraId="5CBE4E52" w14:textId="32E257D2" w:rsidR="0089531E" w:rsidRDefault="0089531E" w:rsidP="0089531E">
      <w:pPr>
        <w:pStyle w:val="Heading4"/>
      </w:pPr>
      <w:r>
        <w:t>Ground and Groundwater</w:t>
      </w:r>
    </w:p>
    <w:p w14:paraId="6BBD38AB" w14:textId="174DDC53" w:rsidR="0089531E" w:rsidRPr="004A215F" w:rsidRDefault="0089531E" w:rsidP="004A215F">
      <w:pPr>
        <w:pStyle w:val="BodyText"/>
      </w:pPr>
      <w:r w:rsidRPr="004A215F">
        <w:t xml:space="preserve">The Proposed Development is </w:t>
      </w:r>
      <w:r w:rsidR="008804BC" w:rsidRPr="004A215F">
        <w:t>not located in a Groundwater Source Protection Area</w:t>
      </w:r>
      <w:r w:rsidR="006327DE" w:rsidRPr="004A215F">
        <w:t xml:space="preserve"> (GSI, 2026</w:t>
      </w:r>
      <w:r w:rsidR="004A61DD" w:rsidRPr="004A215F">
        <w:t>a</w:t>
      </w:r>
      <w:r w:rsidR="006327DE" w:rsidRPr="004A215F">
        <w:t>)</w:t>
      </w:r>
      <w:r w:rsidR="008804BC" w:rsidRPr="004A215F">
        <w:t xml:space="preserve">. Groundwater within the bedrock aquifer in the </w:t>
      </w:r>
      <w:r w:rsidR="00822947">
        <w:t xml:space="preserve">vicinity </w:t>
      </w:r>
      <w:r w:rsidR="008804BC" w:rsidRPr="004A215F">
        <w:t xml:space="preserve">of the Proposed Development is classified as locally important (refer to </w:t>
      </w:r>
      <w:r w:rsidR="008804BC" w:rsidRPr="004A215F">
        <w:rPr>
          <w:b/>
          <w:bCs/>
        </w:rPr>
        <w:t>Chapter 0</w:t>
      </w:r>
      <w:r w:rsidR="00F51E0D" w:rsidRPr="004A215F">
        <w:rPr>
          <w:b/>
          <w:bCs/>
        </w:rPr>
        <w:t>7</w:t>
      </w:r>
      <w:r w:rsidR="008804BC" w:rsidRPr="004A215F">
        <w:rPr>
          <w:b/>
          <w:bCs/>
        </w:rPr>
        <w:t>: Land</w:t>
      </w:r>
      <w:r w:rsidR="00F51E0D" w:rsidRPr="004A215F">
        <w:rPr>
          <w:b/>
          <w:bCs/>
        </w:rPr>
        <w:t xml:space="preserve">, </w:t>
      </w:r>
      <w:r w:rsidR="008804BC" w:rsidRPr="004A215F">
        <w:rPr>
          <w:b/>
          <w:bCs/>
        </w:rPr>
        <w:t>Soils</w:t>
      </w:r>
      <w:r w:rsidR="00F51E0D" w:rsidRPr="004A215F">
        <w:rPr>
          <w:b/>
          <w:bCs/>
        </w:rPr>
        <w:t xml:space="preserve"> and Geology</w:t>
      </w:r>
      <w:r w:rsidR="008804BC" w:rsidRPr="004A215F">
        <w:t xml:space="preserve"> for baseline</w:t>
      </w:r>
      <w:r w:rsidR="00822947">
        <w:t xml:space="preserve"> details</w:t>
      </w:r>
      <w:r w:rsidR="008804BC" w:rsidRPr="004A215F">
        <w:t>).</w:t>
      </w:r>
    </w:p>
    <w:p w14:paraId="1EB08F40" w14:textId="5A3A8027" w:rsidR="0089531E" w:rsidRDefault="0089531E" w:rsidP="0089531E">
      <w:pPr>
        <w:pStyle w:val="Heading4"/>
      </w:pPr>
      <w:r>
        <w:t>Water</w:t>
      </w:r>
    </w:p>
    <w:p w14:paraId="3155DAB5" w14:textId="4856755C" w:rsidR="0089531E" w:rsidRDefault="00121BD3" w:rsidP="0089531E">
      <w:pPr>
        <w:pStyle w:val="BodyText"/>
      </w:pPr>
      <w:r w:rsidRPr="007240BB">
        <w:t xml:space="preserve">The Site and surrounding area contain </w:t>
      </w:r>
      <w:proofErr w:type="gramStart"/>
      <w:r w:rsidRPr="007240BB">
        <w:t>a number of</w:t>
      </w:r>
      <w:proofErr w:type="gramEnd"/>
      <w:r w:rsidRPr="007240BB">
        <w:t xml:space="preserve"> surface water features associated with the Camac_020 WFD river waterbody, including the River Camac, Coolmine Stream and </w:t>
      </w:r>
      <w:proofErr w:type="spellStart"/>
      <w:r w:rsidRPr="007240BB">
        <w:t>Crockshane</w:t>
      </w:r>
      <w:proofErr w:type="spellEnd"/>
      <w:r w:rsidRPr="007240BB">
        <w:t xml:space="preserve"> (Slade) Stream. A further non-WFD watercourse</w:t>
      </w:r>
      <w:r>
        <w:t xml:space="preserve"> (potential spring)</w:t>
      </w:r>
      <w:r w:rsidRPr="007240BB">
        <w:t>, identified as a branch of the Coolmine Stream/Fitzmaurice Stream, is also present within the Site</w:t>
      </w:r>
      <w:r w:rsidRPr="004A215F" w:rsidDel="00121BD3">
        <w:t xml:space="preserve"> </w:t>
      </w:r>
      <w:r w:rsidR="005916BE" w:rsidRPr="004A215F">
        <w:t>(</w:t>
      </w:r>
      <w:r w:rsidR="004A61DD" w:rsidRPr="004A215F">
        <w:t>GSI, 2026b</w:t>
      </w:r>
      <w:r w:rsidR="005916BE" w:rsidRPr="004A215F">
        <w:t>).</w:t>
      </w:r>
      <w:r w:rsidR="00D65363" w:rsidRPr="004A215F">
        <w:t xml:space="preserve"> </w:t>
      </w:r>
      <w:r w:rsidR="00D67163" w:rsidRPr="004A215F">
        <w:t xml:space="preserve">There are </w:t>
      </w:r>
      <w:proofErr w:type="gramStart"/>
      <w:r w:rsidR="00D67163" w:rsidRPr="004A215F">
        <w:t>a number of</w:t>
      </w:r>
      <w:proofErr w:type="gramEnd"/>
      <w:r w:rsidR="00D67163" w:rsidRPr="004A215F">
        <w:t xml:space="preserve"> waterbodies </w:t>
      </w:r>
      <w:r w:rsidR="00F51E0D" w:rsidRPr="004A215F">
        <w:t xml:space="preserve">located </w:t>
      </w:r>
      <w:r w:rsidR="00D67163" w:rsidRPr="004A215F">
        <w:t>within 5km of the Site</w:t>
      </w:r>
      <w:r w:rsidR="000A51D1">
        <w:t xml:space="preserve"> - t</w:t>
      </w:r>
      <w:r w:rsidR="0086190A" w:rsidRPr="004A215F">
        <w:t>hese are discussed in</w:t>
      </w:r>
      <w:r w:rsidR="0086190A">
        <w:t xml:space="preserve"> </w:t>
      </w:r>
      <w:r w:rsidR="0086190A" w:rsidRPr="004A215F">
        <w:rPr>
          <w:b/>
          <w:bCs/>
        </w:rPr>
        <w:t>Chapter 08: Water and Hydrology</w:t>
      </w:r>
      <w:r w:rsidR="0086190A">
        <w:t xml:space="preserve">.  </w:t>
      </w:r>
    </w:p>
    <w:p w14:paraId="594BAA98" w14:textId="59C4CF9A" w:rsidR="00A65ADC" w:rsidRDefault="00A65ADC" w:rsidP="00A65ADC">
      <w:pPr>
        <w:pStyle w:val="Heading4"/>
      </w:pPr>
      <w:r>
        <w:t>Protected Environmental Sites</w:t>
      </w:r>
    </w:p>
    <w:p w14:paraId="53E28260" w14:textId="42CC45DB" w:rsidR="00A65ADC" w:rsidRDefault="00C4150B" w:rsidP="00A65ADC">
      <w:pPr>
        <w:pStyle w:val="BodyText"/>
      </w:pPr>
      <w:r w:rsidRPr="00C4150B">
        <w:t>There are no Protected Environmental Sites within the study area</w:t>
      </w:r>
      <w:r w:rsidR="009E41AD">
        <w:t>.</w:t>
      </w:r>
      <w:r w:rsidR="00F51E0D">
        <w:t xml:space="preserve"> </w:t>
      </w:r>
      <w:r w:rsidR="00A65ADC">
        <w:t xml:space="preserve"> </w:t>
      </w:r>
    </w:p>
    <w:p w14:paraId="7AFE951A" w14:textId="72233DBF" w:rsidR="00A65ADC" w:rsidRDefault="00A65ADC" w:rsidP="00A65ADC">
      <w:pPr>
        <w:pStyle w:val="Heading4"/>
      </w:pPr>
      <w:r>
        <w:t>Heritage Sites</w:t>
      </w:r>
    </w:p>
    <w:p w14:paraId="7F2F8733" w14:textId="13124415" w:rsidR="00A65ADC" w:rsidRDefault="00A65ADC" w:rsidP="00A65ADC">
      <w:pPr>
        <w:pStyle w:val="BodyText"/>
      </w:pPr>
      <w:r>
        <w:t xml:space="preserve">There are </w:t>
      </w:r>
      <w:proofErr w:type="gramStart"/>
      <w:r w:rsidR="001D5F86">
        <w:t>a number of</w:t>
      </w:r>
      <w:proofErr w:type="gramEnd"/>
      <w:r w:rsidR="001D5F86">
        <w:t xml:space="preserve"> heritage </w:t>
      </w:r>
      <w:r w:rsidR="00B3703F">
        <w:t>assets</w:t>
      </w:r>
      <w:r w:rsidR="001D5F86">
        <w:t xml:space="preserve"> within the study area, including 1</w:t>
      </w:r>
      <w:r w:rsidR="00C27497">
        <w:t>4</w:t>
      </w:r>
      <w:r w:rsidR="001D5F86">
        <w:t xml:space="preserve"> protected structure</w:t>
      </w:r>
      <w:r w:rsidR="006F1CBA">
        <w:t xml:space="preserve">s such as the Rathcoole Church of Ireland church, graveyard and enclosure. </w:t>
      </w:r>
      <w:r w:rsidR="001B2460">
        <w:t>Additionally,</w:t>
      </w:r>
      <w:r w:rsidR="00FA3FEC">
        <w:t xml:space="preserve"> there </w:t>
      </w:r>
      <w:proofErr w:type="gramStart"/>
      <w:r w:rsidR="00FA3FEC">
        <w:t>a number of</w:t>
      </w:r>
      <w:proofErr w:type="gramEnd"/>
      <w:r w:rsidR="00FA3FEC">
        <w:t xml:space="preserve"> undesignated heritage assets including 10 archaeological sites within 500m of the Study Area and 20 structures </w:t>
      </w:r>
      <w:r w:rsidR="00D01125">
        <w:t>which have National Inventory of Architectural Heritage</w:t>
      </w:r>
      <w:r w:rsidR="007A33D5" w:rsidRPr="007A33D5">
        <w:t xml:space="preserve"> </w:t>
      </w:r>
      <w:r w:rsidR="007A33D5">
        <w:t>(NIAH</w:t>
      </w:r>
      <w:r w:rsidR="00D01125">
        <w:t>) status.</w:t>
      </w:r>
      <w:r w:rsidR="000C1E5B" w:rsidRPr="000C1E5B">
        <w:t xml:space="preserve"> Cultural heritage assets within/ in proximity to the </w:t>
      </w:r>
      <w:r w:rsidR="000C1E5B" w:rsidRPr="00255D01">
        <w:t xml:space="preserve">Site are discussed in </w:t>
      </w:r>
      <w:r w:rsidR="000C1E5B" w:rsidRPr="00255D01">
        <w:rPr>
          <w:b/>
          <w:bCs/>
        </w:rPr>
        <w:t>Chapter 1</w:t>
      </w:r>
      <w:r w:rsidR="00B704CD" w:rsidRPr="00255D01">
        <w:rPr>
          <w:b/>
          <w:bCs/>
        </w:rPr>
        <w:t>3</w:t>
      </w:r>
      <w:r w:rsidR="000C1E5B" w:rsidRPr="00255D01">
        <w:rPr>
          <w:b/>
          <w:bCs/>
        </w:rPr>
        <w:t xml:space="preserve">: </w:t>
      </w:r>
      <w:r w:rsidR="00B704CD" w:rsidRPr="00255D01">
        <w:rPr>
          <w:b/>
          <w:bCs/>
        </w:rPr>
        <w:t xml:space="preserve">Archaeology and </w:t>
      </w:r>
      <w:r w:rsidR="000C1E5B" w:rsidRPr="00255D01">
        <w:rPr>
          <w:b/>
          <w:bCs/>
        </w:rPr>
        <w:t>Cultural Heritage</w:t>
      </w:r>
      <w:r w:rsidR="000C1E5B" w:rsidRPr="00255D01">
        <w:t>.</w:t>
      </w:r>
      <w:r w:rsidR="000C1E5B" w:rsidRPr="000C1E5B">
        <w:t xml:space="preserve"> </w:t>
      </w:r>
      <w:r w:rsidR="00D01125">
        <w:t xml:space="preserve"> </w:t>
      </w:r>
      <w:r w:rsidR="00724663">
        <w:t xml:space="preserve"> </w:t>
      </w:r>
    </w:p>
    <w:p w14:paraId="56904005" w14:textId="7FB4BC35" w:rsidR="00DC7936" w:rsidRDefault="00DC7936" w:rsidP="00DC7936">
      <w:pPr>
        <w:pStyle w:val="Heading3"/>
      </w:pPr>
      <w:bookmarkStart w:id="60" w:name="_Toc238735936"/>
      <w:r>
        <w:t>Describing Potential Effects</w:t>
      </w:r>
      <w:bookmarkEnd w:id="60"/>
    </w:p>
    <w:p w14:paraId="607954EF" w14:textId="484A36E6" w:rsidR="00E002C6" w:rsidRPr="00172582" w:rsidRDefault="00E002C6" w:rsidP="00172582">
      <w:pPr>
        <w:pStyle w:val="BodyText"/>
      </w:pPr>
      <w:r w:rsidRPr="00172582">
        <w:t>The EPA 2014 Guidance (</w:t>
      </w:r>
      <w:r w:rsidR="00972264" w:rsidRPr="00172582">
        <w:t>EPA, 2014)</w:t>
      </w:r>
      <w:r w:rsidRPr="00172582">
        <w:t xml:space="preserve"> provides ratings of the reasonable worst-case consequence of a MA&amp;Ds event under Section 3.3.2 (</w:t>
      </w:r>
      <w:r w:rsidR="00EE6FB0">
        <w:t>‘</w:t>
      </w:r>
      <w:r w:rsidRPr="00172582">
        <w:t>Risk Analysis</w:t>
      </w:r>
      <w:r w:rsidR="00EE6FB0">
        <w:t>’</w:t>
      </w:r>
      <w:r w:rsidRPr="00172582">
        <w:t xml:space="preserve">) which is replicated in </w:t>
      </w:r>
      <w:r w:rsidR="003F7DB1" w:rsidRPr="00172582">
        <w:fldChar w:fldCharType="begin"/>
      </w:r>
      <w:r w:rsidR="003F7DB1" w:rsidRPr="00172582">
        <w:instrText xml:space="preserve"> REF _Ref221280110 \h </w:instrText>
      </w:r>
      <w:r w:rsidR="00172582">
        <w:instrText xml:space="preserve"> \* MERGEFORMAT </w:instrText>
      </w:r>
      <w:r w:rsidR="003F7DB1" w:rsidRPr="00172582">
        <w:fldChar w:fldCharType="separate"/>
      </w:r>
      <w:r w:rsidR="00FE21B5" w:rsidRPr="00733E9A">
        <w:t xml:space="preserve">Table </w:t>
      </w:r>
      <w:r w:rsidR="00FE21B5">
        <w:t>15</w:t>
      </w:r>
      <w:r w:rsidR="00FE21B5" w:rsidRPr="00733E9A">
        <w:t>-</w:t>
      </w:r>
      <w:r w:rsidR="00FE21B5">
        <w:t>1</w:t>
      </w:r>
      <w:r w:rsidR="003F7DB1" w:rsidRPr="00172582">
        <w:fldChar w:fldCharType="end"/>
      </w:r>
      <w:r w:rsidRPr="00172582">
        <w:t xml:space="preserve"> and </w:t>
      </w:r>
      <w:r w:rsidR="003F7DB1" w:rsidRPr="00172582">
        <w:fldChar w:fldCharType="begin"/>
      </w:r>
      <w:r w:rsidR="003F7DB1" w:rsidRPr="00172582">
        <w:instrText xml:space="preserve"> REF _Ref221280124 \h </w:instrText>
      </w:r>
      <w:r w:rsidR="00172582">
        <w:instrText xml:space="preserve"> \* MERGEFORMAT </w:instrText>
      </w:r>
      <w:r w:rsidR="003F7DB1" w:rsidRPr="00172582">
        <w:fldChar w:fldCharType="separate"/>
      </w:r>
      <w:r w:rsidR="00FE21B5" w:rsidRPr="00733E9A">
        <w:t xml:space="preserve">Table </w:t>
      </w:r>
      <w:r w:rsidR="00FE21B5">
        <w:t>15</w:t>
      </w:r>
      <w:r w:rsidR="00FE21B5" w:rsidRPr="00733E9A">
        <w:t>-</w:t>
      </w:r>
      <w:r w:rsidR="00FE21B5">
        <w:t>2</w:t>
      </w:r>
      <w:r w:rsidR="003F7DB1" w:rsidRPr="00172582">
        <w:fldChar w:fldCharType="end"/>
      </w:r>
      <w:r w:rsidRPr="00172582">
        <w:t xml:space="preserve">. </w:t>
      </w:r>
      <w:r w:rsidR="0045781B" w:rsidRPr="00172582">
        <w:t xml:space="preserve">This risk classification has been used </w:t>
      </w:r>
      <w:r w:rsidR="00EE6FB0">
        <w:t xml:space="preserve">herein (refer to </w:t>
      </w:r>
      <w:r w:rsidR="00FC1170" w:rsidRPr="00172582">
        <w:fldChar w:fldCharType="begin"/>
      </w:r>
      <w:r w:rsidR="00FC1170" w:rsidRPr="00172582">
        <w:instrText xml:space="preserve"> REF _Ref217043640 \h </w:instrText>
      </w:r>
      <w:r w:rsidR="00172582">
        <w:instrText xml:space="preserve"> \* MERGEFORMAT </w:instrText>
      </w:r>
      <w:r w:rsidR="00FC1170" w:rsidRPr="00172582">
        <w:fldChar w:fldCharType="separate"/>
      </w:r>
      <w:r w:rsidR="00FE21B5" w:rsidRPr="008E7D8B">
        <w:t xml:space="preserve">Table </w:t>
      </w:r>
      <w:r w:rsidR="00FE21B5">
        <w:t>15</w:t>
      </w:r>
      <w:r w:rsidR="00FE21B5" w:rsidRPr="008E7D8B">
        <w:t>-</w:t>
      </w:r>
      <w:r w:rsidR="00FE21B5">
        <w:t>3</w:t>
      </w:r>
      <w:r w:rsidR="00FC1170" w:rsidRPr="00172582">
        <w:fldChar w:fldCharType="end"/>
      </w:r>
      <w:r w:rsidR="0045781B" w:rsidRPr="00172582">
        <w:t xml:space="preserve"> </w:t>
      </w:r>
      <w:r w:rsidR="004D053F">
        <w:t xml:space="preserve">and </w:t>
      </w:r>
      <w:r w:rsidR="004D053F">
        <w:fldChar w:fldCharType="begin"/>
      </w:r>
      <w:r w:rsidR="004D053F">
        <w:instrText xml:space="preserve"> REF _Ref223288658 \h </w:instrText>
      </w:r>
      <w:r w:rsidR="004D053F">
        <w:fldChar w:fldCharType="separate"/>
      </w:r>
      <w:r w:rsidR="004D053F" w:rsidRPr="008E7D8B">
        <w:t xml:space="preserve">Table </w:t>
      </w:r>
      <w:r w:rsidR="004D053F">
        <w:rPr>
          <w:noProof/>
        </w:rPr>
        <w:t>15</w:t>
      </w:r>
      <w:r w:rsidR="004D053F" w:rsidRPr="008E7D8B">
        <w:t>-</w:t>
      </w:r>
      <w:r w:rsidR="004D053F">
        <w:rPr>
          <w:noProof/>
        </w:rPr>
        <w:t>4</w:t>
      </w:r>
      <w:r w:rsidR="004D053F">
        <w:fldChar w:fldCharType="end"/>
      </w:r>
      <w:r w:rsidR="00EE6FB0">
        <w:t>)</w:t>
      </w:r>
      <w:r w:rsidR="004D053F">
        <w:t xml:space="preserve"> </w:t>
      </w:r>
      <w:r w:rsidR="0045781B" w:rsidRPr="00172582">
        <w:t xml:space="preserve">to screen MA&amp;D scenarios using the consequence categories </w:t>
      </w:r>
      <w:r w:rsidR="00EE6FB0">
        <w:t xml:space="preserve">as detailed in </w:t>
      </w:r>
      <w:r w:rsidR="007A5373" w:rsidRPr="00172582">
        <w:fldChar w:fldCharType="begin"/>
      </w:r>
      <w:r w:rsidR="007A5373" w:rsidRPr="00172582">
        <w:instrText xml:space="preserve"> REF _Ref221280110 \h </w:instrText>
      </w:r>
      <w:r w:rsidR="00172582">
        <w:instrText xml:space="preserve"> \* MERGEFORMAT </w:instrText>
      </w:r>
      <w:r w:rsidR="007A5373" w:rsidRPr="00172582">
        <w:fldChar w:fldCharType="separate"/>
      </w:r>
      <w:r w:rsidR="00FE21B5" w:rsidRPr="00733E9A">
        <w:t xml:space="preserve">Table </w:t>
      </w:r>
      <w:r w:rsidR="00FE21B5">
        <w:t>15</w:t>
      </w:r>
      <w:r w:rsidR="00FE21B5" w:rsidRPr="00733E9A">
        <w:t>-</w:t>
      </w:r>
      <w:r w:rsidR="00FE21B5">
        <w:t>1</w:t>
      </w:r>
      <w:r w:rsidR="007A5373" w:rsidRPr="00172582">
        <w:fldChar w:fldCharType="end"/>
      </w:r>
      <w:r w:rsidR="00A86F26">
        <w:t xml:space="preserve"> and </w:t>
      </w:r>
      <w:r w:rsidR="00A86F26" w:rsidRPr="00172582">
        <w:fldChar w:fldCharType="begin"/>
      </w:r>
      <w:r w:rsidR="00A86F26" w:rsidRPr="00172582">
        <w:instrText xml:space="preserve"> REF _Ref221280124 \h </w:instrText>
      </w:r>
      <w:r w:rsidR="00A86F26">
        <w:instrText xml:space="preserve"> \* MERGEFORMAT </w:instrText>
      </w:r>
      <w:r w:rsidR="00A86F26" w:rsidRPr="00172582">
        <w:fldChar w:fldCharType="separate"/>
      </w:r>
      <w:r w:rsidR="00A86F26" w:rsidRPr="00733E9A">
        <w:t xml:space="preserve">Table </w:t>
      </w:r>
      <w:r w:rsidR="00A86F26">
        <w:t>15</w:t>
      </w:r>
      <w:r w:rsidR="00A86F26" w:rsidRPr="00733E9A">
        <w:t>-</w:t>
      </w:r>
      <w:r w:rsidR="00A86F26">
        <w:t>2</w:t>
      </w:r>
      <w:r w:rsidR="00A86F26" w:rsidRPr="00172582">
        <w:fldChar w:fldCharType="end"/>
      </w:r>
      <w:r w:rsidR="008A4AC8" w:rsidRPr="00172582">
        <w:t>.</w:t>
      </w:r>
    </w:p>
    <w:p w14:paraId="288827E3" w14:textId="235D32A9" w:rsidR="00793B05" w:rsidRPr="00733E9A" w:rsidRDefault="00793B05" w:rsidP="00793B05">
      <w:pPr>
        <w:pStyle w:val="Caption"/>
      </w:pPr>
      <w:bookmarkStart w:id="61" w:name="_Ref221280110"/>
      <w:bookmarkStart w:id="62" w:name="_Toc238735962"/>
      <w:r w:rsidRPr="00733E9A">
        <w:t xml:space="preserve">Table </w:t>
      </w:r>
      <w:r>
        <w:fldChar w:fldCharType="begin"/>
      </w:r>
      <w:r>
        <w:instrText>STYLEREF 1 \s</w:instrText>
      </w:r>
      <w:r>
        <w:fldChar w:fldCharType="separate"/>
      </w:r>
      <w:r w:rsidR="00FE21B5">
        <w:rPr>
          <w:noProof/>
        </w:rPr>
        <w:t>15</w:t>
      </w:r>
      <w:r>
        <w:fldChar w:fldCharType="end"/>
      </w:r>
      <w:r w:rsidRPr="00733E9A">
        <w:t>-</w:t>
      </w:r>
      <w:r>
        <w:fldChar w:fldCharType="begin"/>
      </w:r>
      <w:r>
        <w:instrText>SEQ Table \* ARABIC \s 1</w:instrText>
      </w:r>
      <w:r>
        <w:fldChar w:fldCharType="separate"/>
      </w:r>
      <w:r w:rsidR="00FE21B5">
        <w:rPr>
          <w:noProof/>
        </w:rPr>
        <w:t>1</w:t>
      </w:r>
      <w:r>
        <w:fldChar w:fldCharType="end"/>
      </w:r>
      <w:bookmarkEnd w:id="61"/>
      <w:r w:rsidRPr="00733E9A">
        <w:t xml:space="preserve">: </w:t>
      </w:r>
      <w:r w:rsidR="002A5F47" w:rsidRPr="002A5F47">
        <w:t>Risk Classification Table – Consequence</w:t>
      </w:r>
      <w:bookmarkEnd w:id="62"/>
    </w:p>
    <w:tbl>
      <w:tblPr>
        <w:tblStyle w:val="AECOMtable"/>
        <w:tblW w:w="5000" w:type="pct"/>
        <w:tblLook w:val="04A0" w:firstRow="1" w:lastRow="0" w:firstColumn="1" w:lastColumn="0" w:noHBand="0" w:noVBand="1"/>
      </w:tblPr>
      <w:tblGrid>
        <w:gridCol w:w="1419"/>
        <w:gridCol w:w="2267"/>
        <w:gridCol w:w="385"/>
        <w:gridCol w:w="4073"/>
        <w:gridCol w:w="1210"/>
      </w:tblGrid>
      <w:tr w:rsidR="002A5F47" w:rsidRPr="00733E9A" w14:paraId="60A6C768" w14:textId="77777777" w:rsidTr="005442C3">
        <w:trPr>
          <w:cnfStyle w:val="100000000000" w:firstRow="1" w:lastRow="0" w:firstColumn="0" w:lastColumn="0" w:oddVBand="0" w:evenVBand="0" w:oddHBand="0" w:evenHBand="0" w:firstRowFirstColumn="0" w:firstRowLastColumn="0" w:lastRowFirstColumn="0" w:lastRowLastColumn="0"/>
          <w:tblHeader/>
        </w:trPr>
        <w:tc>
          <w:tcPr>
            <w:tcW w:w="758" w:type="pct"/>
          </w:tcPr>
          <w:p w14:paraId="0A6F07A9" w14:textId="697FE82C" w:rsidR="002A5F47" w:rsidRPr="00733E9A" w:rsidRDefault="002A5F47">
            <w:pPr>
              <w:pStyle w:val="Tabletext"/>
            </w:pPr>
            <w:r>
              <w:t>Rating</w:t>
            </w:r>
          </w:p>
        </w:tc>
        <w:tc>
          <w:tcPr>
            <w:tcW w:w="1212" w:type="pct"/>
          </w:tcPr>
          <w:p w14:paraId="608589DA" w14:textId="2673E35F" w:rsidR="002A5F47" w:rsidRPr="00733E9A" w:rsidRDefault="002A5F47">
            <w:pPr>
              <w:pStyle w:val="Tabletext"/>
            </w:pPr>
            <w:r>
              <w:t>Consequence Category</w:t>
            </w:r>
          </w:p>
        </w:tc>
        <w:tc>
          <w:tcPr>
            <w:tcW w:w="3030" w:type="pct"/>
            <w:gridSpan w:val="3"/>
          </w:tcPr>
          <w:p w14:paraId="7E065785" w14:textId="5DCEDE1A" w:rsidR="002A5F47" w:rsidRPr="00733E9A" w:rsidRDefault="002A5F47">
            <w:pPr>
              <w:pStyle w:val="Tabletext"/>
            </w:pPr>
            <w:r>
              <w:t>Consequence Description</w:t>
            </w:r>
          </w:p>
        </w:tc>
      </w:tr>
      <w:tr w:rsidR="002A5F47" w:rsidRPr="00733E9A" w14:paraId="5CE58D01" w14:textId="77777777" w:rsidTr="005442C3">
        <w:trPr>
          <w:trHeight w:val="225"/>
        </w:trPr>
        <w:tc>
          <w:tcPr>
            <w:tcW w:w="758" w:type="pct"/>
          </w:tcPr>
          <w:p w14:paraId="793CDA03" w14:textId="63A6AEED" w:rsidR="002A5F47" w:rsidRPr="00733E9A" w:rsidRDefault="002A5F47">
            <w:pPr>
              <w:pStyle w:val="Tabletext"/>
            </w:pPr>
            <w:r>
              <w:t>1</w:t>
            </w:r>
          </w:p>
        </w:tc>
        <w:tc>
          <w:tcPr>
            <w:tcW w:w="1212" w:type="pct"/>
          </w:tcPr>
          <w:p w14:paraId="2E84A13F" w14:textId="5D898703" w:rsidR="002A5F47" w:rsidRPr="00733E9A" w:rsidRDefault="002A5F47">
            <w:pPr>
              <w:pStyle w:val="Tabletext"/>
            </w:pPr>
            <w:r>
              <w:t>Trivial</w:t>
            </w:r>
          </w:p>
        </w:tc>
        <w:tc>
          <w:tcPr>
            <w:tcW w:w="3030" w:type="pct"/>
            <w:gridSpan w:val="3"/>
          </w:tcPr>
          <w:p w14:paraId="312AC6FA" w14:textId="0ADB0E8D" w:rsidR="002A5F47" w:rsidRPr="00733E9A" w:rsidRDefault="00F131A5">
            <w:pPr>
              <w:pStyle w:val="Tabletext"/>
            </w:pPr>
            <w:r w:rsidRPr="00F131A5">
              <w:t>No impact or negligible change to the environment</w:t>
            </w:r>
          </w:p>
        </w:tc>
      </w:tr>
      <w:tr w:rsidR="002A5F47" w:rsidRPr="00733E9A" w14:paraId="78CD80BB" w14:textId="77777777" w:rsidTr="005442C3">
        <w:trPr>
          <w:trHeight w:val="225"/>
        </w:trPr>
        <w:tc>
          <w:tcPr>
            <w:tcW w:w="758" w:type="pct"/>
          </w:tcPr>
          <w:p w14:paraId="56C71084" w14:textId="3B0E2A8C" w:rsidR="002A5F47" w:rsidRPr="00733E9A" w:rsidRDefault="002A5F47">
            <w:pPr>
              <w:pStyle w:val="Tabletext"/>
            </w:pPr>
            <w:r>
              <w:t>2</w:t>
            </w:r>
          </w:p>
        </w:tc>
        <w:tc>
          <w:tcPr>
            <w:tcW w:w="1212" w:type="pct"/>
          </w:tcPr>
          <w:p w14:paraId="2DD17C6F" w14:textId="3273E8C5" w:rsidR="002A5F47" w:rsidRPr="00733E9A" w:rsidRDefault="002A5F47">
            <w:pPr>
              <w:pStyle w:val="Tabletext"/>
            </w:pPr>
            <w:r>
              <w:t>Minor</w:t>
            </w:r>
          </w:p>
        </w:tc>
        <w:tc>
          <w:tcPr>
            <w:tcW w:w="3030" w:type="pct"/>
            <w:gridSpan w:val="3"/>
          </w:tcPr>
          <w:p w14:paraId="589F780D" w14:textId="6228E893" w:rsidR="002A5F47" w:rsidRPr="00733E9A" w:rsidRDefault="004169EE">
            <w:pPr>
              <w:pStyle w:val="Tabletext"/>
            </w:pPr>
            <w:r w:rsidRPr="004169EE">
              <w:t>Minor impact/ localised or nuisance</w:t>
            </w:r>
          </w:p>
        </w:tc>
      </w:tr>
      <w:tr w:rsidR="002A5F47" w:rsidRPr="00733E9A" w14:paraId="7E4C7674" w14:textId="77777777" w:rsidTr="005442C3">
        <w:trPr>
          <w:trHeight w:val="225"/>
        </w:trPr>
        <w:tc>
          <w:tcPr>
            <w:tcW w:w="758" w:type="pct"/>
          </w:tcPr>
          <w:p w14:paraId="6DC4F2D6" w14:textId="68604591" w:rsidR="002A5F47" w:rsidRPr="00733E9A" w:rsidRDefault="002A5F47">
            <w:pPr>
              <w:pStyle w:val="Tabletext"/>
            </w:pPr>
            <w:r>
              <w:t>3</w:t>
            </w:r>
          </w:p>
        </w:tc>
        <w:tc>
          <w:tcPr>
            <w:tcW w:w="1212" w:type="pct"/>
          </w:tcPr>
          <w:p w14:paraId="37A4F354" w14:textId="3133A724" w:rsidR="002A5F47" w:rsidRPr="00733E9A" w:rsidRDefault="002A5F47">
            <w:pPr>
              <w:pStyle w:val="Tabletext"/>
            </w:pPr>
            <w:r>
              <w:t>Moderate</w:t>
            </w:r>
          </w:p>
        </w:tc>
        <w:tc>
          <w:tcPr>
            <w:tcW w:w="3030" w:type="pct"/>
            <w:gridSpan w:val="3"/>
          </w:tcPr>
          <w:p w14:paraId="4E17B375" w14:textId="5B6FDB7B" w:rsidR="002A5F47" w:rsidRPr="00733E9A" w:rsidRDefault="0043056E">
            <w:pPr>
              <w:pStyle w:val="Tabletext"/>
            </w:pPr>
            <w:r w:rsidRPr="0043056E">
              <w:t>Moderate impact to environment</w:t>
            </w:r>
          </w:p>
        </w:tc>
      </w:tr>
      <w:tr w:rsidR="002A5F47" w:rsidRPr="00733E9A" w14:paraId="4E1D2C7C" w14:textId="77777777" w:rsidTr="005442C3">
        <w:trPr>
          <w:trHeight w:val="225"/>
        </w:trPr>
        <w:tc>
          <w:tcPr>
            <w:tcW w:w="758" w:type="pct"/>
          </w:tcPr>
          <w:p w14:paraId="24DC6C76" w14:textId="6D2315A6" w:rsidR="002A5F47" w:rsidRPr="00733E9A" w:rsidRDefault="002A5F47">
            <w:pPr>
              <w:pStyle w:val="Tabletext"/>
            </w:pPr>
            <w:r>
              <w:lastRenderedPageBreak/>
              <w:t>4</w:t>
            </w:r>
          </w:p>
        </w:tc>
        <w:tc>
          <w:tcPr>
            <w:tcW w:w="1212" w:type="pct"/>
          </w:tcPr>
          <w:p w14:paraId="3739B88F" w14:textId="57ABA11D" w:rsidR="002A5F47" w:rsidRPr="00733E9A" w:rsidRDefault="002A5F47">
            <w:pPr>
              <w:pStyle w:val="Tabletext"/>
            </w:pPr>
            <w:r>
              <w:t>Major</w:t>
            </w:r>
          </w:p>
        </w:tc>
        <w:tc>
          <w:tcPr>
            <w:tcW w:w="3030" w:type="pct"/>
            <w:gridSpan w:val="3"/>
          </w:tcPr>
          <w:p w14:paraId="3C6A1E67" w14:textId="44CFC119" w:rsidR="002A5F47" w:rsidRPr="00733E9A" w:rsidRDefault="005F3968">
            <w:pPr>
              <w:pStyle w:val="Tabletext"/>
            </w:pPr>
            <w:r w:rsidRPr="005F3968">
              <w:t>Severe impact to environment</w:t>
            </w:r>
          </w:p>
        </w:tc>
      </w:tr>
      <w:tr w:rsidR="002A5F47" w:rsidRPr="00733E9A" w14:paraId="7260CAB6" w14:textId="77777777" w:rsidTr="005442C3">
        <w:trPr>
          <w:trHeight w:val="225"/>
        </w:trPr>
        <w:tc>
          <w:tcPr>
            <w:tcW w:w="758" w:type="pct"/>
          </w:tcPr>
          <w:p w14:paraId="62A86058" w14:textId="47DF8FF2" w:rsidR="002A5F47" w:rsidRPr="00733E9A" w:rsidRDefault="002A5F47">
            <w:pPr>
              <w:pStyle w:val="Tabletext"/>
            </w:pPr>
            <w:r>
              <w:t>5</w:t>
            </w:r>
          </w:p>
        </w:tc>
        <w:tc>
          <w:tcPr>
            <w:tcW w:w="1212" w:type="pct"/>
          </w:tcPr>
          <w:p w14:paraId="7084F3EC" w14:textId="276580C7" w:rsidR="002A5F47" w:rsidRPr="00733E9A" w:rsidRDefault="002A5F47">
            <w:pPr>
              <w:pStyle w:val="Tabletext"/>
            </w:pPr>
            <w:r>
              <w:t>Massive</w:t>
            </w:r>
          </w:p>
        </w:tc>
        <w:tc>
          <w:tcPr>
            <w:tcW w:w="3030" w:type="pct"/>
            <w:gridSpan w:val="3"/>
          </w:tcPr>
          <w:p w14:paraId="378E8A6A" w14:textId="39677901" w:rsidR="002A5F47" w:rsidRPr="00733E9A" w:rsidRDefault="006E5E82">
            <w:pPr>
              <w:pStyle w:val="Tabletext"/>
            </w:pPr>
            <w:r w:rsidRPr="006E5E82">
              <w:t>Massive impact to a large area, irreversible in medium term</w:t>
            </w:r>
          </w:p>
        </w:tc>
      </w:tr>
      <w:tr w:rsidR="002A5F47" w:rsidRPr="00733E9A" w14:paraId="7986B48A" w14:textId="77777777" w:rsidTr="002A5F47">
        <w:trPr>
          <w:gridAfter w:val="1"/>
          <w:wAfter w:w="647" w:type="pct"/>
          <w:trHeight w:val="224"/>
        </w:trPr>
        <w:tc>
          <w:tcPr>
            <w:tcW w:w="2176" w:type="pct"/>
            <w:gridSpan w:val="3"/>
            <w:tcBorders>
              <w:top w:val="single" w:sz="4" w:space="0" w:color="auto"/>
              <w:bottom w:val="nil"/>
            </w:tcBorders>
          </w:tcPr>
          <w:p w14:paraId="63D960CD" w14:textId="77777777" w:rsidR="002A5F47" w:rsidRPr="00733E9A" w:rsidRDefault="002A5F47">
            <w:pPr>
              <w:pStyle w:val="Tabletext"/>
              <w:rPr>
                <w:i/>
                <w:iCs/>
              </w:rPr>
            </w:pPr>
            <w:r w:rsidRPr="00733E9A">
              <w:rPr>
                <w:i/>
                <w:iCs/>
              </w:rPr>
              <w:t xml:space="preserve">Source: </w:t>
            </w:r>
            <w:r>
              <w:rPr>
                <w:i/>
                <w:iCs/>
              </w:rPr>
              <w:t>EPA, 2014</w:t>
            </w:r>
          </w:p>
        </w:tc>
        <w:tc>
          <w:tcPr>
            <w:tcW w:w="2177" w:type="pct"/>
            <w:tcBorders>
              <w:top w:val="single" w:sz="4" w:space="0" w:color="auto"/>
              <w:bottom w:val="nil"/>
            </w:tcBorders>
          </w:tcPr>
          <w:p w14:paraId="63B0281F" w14:textId="41F80B61" w:rsidR="002A5F47" w:rsidRPr="00733E9A" w:rsidRDefault="002A5F47">
            <w:pPr>
              <w:pStyle w:val="Tabletext"/>
            </w:pPr>
          </w:p>
        </w:tc>
      </w:tr>
    </w:tbl>
    <w:p w14:paraId="10E895B9" w14:textId="77777777" w:rsidR="008A4AC8" w:rsidRDefault="008A4AC8" w:rsidP="00E002C6">
      <w:pPr>
        <w:pStyle w:val="BodyText"/>
      </w:pPr>
    </w:p>
    <w:p w14:paraId="32BC0D88" w14:textId="19DD0F4B" w:rsidR="006E5E82" w:rsidRPr="00733E9A" w:rsidRDefault="006E5E82" w:rsidP="006E5E82">
      <w:pPr>
        <w:pStyle w:val="Caption"/>
      </w:pPr>
      <w:bookmarkStart w:id="63" w:name="_Ref221280124"/>
      <w:bookmarkStart w:id="64" w:name="_Toc238735963"/>
      <w:r w:rsidRPr="00733E9A">
        <w:t xml:space="preserve">Table </w:t>
      </w:r>
      <w:r>
        <w:fldChar w:fldCharType="begin"/>
      </w:r>
      <w:r>
        <w:instrText>STYLEREF 1 \s</w:instrText>
      </w:r>
      <w:r>
        <w:fldChar w:fldCharType="separate"/>
      </w:r>
      <w:r w:rsidR="00FE21B5">
        <w:rPr>
          <w:noProof/>
        </w:rPr>
        <w:t>15</w:t>
      </w:r>
      <w:r>
        <w:fldChar w:fldCharType="end"/>
      </w:r>
      <w:r w:rsidRPr="00733E9A">
        <w:t>-</w:t>
      </w:r>
      <w:r>
        <w:fldChar w:fldCharType="begin"/>
      </w:r>
      <w:r>
        <w:instrText>SEQ Table \* ARABIC \s 1</w:instrText>
      </w:r>
      <w:r>
        <w:fldChar w:fldCharType="separate"/>
      </w:r>
      <w:r w:rsidR="00FE21B5">
        <w:rPr>
          <w:noProof/>
        </w:rPr>
        <w:t>2</w:t>
      </w:r>
      <w:r>
        <w:fldChar w:fldCharType="end"/>
      </w:r>
      <w:bookmarkEnd w:id="63"/>
      <w:r w:rsidRPr="00733E9A">
        <w:t xml:space="preserve">: </w:t>
      </w:r>
      <w:r w:rsidRPr="002A5F47">
        <w:t xml:space="preserve">Risk Classification Table – </w:t>
      </w:r>
      <w:r>
        <w:t>Likelihood</w:t>
      </w:r>
      <w:bookmarkEnd w:id="64"/>
    </w:p>
    <w:tbl>
      <w:tblPr>
        <w:tblStyle w:val="AECOMtable"/>
        <w:tblW w:w="5000" w:type="pct"/>
        <w:tblLook w:val="04A0" w:firstRow="1" w:lastRow="0" w:firstColumn="1" w:lastColumn="0" w:noHBand="0" w:noVBand="1"/>
      </w:tblPr>
      <w:tblGrid>
        <w:gridCol w:w="1276"/>
        <w:gridCol w:w="2410"/>
        <w:gridCol w:w="385"/>
        <w:gridCol w:w="4073"/>
        <w:gridCol w:w="1210"/>
      </w:tblGrid>
      <w:tr w:rsidR="006E5E82" w:rsidRPr="00733E9A" w14:paraId="59AA08CB" w14:textId="77777777" w:rsidTr="005442C3">
        <w:trPr>
          <w:cnfStyle w:val="100000000000" w:firstRow="1" w:lastRow="0" w:firstColumn="0" w:lastColumn="0" w:oddVBand="0" w:evenVBand="0" w:oddHBand="0" w:evenHBand="0" w:firstRowFirstColumn="0" w:firstRowLastColumn="0" w:lastRowFirstColumn="0" w:lastRowLastColumn="0"/>
          <w:tblHeader/>
        </w:trPr>
        <w:tc>
          <w:tcPr>
            <w:tcW w:w="682" w:type="pct"/>
          </w:tcPr>
          <w:p w14:paraId="735FFA3D" w14:textId="77777777" w:rsidR="006E5E82" w:rsidRPr="00733E9A" w:rsidRDefault="006E5E82">
            <w:pPr>
              <w:pStyle w:val="Tabletext"/>
            </w:pPr>
            <w:r>
              <w:t>Rating</w:t>
            </w:r>
          </w:p>
        </w:tc>
        <w:tc>
          <w:tcPr>
            <w:tcW w:w="1288" w:type="pct"/>
          </w:tcPr>
          <w:p w14:paraId="440FDC36" w14:textId="77777777" w:rsidR="006E5E82" w:rsidRPr="00733E9A" w:rsidRDefault="006E5E82">
            <w:pPr>
              <w:pStyle w:val="Tabletext"/>
            </w:pPr>
            <w:r>
              <w:t>Consequence Category</w:t>
            </w:r>
          </w:p>
        </w:tc>
        <w:tc>
          <w:tcPr>
            <w:tcW w:w="3030" w:type="pct"/>
            <w:gridSpan w:val="3"/>
          </w:tcPr>
          <w:p w14:paraId="2F7FECBE" w14:textId="77777777" w:rsidR="006E5E82" w:rsidRPr="00733E9A" w:rsidRDefault="006E5E82">
            <w:pPr>
              <w:pStyle w:val="Tabletext"/>
            </w:pPr>
            <w:r>
              <w:t>Consequence Description</w:t>
            </w:r>
          </w:p>
        </w:tc>
      </w:tr>
      <w:tr w:rsidR="006E5E82" w:rsidRPr="00733E9A" w14:paraId="2961373D" w14:textId="77777777" w:rsidTr="005442C3">
        <w:trPr>
          <w:trHeight w:val="225"/>
        </w:trPr>
        <w:tc>
          <w:tcPr>
            <w:tcW w:w="682" w:type="pct"/>
          </w:tcPr>
          <w:p w14:paraId="6B20306E" w14:textId="77777777" w:rsidR="006E5E82" w:rsidRPr="00733E9A" w:rsidRDefault="006E5E82">
            <w:pPr>
              <w:pStyle w:val="Tabletext"/>
            </w:pPr>
            <w:r>
              <w:t>1</w:t>
            </w:r>
          </w:p>
        </w:tc>
        <w:tc>
          <w:tcPr>
            <w:tcW w:w="1288" w:type="pct"/>
          </w:tcPr>
          <w:p w14:paraId="4CEEE040" w14:textId="62BCA435" w:rsidR="006E5E82" w:rsidRPr="00733E9A" w:rsidRDefault="006E5E82">
            <w:pPr>
              <w:pStyle w:val="Tabletext"/>
            </w:pPr>
            <w:r>
              <w:t>Very low</w:t>
            </w:r>
          </w:p>
        </w:tc>
        <w:tc>
          <w:tcPr>
            <w:tcW w:w="3030" w:type="pct"/>
            <w:gridSpan w:val="3"/>
          </w:tcPr>
          <w:p w14:paraId="031DCD7F" w14:textId="23D65ECD" w:rsidR="006E5E82" w:rsidRPr="00733E9A" w:rsidRDefault="00754706">
            <w:pPr>
              <w:pStyle w:val="Tabletext"/>
            </w:pPr>
            <w:r w:rsidRPr="00754706">
              <w:t>Very low chance of hazard occurring</w:t>
            </w:r>
          </w:p>
        </w:tc>
      </w:tr>
      <w:tr w:rsidR="006E5E82" w:rsidRPr="00733E9A" w14:paraId="4569DC5F" w14:textId="77777777" w:rsidTr="005442C3">
        <w:trPr>
          <w:trHeight w:val="225"/>
        </w:trPr>
        <w:tc>
          <w:tcPr>
            <w:tcW w:w="682" w:type="pct"/>
          </w:tcPr>
          <w:p w14:paraId="1190D830" w14:textId="77777777" w:rsidR="006E5E82" w:rsidRPr="00733E9A" w:rsidRDefault="006E5E82">
            <w:pPr>
              <w:pStyle w:val="Tabletext"/>
            </w:pPr>
            <w:r>
              <w:t>2</w:t>
            </w:r>
          </w:p>
        </w:tc>
        <w:tc>
          <w:tcPr>
            <w:tcW w:w="1288" w:type="pct"/>
          </w:tcPr>
          <w:p w14:paraId="7CC25651" w14:textId="76031FD2" w:rsidR="006E5E82" w:rsidRPr="00733E9A" w:rsidRDefault="006E5E82">
            <w:pPr>
              <w:pStyle w:val="Tabletext"/>
            </w:pPr>
            <w:r>
              <w:t>Low</w:t>
            </w:r>
          </w:p>
        </w:tc>
        <w:tc>
          <w:tcPr>
            <w:tcW w:w="3030" w:type="pct"/>
            <w:gridSpan w:val="3"/>
          </w:tcPr>
          <w:p w14:paraId="46765A0F" w14:textId="195C7B49" w:rsidR="006E5E82" w:rsidRPr="00733E9A" w:rsidRDefault="00A4256A">
            <w:pPr>
              <w:pStyle w:val="Tabletext"/>
            </w:pPr>
            <w:r w:rsidRPr="00A4256A">
              <w:t>Low chance of hazard occurring</w:t>
            </w:r>
          </w:p>
        </w:tc>
      </w:tr>
      <w:tr w:rsidR="006E5E82" w:rsidRPr="00733E9A" w14:paraId="41FDDC3E" w14:textId="77777777" w:rsidTr="005442C3">
        <w:trPr>
          <w:trHeight w:val="225"/>
        </w:trPr>
        <w:tc>
          <w:tcPr>
            <w:tcW w:w="682" w:type="pct"/>
          </w:tcPr>
          <w:p w14:paraId="09380A12" w14:textId="77777777" w:rsidR="006E5E82" w:rsidRPr="00733E9A" w:rsidRDefault="006E5E82">
            <w:pPr>
              <w:pStyle w:val="Tabletext"/>
            </w:pPr>
            <w:r>
              <w:t>3</w:t>
            </w:r>
          </w:p>
        </w:tc>
        <w:tc>
          <w:tcPr>
            <w:tcW w:w="1288" w:type="pct"/>
          </w:tcPr>
          <w:p w14:paraId="45E71B0C" w14:textId="7421BEFA" w:rsidR="006E5E82" w:rsidRPr="00733E9A" w:rsidRDefault="006E5E82">
            <w:pPr>
              <w:pStyle w:val="Tabletext"/>
            </w:pPr>
            <w:r>
              <w:t>Medium</w:t>
            </w:r>
          </w:p>
        </w:tc>
        <w:tc>
          <w:tcPr>
            <w:tcW w:w="3030" w:type="pct"/>
            <w:gridSpan w:val="3"/>
          </w:tcPr>
          <w:p w14:paraId="4E057247" w14:textId="7D617B02" w:rsidR="006E5E82" w:rsidRPr="00733E9A" w:rsidRDefault="0031027B">
            <w:pPr>
              <w:pStyle w:val="Tabletext"/>
            </w:pPr>
            <w:r w:rsidRPr="0031027B">
              <w:t>Medium chance of hazard occurring</w:t>
            </w:r>
          </w:p>
        </w:tc>
      </w:tr>
      <w:tr w:rsidR="006E5E82" w:rsidRPr="00733E9A" w14:paraId="2E90B7DF" w14:textId="77777777" w:rsidTr="005442C3">
        <w:trPr>
          <w:trHeight w:val="225"/>
        </w:trPr>
        <w:tc>
          <w:tcPr>
            <w:tcW w:w="682" w:type="pct"/>
          </w:tcPr>
          <w:p w14:paraId="42F7172E" w14:textId="77777777" w:rsidR="006E5E82" w:rsidRPr="00733E9A" w:rsidRDefault="006E5E82">
            <w:pPr>
              <w:pStyle w:val="Tabletext"/>
            </w:pPr>
            <w:r>
              <w:t>4</w:t>
            </w:r>
          </w:p>
        </w:tc>
        <w:tc>
          <w:tcPr>
            <w:tcW w:w="1288" w:type="pct"/>
          </w:tcPr>
          <w:p w14:paraId="1C4125B1" w14:textId="41F908C3" w:rsidR="006E5E82" w:rsidRPr="00733E9A" w:rsidRDefault="006E5E82">
            <w:pPr>
              <w:pStyle w:val="Tabletext"/>
            </w:pPr>
            <w:r>
              <w:t>High</w:t>
            </w:r>
          </w:p>
        </w:tc>
        <w:tc>
          <w:tcPr>
            <w:tcW w:w="3030" w:type="pct"/>
            <w:gridSpan w:val="3"/>
          </w:tcPr>
          <w:p w14:paraId="0A4FB2F3" w14:textId="68F08E9D" w:rsidR="006E5E82" w:rsidRPr="00733E9A" w:rsidRDefault="00381A59">
            <w:pPr>
              <w:pStyle w:val="Tabletext"/>
            </w:pPr>
            <w:r w:rsidRPr="00381A59">
              <w:t>High chance of hazard occurring</w:t>
            </w:r>
          </w:p>
        </w:tc>
      </w:tr>
      <w:tr w:rsidR="006E5E82" w:rsidRPr="00733E9A" w14:paraId="5853BB80" w14:textId="77777777" w:rsidTr="005442C3">
        <w:trPr>
          <w:trHeight w:val="225"/>
        </w:trPr>
        <w:tc>
          <w:tcPr>
            <w:tcW w:w="682" w:type="pct"/>
          </w:tcPr>
          <w:p w14:paraId="00EAA435" w14:textId="77777777" w:rsidR="006E5E82" w:rsidRPr="00733E9A" w:rsidRDefault="006E5E82">
            <w:pPr>
              <w:pStyle w:val="Tabletext"/>
            </w:pPr>
            <w:r>
              <w:t>5</w:t>
            </w:r>
          </w:p>
        </w:tc>
        <w:tc>
          <w:tcPr>
            <w:tcW w:w="1288" w:type="pct"/>
          </w:tcPr>
          <w:p w14:paraId="44AA2F97" w14:textId="59D2F33C" w:rsidR="006E5E82" w:rsidRPr="00733E9A" w:rsidRDefault="006E5E82">
            <w:pPr>
              <w:pStyle w:val="Tabletext"/>
            </w:pPr>
            <w:r>
              <w:t>Very High</w:t>
            </w:r>
          </w:p>
        </w:tc>
        <w:tc>
          <w:tcPr>
            <w:tcW w:w="3030" w:type="pct"/>
            <w:gridSpan w:val="3"/>
          </w:tcPr>
          <w:p w14:paraId="4FF07F62" w14:textId="08E5730D" w:rsidR="006E5E82" w:rsidRPr="00733E9A" w:rsidRDefault="003F7DB1">
            <w:pPr>
              <w:pStyle w:val="Tabletext"/>
            </w:pPr>
            <w:r w:rsidRPr="003F7DB1">
              <w:t>Very high chance of hazard occurring</w:t>
            </w:r>
          </w:p>
        </w:tc>
      </w:tr>
      <w:tr w:rsidR="006E5E82" w:rsidRPr="00733E9A" w14:paraId="7295DA8F" w14:textId="77777777">
        <w:trPr>
          <w:gridAfter w:val="1"/>
          <w:wAfter w:w="647" w:type="pct"/>
          <w:trHeight w:val="224"/>
        </w:trPr>
        <w:tc>
          <w:tcPr>
            <w:tcW w:w="2176" w:type="pct"/>
            <w:gridSpan w:val="3"/>
            <w:tcBorders>
              <w:top w:val="single" w:sz="4" w:space="0" w:color="auto"/>
              <w:bottom w:val="nil"/>
            </w:tcBorders>
          </w:tcPr>
          <w:p w14:paraId="1F4D02BB" w14:textId="77777777" w:rsidR="006E5E82" w:rsidRPr="00733E9A" w:rsidRDefault="006E5E82">
            <w:pPr>
              <w:pStyle w:val="Tabletext"/>
              <w:rPr>
                <w:i/>
                <w:iCs/>
              </w:rPr>
            </w:pPr>
            <w:r w:rsidRPr="00733E9A">
              <w:rPr>
                <w:i/>
                <w:iCs/>
              </w:rPr>
              <w:t xml:space="preserve">Source: </w:t>
            </w:r>
            <w:r>
              <w:rPr>
                <w:i/>
                <w:iCs/>
              </w:rPr>
              <w:t>EPA, 2014</w:t>
            </w:r>
          </w:p>
        </w:tc>
        <w:tc>
          <w:tcPr>
            <w:tcW w:w="2177" w:type="pct"/>
            <w:tcBorders>
              <w:top w:val="single" w:sz="4" w:space="0" w:color="auto"/>
              <w:bottom w:val="nil"/>
            </w:tcBorders>
          </w:tcPr>
          <w:p w14:paraId="686E829E" w14:textId="77777777" w:rsidR="006E5E82" w:rsidRPr="00733E9A" w:rsidRDefault="006E5E82">
            <w:pPr>
              <w:pStyle w:val="Tabletext"/>
            </w:pPr>
          </w:p>
        </w:tc>
      </w:tr>
    </w:tbl>
    <w:p w14:paraId="5073CE38" w14:textId="77777777" w:rsidR="006E5E82" w:rsidRPr="00E002C6" w:rsidRDefault="006E5E82" w:rsidP="00E002C6">
      <w:pPr>
        <w:pStyle w:val="BodyText"/>
      </w:pPr>
    </w:p>
    <w:p w14:paraId="6E7E9395" w14:textId="4228ED7D" w:rsidR="00DC7936" w:rsidRDefault="00DC7936" w:rsidP="00DC7936">
      <w:pPr>
        <w:pStyle w:val="Heading3"/>
      </w:pPr>
      <w:bookmarkStart w:id="65" w:name="_Toc238735937"/>
      <w:r>
        <w:t>Significance of Effect</w:t>
      </w:r>
      <w:bookmarkEnd w:id="65"/>
    </w:p>
    <w:p w14:paraId="4605A40B" w14:textId="4597B1AA" w:rsidR="004C729A" w:rsidRDefault="004C729A" w:rsidP="005442C3">
      <w:pPr>
        <w:pStyle w:val="BodyText"/>
      </w:pPr>
      <w:r w:rsidRPr="004D0B2C">
        <w:t xml:space="preserve">The likelihood and consequence ratings are combined to produce an overall risk ranking as described in Section 3.3.2 </w:t>
      </w:r>
      <w:r w:rsidR="00653A24">
        <w:t>‘</w:t>
      </w:r>
      <w:r w:rsidRPr="004D0B2C">
        <w:t>Risk Analysis</w:t>
      </w:r>
      <w:r w:rsidR="00653A24">
        <w:t>’</w:t>
      </w:r>
      <w:r w:rsidRPr="004D0B2C">
        <w:t xml:space="preserve"> of the EPA 2014 Guidance and replicated in Table 1</w:t>
      </w:r>
      <w:r w:rsidR="00211E10">
        <w:t>5</w:t>
      </w:r>
      <w:r w:rsidRPr="004D0B2C">
        <w:t xml:space="preserve">.3. </w:t>
      </w:r>
    </w:p>
    <w:p w14:paraId="617324EB" w14:textId="57573434" w:rsidR="004C729A" w:rsidRPr="005442C3" w:rsidRDefault="004C729A" w:rsidP="005442C3">
      <w:pPr>
        <w:pStyle w:val="BodyText"/>
      </w:pPr>
      <w:r w:rsidRPr="005442C3">
        <w:t xml:space="preserve">Significant </w:t>
      </w:r>
      <w:r w:rsidR="00C27EDA">
        <w:t>effects</w:t>
      </w:r>
      <w:r w:rsidR="00C27EDA" w:rsidRPr="005442C3">
        <w:t xml:space="preserve"> </w:t>
      </w:r>
      <w:r w:rsidRPr="005442C3">
        <w:t xml:space="preserve">arising from major accidents and/or disasters are adverse </w:t>
      </w:r>
      <w:r w:rsidR="00004662">
        <w:t>effects</w:t>
      </w:r>
      <w:r w:rsidR="00004662" w:rsidRPr="005442C3">
        <w:t xml:space="preserve"> </w:t>
      </w:r>
      <w:r w:rsidRPr="005442C3">
        <w:t>that are described as</w:t>
      </w:r>
      <w:r>
        <w:t xml:space="preserve"> ‘</w:t>
      </w:r>
      <w:r w:rsidR="00AC1A7C">
        <w:t>moderate’,</w:t>
      </w:r>
      <w:r w:rsidRPr="005442C3">
        <w:t xml:space="preserve"> ‘significant’, ‘very significant’ or “profound” under the EPA Guidelines. Consequently, a residual risk score of 8 or above (amber and red zones), is considered significant and requires further assessment. </w:t>
      </w:r>
    </w:p>
    <w:p w14:paraId="1214009E" w14:textId="27E12B3D" w:rsidR="0006526E" w:rsidRPr="00733E9A" w:rsidRDefault="0006526E" w:rsidP="0006526E">
      <w:pPr>
        <w:pStyle w:val="Caption"/>
      </w:pPr>
      <w:bookmarkStart w:id="66" w:name="_Toc238735964"/>
      <w:r w:rsidRPr="00733E9A">
        <w:t xml:space="preserve">Table </w:t>
      </w:r>
      <w:r>
        <w:fldChar w:fldCharType="begin"/>
      </w:r>
      <w:r>
        <w:instrText>STYLEREF 1 \s</w:instrText>
      </w:r>
      <w:r>
        <w:fldChar w:fldCharType="separate"/>
      </w:r>
      <w:r>
        <w:rPr>
          <w:noProof/>
        </w:rPr>
        <w:t>15</w:t>
      </w:r>
      <w:r>
        <w:fldChar w:fldCharType="end"/>
      </w:r>
      <w:r w:rsidRPr="00733E9A">
        <w:t>-</w:t>
      </w:r>
      <w:r>
        <w:fldChar w:fldCharType="begin"/>
      </w:r>
      <w:r>
        <w:instrText>SEQ Table \* ARABIC \s 1</w:instrText>
      </w:r>
      <w:r>
        <w:fldChar w:fldCharType="separate"/>
      </w:r>
      <w:r>
        <w:rPr>
          <w:noProof/>
        </w:rPr>
        <w:t>3</w:t>
      </w:r>
      <w:r>
        <w:fldChar w:fldCharType="end"/>
      </w:r>
      <w:r w:rsidRPr="00733E9A">
        <w:t xml:space="preserve">: </w:t>
      </w:r>
      <w:r>
        <w:t>Level of Significance</w:t>
      </w:r>
      <w:bookmarkEnd w:id="66"/>
    </w:p>
    <w:tbl>
      <w:tblPr>
        <w:tblStyle w:val="TableGrid"/>
        <w:tblW w:w="5000" w:type="pct"/>
        <w:tblLook w:val="04A0" w:firstRow="1" w:lastRow="0" w:firstColumn="1" w:lastColumn="0" w:noHBand="0" w:noVBand="1"/>
      </w:tblPr>
      <w:tblGrid>
        <w:gridCol w:w="669"/>
        <w:gridCol w:w="1439"/>
        <w:gridCol w:w="1331"/>
        <w:gridCol w:w="1181"/>
        <w:gridCol w:w="1181"/>
        <w:gridCol w:w="1181"/>
        <w:gridCol w:w="1181"/>
        <w:gridCol w:w="1181"/>
      </w:tblGrid>
      <w:tr w:rsidR="0006526E" w:rsidRPr="00724ECD" w14:paraId="55D345ED" w14:textId="77777777" w:rsidTr="0016331B">
        <w:trPr>
          <w:cnfStyle w:val="100000000000" w:firstRow="1" w:lastRow="0" w:firstColumn="0" w:lastColumn="0" w:oddVBand="0" w:evenVBand="0" w:oddHBand="0" w:evenHBand="0" w:firstRowFirstColumn="0" w:firstRowLastColumn="0" w:lastRowFirstColumn="0" w:lastRowLastColumn="0"/>
        </w:trPr>
        <w:tc>
          <w:tcPr>
            <w:tcW w:w="358" w:type="pct"/>
            <w:vMerge w:val="restart"/>
            <w:textDirection w:val="btLr"/>
          </w:tcPr>
          <w:p w14:paraId="2D20C944" w14:textId="77777777" w:rsidR="0006526E" w:rsidRPr="00D71BB7" w:rsidRDefault="0006526E" w:rsidP="0006526E">
            <w:pPr>
              <w:spacing w:before="40" w:after="40"/>
              <w:ind w:left="113" w:right="113"/>
              <w:jc w:val="center"/>
              <w:rPr>
                <w:b/>
                <w:bCs/>
                <w:szCs w:val="20"/>
              </w:rPr>
            </w:pPr>
            <w:r w:rsidRPr="00D71BB7">
              <w:rPr>
                <w:b/>
                <w:bCs/>
                <w:szCs w:val="20"/>
              </w:rPr>
              <w:t>LIKELIHOOD</w:t>
            </w:r>
          </w:p>
        </w:tc>
        <w:tc>
          <w:tcPr>
            <w:tcW w:w="770" w:type="pct"/>
            <w:vAlign w:val="center"/>
          </w:tcPr>
          <w:p w14:paraId="5DD5FE15" w14:textId="77777777" w:rsidR="0006526E" w:rsidRPr="00D71BB7" w:rsidRDefault="0006526E" w:rsidP="00990E0C">
            <w:pPr>
              <w:spacing w:before="40" w:after="40"/>
              <w:rPr>
                <w:szCs w:val="20"/>
              </w:rPr>
            </w:pPr>
            <w:r w:rsidRPr="00D71BB7">
              <w:rPr>
                <w:szCs w:val="20"/>
              </w:rPr>
              <w:t>Very high</w:t>
            </w:r>
          </w:p>
        </w:tc>
        <w:tc>
          <w:tcPr>
            <w:tcW w:w="711" w:type="pct"/>
            <w:vAlign w:val="center"/>
          </w:tcPr>
          <w:p w14:paraId="7581574C" w14:textId="77777777" w:rsidR="0006526E" w:rsidRPr="00D71BB7" w:rsidRDefault="0006526E" w:rsidP="00990E0C">
            <w:pPr>
              <w:spacing w:before="40" w:after="40"/>
              <w:rPr>
                <w:szCs w:val="20"/>
              </w:rPr>
            </w:pPr>
            <w:r w:rsidRPr="00D71BB7">
              <w:rPr>
                <w:szCs w:val="20"/>
              </w:rPr>
              <w:t>5</w:t>
            </w:r>
          </w:p>
        </w:tc>
        <w:tc>
          <w:tcPr>
            <w:tcW w:w="632" w:type="pct"/>
            <w:shd w:val="clear" w:color="auto" w:fill="92D050"/>
            <w:vAlign w:val="center"/>
          </w:tcPr>
          <w:p w14:paraId="7DFEFF7C" w14:textId="77777777" w:rsidR="0006526E" w:rsidRPr="00D71BB7" w:rsidRDefault="0006526E" w:rsidP="00990E0C">
            <w:pPr>
              <w:spacing w:before="40" w:after="40"/>
              <w:jc w:val="center"/>
              <w:rPr>
                <w:szCs w:val="20"/>
              </w:rPr>
            </w:pPr>
            <w:r>
              <w:rPr>
                <w:szCs w:val="20"/>
              </w:rPr>
              <w:t>5</w:t>
            </w:r>
          </w:p>
        </w:tc>
        <w:tc>
          <w:tcPr>
            <w:tcW w:w="632" w:type="pct"/>
            <w:shd w:val="clear" w:color="auto" w:fill="FFC000"/>
            <w:vAlign w:val="center"/>
          </w:tcPr>
          <w:p w14:paraId="3A9C2212" w14:textId="77777777" w:rsidR="0006526E" w:rsidRPr="00D71BB7" w:rsidRDefault="0006526E" w:rsidP="00990E0C">
            <w:pPr>
              <w:spacing w:before="40" w:after="40"/>
              <w:jc w:val="center"/>
              <w:rPr>
                <w:szCs w:val="20"/>
              </w:rPr>
            </w:pPr>
            <w:r>
              <w:rPr>
                <w:szCs w:val="20"/>
              </w:rPr>
              <w:t>10</w:t>
            </w:r>
          </w:p>
        </w:tc>
        <w:tc>
          <w:tcPr>
            <w:tcW w:w="632" w:type="pct"/>
            <w:shd w:val="clear" w:color="auto" w:fill="FF0000"/>
            <w:vAlign w:val="center"/>
          </w:tcPr>
          <w:p w14:paraId="12D3E748" w14:textId="77777777" w:rsidR="0006526E" w:rsidRPr="003754D5" w:rsidRDefault="0006526E" w:rsidP="00990E0C">
            <w:pPr>
              <w:spacing w:before="40" w:after="40"/>
              <w:jc w:val="center"/>
              <w:rPr>
                <w:color w:val="FFFFFF" w:themeColor="background1"/>
                <w:szCs w:val="20"/>
              </w:rPr>
            </w:pPr>
            <w:r w:rsidRPr="003754D5">
              <w:rPr>
                <w:color w:val="FFFFFF" w:themeColor="background1"/>
                <w:szCs w:val="20"/>
              </w:rPr>
              <w:t>15</w:t>
            </w:r>
          </w:p>
        </w:tc>
        <w:tc>
          <w:tcPr>
            <w:tcW w:w="632" w:type="pct"/>
            <w:shd w:val="clear" w:color="auto" w:fill="FF0000"/>
            <w:vAlign w:val="center"/>
          </w:tcPr>
          <w:p w14:paraId="665C675B" w14:textId="77777777" w:rsidR="0006526E" w:rsidRPr="003754D5" w:rsidRDefault="0006526E" w:rsidP="00990E0C">
            <w:pPr>
              <w:spacing w:before="40" w:after="40"/>
              <w:jc w:val="center"/>
              <w:rPr>
                <w:color w:val="FFFFFF" w:themeColor="background1"/>
                <w:szCs w:val="20"/>
              </w:rPr>
            </w:pPr>
            <w:r w:rsidRPr="003754D5">
              <w:rPr>
                <w:color w:val="FFFFFF" w:themeColor="background1"/>
                <w:szCs w:val="20"/>
              </w:rPr>
              <w:t>20</w:t>
            </w:r>
          </w:p>
        </w:tc>
        <w:tc>
          <w:tcPr>
            <w:tcW w:w="631" w:type="pct"/>
            <w:shd w:val="clear" w:color="auto" w:fill="FF0000"/>
            <w:vAlign w:val="center"/>
          </w:tcPr>
          <w:p w14:paraId="01F602BA" w14:textId="77777777" w:rsidR="0006526E" w:rsidRPr="003754D5" w:rsidRDefault="0006526E" w:rsidP="00990E0C">
            <w:pPr>
              <w:spacing w:before="40" w:after="40"/>
              <w:jc w:val="center"/>
              <w:rPr>
                <w:color w:val="FFFFFF" w:themeColor="background1"/>
                <w:szCs w:val="20"/>
              </w:rPr>
            </w:pPr>
            <w:r w:rsidRPr="003754D5">
              <w:rPr>
                <w:color w:val="FFFFFF" w:themeColor="background1"/>
                <w:szCs w:val="20"/>
              </w:rPr>
              <w:t>25</w:t>
            </w:r>
          </w:p>
        </w:tc>
      </w:tr>
      <w:tr w:rsidR="0006526E" w:rsidRPr="00724ECD" w14:paraId="68F73D10" w14:textId="77777777" w:rsidTr="0016331B">
        <w:tc>
          <w:tcPr>
            <w:tcW w:w="358" w:type="pct"/>
            <w:vMerge/>
          </w:tcPr>
          <w:p w14:paraId="252E8352" w14:textId="77777777" w:rsidR="0006526E" w:rsidRPr="00D71BB7" w:rsidRDefault="0006526E" w:rsidP="00990E0C">
            <w:pPr>
              <w:spacing w:before="40" w:after="40"/>
              <w:ind w:left="720"/>
              <w:rPr>
                <w:szCs w:val="20"/>
              </w:rPr>
            </w:pPr>
          </w:p>
        </w:tc>
        <w:tc>
          <w:tcPr>
            <w:tcW w:w="770" w:type="pct"/>
            <w:vAlign w:val="center"/>
          </w:tcPr>
          <w:p w14:paraId="0470B2B1" w14:textId="77777777" w:rsidR="0006526E" w:rsidRPr="00D71BB7" w:rsidRDefault="0006526E" w:rsidP="00990E0C">
            <w:pPr>
              <w:spacing w:before="40" w:after="40"/>
              <w:rPr>
                <w:szCs w:val="20"/>
              </w:rPr>
            </w:pPr>
            <w:r w:rsidRPr="00D71BB7">
              <w:rPr>
                <w:szCs w:val="20"/>
              </w:rPr>
              <w:t>High</w:t>
            </w:r>
          </w:p>
        </w:tc>
        <w:tc>
          <w:tcPr>
            <w:tcW w:w="711" w:type="pct"/>
            <w:vAlign w:val="center"/>
          </w:tcPr>
          <w:p w14:paraId="7283D1DE" w14:textId="77777777" w:rsidR="0006526E" w:rsidRPr="00D71BB7" w:rsidRDefault="0006526E" w:rsidP="00990E0C">
            <w:pPr>
              <w:spacing w:before="40" w:after="40"/>
              <w:rPr>
                <w:szCs w:val="20"/>
              </w:rPr>
            </w:pPr>
            <w:r w:rsidRPr="00D71BB7">
              <w:rPr>
                <w:szCs w:val="20"/>
              </w:rPr>
              <w:t>4</w:t>
            </w:r>
          </w:p>
        </w:tc>
        <w:tc>
          <w:tcPr>
            <w:tcW w:w="632" w:type="pct"/>
            <w:shd w:val="clear" w:color="auto" w:fill="92D050"/>
            <w:vAlign w:val="center"/>
          </w:tcPr>
          <w:p w14:paraId="461719E0" w14:textId="77777777" w:rsidR="0006526E" w:rsidRPr="00D71BB7" w:rsidRDefault="0006526E" w:rsidP="00990E0C">
            <w:pPr>
              <w:spacing w:before="40" w:after="40"/>
              <w:jc w:val="center"/>
              <w:rPr>
                <w:szCs w:val="20"/>
              </w:rPr>
            </w:pPr>
            <w:r>
              <w:rPr>
                <w:szCs w:val="20"/>
              </w:rPr>
              <w:t>4</w:t>
            </w:r>
          </w:p>
        </w:tc>
        <w:tc>
          <w:tcPr>
            <w:tcW w:w="632" w:type="pct"/>
            <w:shd w:val="clear" w:color="auto" w:fill="FFC000"/>
            <w:vAlign w:val="center"/>
          </w:tcPr>
          <w:p w14:paraId="7F487353" w14:textId="77777777" w:rsidR="0006526E" w:rsidRPr="00D71BB7" w:rsidRDefault="0006526E" w:rsidP="00990E0C">
            <w:pPr>
              <w:spacing w:before="40" w:after="40"/>
              <w:jc w:val="center"/>
              <w:rPr>
                <w:szCs w:val="20"/>
              </w:rPr>
            </w:pPr>
            <w:r>
              <w:rPr>
                <w:szCs w:val="20"/>
              </w:rPr>
              <w:t>8</w:t>
            </w:r>
          </w:p>
        </w:tc>
        <w:tc>
          <w:tcPr>
            <w:tcW w:w="632" w:type="pct"/>
            <w:shd w:val="clear" w:color="auto" w:fill="FFC000"/>
            <w:vAlign w:val="center"/>
          </w:tcPr>
          <w:p w14:paraId="197D25E6" w14:textId="77777777" w:rsidR="0006526E" w:rsidRPr="00D71BB7" w:rsidRDefault="0006526E" w:rsidP="00990E0C">
            <w:pPr>
              <w:spacing w:before="40" w:after="40"/>
              <w:jc w:val="center"/>
              <w:rPr>
                <w:szCs w:val="20"/>
              </w:rPr>
            </w:pPr>
            <w:r>
              <w:rPr>
                <w:szCs w:val="20"/>
              </w:rPr>
              <w:t>12</w:t>
            </w:r>
          </w:p>
        </w:tc>
        <w:tc>
          <w:tcPr>
            <w:tcW w:w="632" w:type="pct"/>
            <w:shd w:val="clear" w:color="auto" w:fill="FF0000"/>
            <w:vAlign w:val="center"/>
          </w:tcPr>
          <w:p w14:paraId="7123AE03" w14:textId="77777777" w:rsidR="0006526E" w:rsidRPr="003754D5" w:rsidRDefault="0006526E" w:rsidP="00990E0C">
            <w:pPr>
              <w:spacing w:before="40" w:after="40"/>
              <w:jc w:val="center"/>
              <w:rPr>
                <w:color w:val="FFFFFF" w:themeColor="background1"/>
                <w:szCs w:val="20"/>
              </w:rPr>
            </w:pPr>
            <w:r w:rsidRPr="003754D5">
              <w:rPr>
                <w:color w:val="FFFFFF" w:themeColor="background1"/>
                <w:szCs w:val="20"/>
              </w:rPr>
              <w:t>16</w:t>
            </w:r>
          </w:p>
        </w:tc>
        <w:tc>
          <w:tcPr>
            <w:tcW w:w="631" w:type="pct"/>
            <w:shd w:val="clear" w:color="auto" w:fill="FF0000"/>
            <w:vAlign w:val="center"/>
          </w:tcPr>
          <w:p w14:paraId="00D7918B" w14:textId="77777777" w:rsidR="0006526E" w:rsidRPr="003754D5" w:rsidRDefault="0006526E" w:rsidP="00990E0C">
            <w:pPr>
              <w:spacing w:before="40" w:after="40"/>
              <w:jc w:val="center"/>
              <w:rPr>
                <w:color w:val="FFFFFF" w:themeColor="background1"/>
                <w:szCs w:val="20"/>
              </w:rPr>
            </w:pPr>
            <w:r w:rsidRPr="003754D5">
              <w:rPr>
                <w:color w:val="FFFFFF" w:themeColor="background1"/>
                <w:szCs w:val="20"/>
              </w:rPr>
              <w:t>20</w:t>
            </w:r>
          </w:p>
        </w:tc>
      </w:tr>
      <w:tr w:rsidR="0006526E" w:rsidRPr="00724ECD" w14:paraId="1F48775A" w14:textId="77777777" w:rsidTr="0016331B">
        <w:tc>
          <w:tcPr>
            <w:tcW w:w="358" w:type="pct"/>
            <w:vMerge/>
          </w:tcPr>
          <w:p w14:paraId="6FEE7829" w14:textId="77777777" w:rsidR="0006526E" w:rsidRPr="00D71BB7" w:rsidRDefault="0006526E" w:rsidP="00990E0C">
            <w:pPr>
              <w:spacing w:before="40" w:after="40"/>
              <w:ind w:left="720"/>
              <w:rPr>
                <w:szCs w:val="20"/>
              </w:rPr>
            </w:pPr>
          </w:p>
        </w:tc>
        <w:tc>
          <w:tcPr>
            <w:tcW w:w="770" w:type="pct"/>
            <w:vAlign w:val="center"/>
          </w:tcPr>
          <w:p w14:paraId="2A84B109" w14:textId="77777777" w:rsidR="0006526E" w:rsidRPr="00D71BB7" w:rsidRDefault="0006526E" w:rsidP="00990E0C">
            <w:pPr>
              <w:spacing w:before="40" w:after="40"/>
              <w:rPr>
                <w:szCs w:val="20"/>
              </w:rPr>
            </w:pPr>
            <w:r w:rsidRPr="00D71BB7">
              <w:rPr>
                <w:szCs w:val="20"/>
              </w:rPr>
              <w:t>Medium</w:t>
            </w:r>
          </w:p>
        </w:tc>
        <w:tc>
          <w:tcPr>
            <w:tcW w:w="711" w:type="pct"/>
            <w:vAlign w:val="center"/>
          </w:tcPr>
          <w:p w14:paraId="3F886EBA" w14:textId="77777777" w:rsidR="0006526E" w:rsidRPr="00D71BB7" w:rsidRDefault="0006526E" w:rsidP="00990E0C">
            <w:pPr>
              <w:spacing w:before="40" w:after="40"/>
              <w:rPr>
                <w:szCs w:val="20"/>
              </w:rPr>
            </w:pPr>
            <w:r w:rsidRPr="00D71BB7">
              <w:rPr>
                <w:szCs w:val="20"/>
              </w:rPr>
              <w:t>3</w:t>
            </w:r>
          </w:p>
        </w:tc>
        <w:tc>
          <w:tcPr>
            <w:tcW w:w="632" w:type="pct"/>
            <w:shd w:val="clear" w:color="auto" w:fill="92D050"/>
            <w:vAlign w:val="center"/>
          </w:tcPr>
          <w:p w14:paraId="700CA1D8" w14:textId="77777777" w:rsidR="0006526E" w:rsidRPr="00D71BB7" w:rsidRDefault="0006526E" w:rsidP="00990E0C">
            <w:pPr>
              <w:spacing w:before="40" w:after="40"/>
              <w:jc w:val="center"/>
              <w:rPr>
                <w:szCs w:val="20"/>
              </w:rPr>
            </w:pPr>
            <w:r>
              <w:rPr>
                <w:szCs w:val="20"/>
              </w:rPr>
              <w:t>3</w:t>
            </w:r>
          </w:p>
        </w:tc>
        <w:tc>
          <w:tcPr>
            <w:tcW w:w="632" w:type="pct"/>
            <w:shd w:val="clear" w:color="auto" w:fill="92D050"/>
            <w:vAlign w:val="center"/>
          </w:tcPr>
          <w:p w14:paraId="2FA9D83A" w14:textId="77777777" w:rsidR="0006526E" w:rsidRPr="00D71BB7" w:rsidRDefault="0006526E" w:rsidP="00990E0C">
            <w:pPr>
              <w:spacing w:before="40" w:after="40"/>
              <w:jc w:val="center"/>
              <w:rPr>
                <w:szCs w:val="20"/>
              </w:rPr>
            </w:pPr>
            <w:r>
              <w:rPr>
                <w:szCs w:val="20"/>
              </w:rPr>
              <w:t>6</w:t>
            </w:r>
          </w:p>
        </w:tc>
        <w:tc>
          <w:tcPr>
            <w:tcW w:w="632" w:type="pct"/>
            <w:shd w:val="clear" w:color="auto" w:fill="FFC000"/>
            <w:vAlign w:val="center"/>
          </w:tcPr>
          <w:p w14:paraId="21D8ED2F" w14:textId="77777777" w:rsidR="0006526E" w:rsidRPr="00D71BB7" w:rsidRDefault="0006526E" w:rsidP="00990E0C">
            <w:pPr>
              <w:spacing w:before="40" w:after="40"/>
              <w:jc w:val="center"/>
              <w:rPr>
                <w:szCs w:val="20"/>
              </w:rPr>
            </w:pPr>
            <w:r>
              <w:rPr>
                <w:szCs w:val="20"/>
              </w:rPr>
              <w:t>9</w:t>
            </w:r>
          </w:p>
        </w:tc>
        <w:tc>
          <w:tcPr>
            <w:tcW w:w="632" w:type="pct"/>
            <w:shd w:val="clear" w:color="auto" w:fill="FFC000"/>
            <w:vAlign w:val="center"/>
          </w:tcPr>
          <w:p w14:paraId="1A0FDBD3" w14:textId="77777777" w:rsidR="0006526E" w:rsidRPr="00D71BB7" w:rsidRDefault="0006526E" w:rsidP="00990E0C">
            <w:pPr>
              <w:spacing w:before="40" w:after="40"/>
              <w:jc w:val="center"/>
              <w:rPr>
                <w:szCs w:val="20"/>
              </w:rPr>
            </w:pPr>
            <w:r>
              <w:rPr>
                <w:szCs w:val="20"/>
              </w:rPr>
              <w:t>12</w:t>
            </w:r>
          </w:p>
        </w:tc>
        <w:tc>
          <w:tcPr>
            <w:tcW w:w="631" w:type="pct"/>
            <w:shd w:val="clear" w:color="auto" w:fill="FF0000"/>
            <w:vAlign w:val="center"/>
          </w:tcPr>
          <w:p w14:paraId="6D70E685" w14:textId="77777777" w:rsidR="0006526E" w:rsidRPr="00D71BB7" w:rsidRDefault="0006526E" w:rsidP="00990E0C">
            <w:pPr>
              <w:spacing w:before="40" w:after="40"/>
              <w:jc w:val="center"/>
              <w:rPr>
                <w:szCs w:val="20"/>
              </w:rPr>
            </w:pPr>
            <w:r w:rsidRPr="003754D5">
              <w:rPr>
                <w:color w:val="FFFFFF" w:themeColor="background1"/>
                <w:szCs w:val="20"/>
              </w:rPr>
              <w:t>15</w:t>
            </w:r>
          </w:p>
        </w:tc>
      </w:tr>
      <w:tr w:rsidR="0006526E" w:rsidRPr="00724ECD" w14:paraId="6175B09D" w14:textId="77777777" w:rsidTr="0016331B">
        <w:tc>
          <w:tcPr>
            <w:tcW w:w="358" w:type="pct"/>
            <w:vMerge/>
          </w:tcPr>
          <w:p w14:paraId="3A177510" w14:textId="77777777" w:rsidR="0006526E" w:rsidRPr="00D71BB7" w:rsidRDefault="0006526E" w:rsidP="00990E0C">
            <w:pPr>
              <w:spacing w:before="40" w:after="40"/>
              <w:ind w:left="720"/>
              <w:rPr>
                <w:szCs w:val="20"/>
              </w:rPr>
            </w:pPr>
          </w:p>
        </w:tc>
        <w:tc>
          <w:tcPr>
            <w:tcW w:w="770" w:type="pct"/>
            <w:vAlign w:val="center"/>
          </w:tcPr>
          <w:p w14:paraId="30F2B796" w14:textId="77777777" w:rsidR="0006526E" w:rsidRPr="00D71BB7" w:rsidRDefault="0006526E" w:rsidP="00990E0C">
            <w:pPr>
              <w:spacing w:before="40" w:after="40"/>
              <w:rPr>
                <w:szCs w:val="20"/>
              </w:rPr>
            </w:pPr>
            <w:r w:rsidRPr="00D71BB7">
              <w:rPr>
                <w:szCs w:val="20"/>
              </w:rPr>
              <w:t>Low</w:t>
            </w:r>
          </w:p>
        </w:tc>
        <w:tc>
          <w:tcPr>
            <w:tcW w:w="711" w:type="pct"/>
            <w:vAlign w:val="center"/>
          </w:tcPr>
          <w:p w14:paraId="6A79C7FC" w14:textId="77777777" w:rsidR="0006526E" w:rsidRPr="00D71BB7" w:rsidRDefault="0006526E" w:rsidP="00990E0C">
            <w:pPr>
              <w:spacing w:before="40" w:after="40"/>
              <w:rPr>
                <w:szCs w:val="20"/>
              </w:rPr>
            </w:pPr>
            <w:r w:rsidRPr="00D71BB7">
              <w:rPr>
                <w:szCs w:val="20"/>
              </w:rPr>
              <w:t>2</w:t>
            </w:r>
          </w:p>
        </w:tc>
        <w:tc>
          <w:tcPr>
            <w:tcW w:w="632" w:type="pct"/>
            <w:shd w:val="clear" w:color="auto" w:fill="92D050"/>
            <w:vAlign w:val="center"/>
          </w:tcPr>
          <w:p w14:paraId="5CFA0E39" w14:textId="77777777" w:rsidR="0006526E" w:rsidRPr="00D71BB7" w:rsidRDefault="0006526E" w:rsidP="00990E0C">
            <w:pPr>
              <w:spacing w:before="40" w:after="40"/>
              <w:jc w:val="center"/>
              <w:rPr>
                <w:szCs w:val="20"/>
              </w:rPr>
            </w:pPr>
            <w:r>
              <w:rPr>
                <w:szCs w:val="20"/>
              </w:rPr>
              <w:t>2</w:t>
            </w:r>
          </w:p>
        </w:tc>
        <w:tc>
          <w:tcPr>
            <w:tcW w:w="632" w:type="pct"/>
            <w:shd w:val="clear" w:color="auto" w:fill="92D050"/>
            <w:vAlign w:val="center"/>
          </w:tcPr>
          <w:p w14:paraId="00008E55" w14:textId="77777777" w:rsidR="0006526E" w:rsidRPr="00D71BB7" w:rsidRDefault="0006526E" w:rsidP="00990E0C">
            <w:pPr>
              <w:spacing w:before="40" w:after="40"/>
              <w:jc w:val="center"/>
              <w:rPr>
                <w:szCs w:val="20"/>
              </w:rPr>
            </w:pPr>
            <w:r>
              <w:rPr>
                <w:szCs w:val="20"/>
              </w:rPr>
              <w:t>4</w:t>
            </w:r>
          </w:p>
        </w:tc>
        <w:tc>
          <w:tcPr>
            <w:tcW w:w="632" w:type="pct"/>
            <w:shd w:val="clear" w:color="auto" w:fill="92D050"/>
            <w:vAlign w:val="center"/>
          </w:tcPr>
          <w:p w14:paraId="3060FC64" w14:textId="77777777" w:rsidR="0006526E" w:rsidRPr="00D71BB7" w:rsidRDefault="0006526E" w:rsidP="00990E0C">
            <w:pPr>
              <w:spacing w:before="40" w:after="40"/>
              <w:jc w:val="center"/>
              <w:rPr>
                <w:szCs w:val="20"/>
              </w:rPr>
            </w:pPr>
            <w:r>
              <w:rPr>
                <w:szCs w:val="20"/>
              </w:rPr>
              <w:t>6</w:t>
            </w:r>
          </w:p>
        </w:tc>
        <w:tc>
          <w:tcPr>
            <w:tcW w:w="632" w:type="pct"/>
            <w:shd w:val="clear" w:color="auto" w:fill="FFC000"/>
            <w:vAlign w:val="center"/>
          </w:tcPr>
          <w:p w14:paraId="13BF53EF" w14:textId="77777777" w:rsidR="0006526E" w:rsidRPr="00D71BB7" w:rsidRDefault="0006526E" w:rsidP="00990E0C">
            <w:pPr>
              <w:spacing w:before="40" w:after="40"/>
              <w:jc w:val="center"/>
              <w:rPr>
                <w:szCs w:val="20"/>
              </w:rPr>
            </w:pPr>
            <w:r>
              <w:rPr>
                <w:szCs w:val="20"/>
              </w:rPr>
              <w:t>8</w:t>
            </w:r>
          </w:p>
        </w:tc>
        <w:tc>
          <w:tcPr>
            <w:tcW w:w="631" w:type="pct"/>
            <w:shd w:val="clear" w:color="auto" w:fill="FFC000"/>
            <w:vAlign w:val="center"/>
          </w:tcPr>
          <w:p w14:paraId="2E03C3A7" w14:textId="77777777" w:rsidR="0006526E" w:rsidRPr="00D71BB7" w:rsidRDefault="0006526E" w:rsidP="00990E0C">
            <w:pPr>
              <w:spacing w:before="40" w:after="40"/>
              <w:jc w:val="center"/>
              <w:rPr>
                <w:szCs w:val="20"/>
              </w:rPr>
            </w:pPr>
            <w:r>
              <w:rPr>
                <w:szCs w:val="20"/>
              </w:rPr>
              <w:t>10</w:t>
            </w:r>
          </w:p>
        </w:tc>
      </w:tr>
      <w:tr w:rsidR="0006526E" w:rsidRPr="00724ECD" w14:paraId="37BB6392" w14:textId="77777777" w:rsidTr="0016331B">
        <w:tc>
          <w:tcPr>
            <w:tcW w:w="358" w:type="pct"/>
            <w:vMerge/>
          </w:tcPr>
          <w:p w14:paraId="7B0553CB" w14:textId="77777777" w:rsidR="0006526E" w:rsidRPr="00D71BB7" w:rsidRDefault="0006526E" w:rsidP="00990E0C">
            <w:pPr>
              <w:spacing w:before="40" w:after="40"/>
              <w:ind w:left="720"/>
              <w:rPr>
                <w:szCs w:val="20"/>
              </w:rPr>
            </w:pPr>
          </w:p>
        </w:tc>
        <w:tc>
          <w:tcPr>
            <w:tcW w:w="770" w:type="pct"/>
            <w:vAlign w:val="center"/>
          </w:tcPr>
          <w:p w14:paraId="166C8E02" w14:textId="77777777" w:rsidR="0006526E" w:rsidRPr="00D71BB7" w:rsidRDefault="0006526E" w:rsidP="00990E0C">
            <w:pPr>
              <w:spacing w:before="40" w:after="40"/>
              <w:rPr>
                <w:szCs w:val="20"/>
              </w:rPr>
            </w:pPr>
            <w:r w:rsidRPr="00D71BB7">
              <w:rPr>
                <w:szCs w:val="20"/>
              </w:rPr>
              <w:t>Very low</w:t>
            </w:r>
          </w:p>
        </w:tc>
        <w:tc>
          <w:tcPr>
            <w:tcW w:w="711" w:type="pct"/>
            <w:vAlign w:val="center"/>
          </w:tcPr>
          <w:p w14:paraId="5D908E8F" w14:textId="77777777" w:rsidR="0006526E" w:rsidRPr="00D71BB7" w:rsidRDefault="0006526E" w:rsidP="00990E0C">
            <w:pPr>
              <w:spacing w:before="40" w:after="40"/>
              <w:rPr>
                <w:szCs w:val="20"/>
              </w:rPr>
            </w:pPr>
            <w:r w:rsidRPr="00D71BB7">
              <w:rPr>
                <w:szCs w:val="20"/>
              </w:rPr>
              <w:t>1</w:t>
            </w:r>
          </w:p>
        </w:tc>
        <w:tc>
          <w:tcPr>
            <w:tcW w:w="632" w:type="pct"/>
            <w:shd w:val="clear" w:color="auto" w:fill="92D050"/>
            <w:vAlign w:val="center"/>
          </w:tcPr>
          <w:p w14:paraId="0DB9E7C2" w14:textId="77777777" w:rsidR="0006526E" w:rsidRPr="00D71BB7" w:rsidRDefault="0006526E" w:rsidP="00990E0C">
            <w:pPr>
              <w:spacing w:before="40" w:after="40"/>
              <w:jc w:val="center"/>
              <w:rPr>
                <w:szCs w:val="20"/>
              </w:rPr>
            </w:pPr>
            <w:r>
              <w:rPr>
                <w:szCs w:val="20"/>
              </w:rPr>
              <w:t>1</w:t>
            </w:r>
          </w:p>
        </w:tc>
        <w:tc>
          <w:tcPr>
            <w:tcW w:w="632" w:type="pct"/>
            <w:shd w:val="clear" w:color="auto" w:fill="92D050"/>
            <w:vAlign w:val="center"/>
          </w:tcPr>
          <w:p w14:paraId="2FFCAEDB" w14:textId="77777777" w:rsidR="0006526E" w:rsidRPr="00D71BB7" w:rsidRDefault="0006526E" w:rsidP="00990E0C">
            <w:pPr>
              <w:spacing w:before="40" w:after="40"/>
              <w:jc w:val="center"/>
              <w:rPr>
                <w:szCs w:val="20"/>
              </w:rPr>
            </w:pPr>
            <w:r>
              <w:rPr>
                <w:szCs w:val="20"/>
              </w:rPr>
              <w:t>2</w:t>
            </w:r>
          </w:p>
        </w:tc>
        <w:tc>
          <w:tcPr>
            <w:tcW w:w="632" w:type="pct"/>
            <w:shd w:val="clear" w:color="auto" w:fill="92D050"/>
            <w:vAlign w:val="center"/>
          </w:tcPr>
          <w:p w14:paraId="0BCCD5F0" w14:textId="77777777" w:rsidR="0006526E" w:rsidRPr="00D71BB7" w:rsidRDefault="0006526E" w:rsidP="00990E0C">
            <w:pPr>
              <w:spacing w:before="40" w:after="40"/>
              <w:jc w:val="center"/>
              <w:rPr>
                <w:szCs w:val="20"/>
              </w:rPr>
            </w:pPr>
            <w:r>
              <w:rPr>
                <w:szCs w:val="20"/>
              </w:rPr>
              <w:t>3</w:t>
            </w:r>
          </w:p>
        </w:tc>
        <w:tc>
          <w:tcPr>
            <w:tcW w:w="632" w:type="pct"/>
            <w:shd w:val="clear" w:color="auto" w:fill="92D050"/>
            <w:vAlign w:val="center"/>
          </w:tcPr>
          <w:p w14:paraId="4C380B83" w14:textId="77777777" w:rsidR="0006526E" w:rsidRPr="00D71BB7" w:rsidRDefault="0006526E" w:rsidP="00990E0C">
            <w:pPr>
              <w:spacing w:before="40" w:after="40"/>
              <w:jc w:val="center"/>
              <w:rPr>
                <w:szCs w:val="20"/>
              </w:rPr>
            </w:pPr>
            <w:r>
              <w:rPr>
                <w:szCs w:val="20"/>
              </w:rPr>
              <w:t>4</w:t>
            </w:r>
          </w:p>
        </w:tc>
        <w:tc>
          <w:tcPr>
            <w:tcW w:w="631" w:type="pct"/>
            <w:shd w:val="clear" w:color="auto" w:fill="92D050"/>
            <w:vAlign w:val="center"/>
          </w:tcPr>
          <w:p w14:paraId="1D1E8AB1" w14:textId="77777777" w:rsidR="0006526E" w:rsidRPr="00D71BB7" w:rsidRDefault="0006526E" w:rsidP="00990E0C">
            <w:pPr>
              <w:spacing w:before="40" w:after="40"/>
              <w:jc w:val="center"/>
              <w:rPr>
                <w:szCs w:val="20"/>
              </w:rPr>
            </w:pPr>
            <w:r>
              <w:rPr>
                <w:szCs w:val="20"/>
              </w:rPr>
              <w:t>5</w:t>
            </w:r>
          </w:p>
        </w:tc>
      </w:tr>
      <w:tr w:rsidR="0006526E" w:rsidRPr="00724ECD" w14:paraId="7E7F5DBB" w14:textId="77777777" w:rsidTr="0016331B">
        <w:tc>
          <w:tcPr>
            <w:tcW w:w="1840" w:type="pct"/>
            <w:gridSpan w:val="3"/>
            <w:vMerge w:val="restart"/>
            <w:vAlign w:val="center"/>
          </w:tcPr>
          <w:p w14:paraId="2AE7A584" w14:textId="77777777" w:rsidR="0006526E" w:rsidRPr="00D71BB7" w:rsidRDefault="0006526E" w:rsidP="00990E0C">
            <w:pPr>
              <w:spacing w:before="40" w:after="40"/>
              <w:rPr>
                <w:szCs w:val="20"/>
              </w:rPr>
            </w:pPr>
            <w:r w:rsidRPr="00D71BB7">
              <w:rPr>
                <w:szCs w:val="20"/>
              </w:rPr>
              <w:t xml:space="preserve">                             </w:t>
            </w:r>
          </w:p>
        </w:tc>
        <w:tc>
          <w:tcPr>
            <w:tcW w:w="632" w:type="pct"/>
            <w:vAlign w:val="center"/>
          </w:tcPr>
          <w:p w14:paraId="13C58BC0" w14:textId="77777777" w:rsidR="0006526E" w:rsidRPr="00D71BB7" w:rsidRDefault="0006526E" w:rsidP="005442C3">
            <w:pPr>
              <w:spacing w:before="40" w:after="40"/>
              <w:jc w:val="center"/>
              <w:rPr>
                <w:szCs w:val="20"/>
              </w:rPr>
            </w:pPr>
            <w:r w:rsidRPr="00D71BB7">
              <w:rPr>
                <w:szCs w:val="20"/>
              </w:rPr>
              <w:t>1</w:t>
            </w:r>
          </w:p>
        </w:tc>
        <w:tc>
          <w:tcPr>
            <w:tcW w:w="632" w:type="pct"/>
            <w:vAlign w:val="center"/>
          </w:tcPr>
          <w:p w14:paraId="1C8F1394" w14:textId="77777777" w:rsidR="0006526E" w:rsidRPr="00D71BB7" w:rsidRDefault="0006526E" w:rsidP="005442C3">
            <w:pPr>
              <w:spacing w:before="40" w:after="40"/>
              <w:jc w:val="center"/>
              <w:rPr>
                <w:szCs w:val="20"/>
              </w:rPr>
            </w:pPr>
            <w:r w:rsidRPr="00D71BB7">
              <w:rPr>
                <w:szCs w:val="20"/>
              </w:rPr>
              <w:t>2</w:t>
            </w:r>
          </w:p>
        </w:tc>
        <w:tc>
          <w:tcPr>
            <w:tcW w:w="632" w:type="pct"/>
            <w:vAlign w:val="center"/>
          </w:tcPr>
          <w:p w14:paraId="37EECB8A" w14:textId="77777777" w:rsidR="0006526E" w:rsidRPr="00D71BB7" w:rsidRDefault="0006526E" w:rsidP="005442C3">
            <w:pPr>
              <w:spacing w:before="40" w:after="40"/>
              <w:jc w:val="center"/>
              <w:rPr>
                <w:szCs w:val="20"/>
              </w:rPr>
            </w:pPr>
            <w:r w:rsidRPr="00D71BB7">
              <w:rPr>
                <w:szCs w:val="20"/>
              </w:rPr>
              <w:t>3</w:t>
            </w:r>
          </w:p>
        </w:tc>
        <w:tc>
          <w:tcPr>
            <w:tcW w:w="632" w:type="pct"/>
            <w:vAlign w:val="center"/>
          </w:tcPr>
          <w:p w14:paraId="5F033E81" w14:textId="77777777" w:rsidR="0006526E" w:rsidRPr="00D71BB7" w:rsidRDefault="0006526E" w:rsidP="005442C3">
            <w:pPr>
              <w:spacing w:before="40" w:after="40"/>
              <w:jc w:val="center"/>
              <w:rPr>
                <w:szCs w:val="20"/>
              </w:rPr>
            </w:pPr>
            <w:r w:rsidRPr="00D71BB7">
              <w:rPr>
                <w:szCs w:val="20"/>
              </w:rPr>
              <w:t>4</w:t>
            </w:r>
          </w:p>
        </w:tc>
        <w:tc>
          <w:tcPr>
            <w:tcW w:w="631" w:type="pct"/>
            <w:vAlign w:val="center"/>
          </w:tcPr>
          <w:p w14:paraId="1A81BEBF" w14:textId="77777777" w:rsidR="0006526E" w:rsidRPr="00D71BB7" w:rsidRDefault="0006526E" w:rsidP="005442C3">
            <w:pPr>
              <w:spacing w:before="40" w:after="40"/>
              <w:jc w:val="center"/>
              <w:rPr>
                <w:szCs w:val="20"/>
              </w:rPr>
            </w:pPr>
            <w:r w:rsidRPr="00D71BB7">
              <w:rPr>
                <w:szCs w:val="20"/>
              </w:rPr>
              <w:t>5</w:t>
            </w:r>
          </w:p>
        </w:tc>
      </w:tr>
      <w:tr w:rsidR="0006526E" w:rsidRPr="00724ECD" w14:paraId="3850C3D1" w14:textId="77777777" w:rsidTr="0016331B">
        <w:tc>
          <w:tcPr>
            <w:tcW w:w="1840" w:type="pct"/>
            <w:gridSpan w:val="3"/>
            <w:vMerge/>
            <w:vAlign w:val="center"/>
          </w:tcPr>
          <w:p w14:paraId="773BBF8C" w14:textId="77777777" w:rsidR="0006526E" w:rsidRPr="00D71BB7" w:rsidRDefault="0006526E" w:rsidP="00990E0C">
            <w:pPr>
              <w:spacing w:before="40" w:after="40"/>
              <w:rPr>
                <w:szCs w:val="20"/>
              </w:rPr>
            </w:pPr>
          </w:p>
        </w:tc>
        <w:tc>
          <w:tcPr>
            <w:tcW w:w="632" w:type="pct"/>
            <w:vAlign w:val="center"/>
          </w:tcPr>
          <w:p w14:paraId="4A305E5C" w14:textId="77777777" w:rsidR="0006526E" w:rsidRPr="00D71BB7" w:rsidRDefault="0006526E" w:rsidP="005442C3">
            <w:pPr>
              <w:spacing w:before="40" w:after="40"/>
              <w:jc w:val="center"/>
              <w:rPr>
                <w:szCs w:val="20"/>
              </w:rPr>
            </w:pPr>
            <w:r w:rsidRPr="00D71BB7">
              <w:rPr>
                <w:szCs w:val="20"/>
              </w:rPr>
              <w:t>Trivial</w:t>
            </w:r>
          </w:p>
        </w:tc>
        <w:tc>
          <w:tcPr>
            <w:tcW w:w="632" w:type="pct"/>
            <w:vAlign w:val="center"/>
          </w:tcPr>
          <w:p w14:paraId="3CA0DD0B" w14:textId="77777777" w:rsidR="0006526E" w:rsidRPr="00D71BB7" w:rsidRDefault="0006526E" w:rsidP="005442C3">
            <w:pPr>
              <w:spacing w:before="40" w:after="40"/>
              <w:jc w:val="center"/>
              <w:rPr>
                <w:szCs w:val="20"/>
              </w:rPr>
            </w:pPr>
            <w:r w:rsidRPr="00D71BB7">
              <w:rPr>
                <w:szCs w:val="20"/>
              </w:rPr>
              <w:t>Minor</w:t>
            </w:r>
          </w:p>
        </w:tc>
        <w:tc>
          <w:tcPr>
            <w:tcW w:w="632" w:type="pct"/>
            <w:vAlign w:val="center"/>
          </w:tcPr>
          <w:p w14:paraId="024CBEE0" w14:textId="77777777" w:rsidR="0006526E" w:rsidRPr="00D71BB7" w:rsidRDefault="0006526E" w:rsidP="005442C3">
            <w:pPr>
              <w:spacing w:before="40" w:after="40"/>
              <w:jc w:val="center"/>
              <w:rPr>
                <w:szCs w:val="20"/>
              </w:rPr>
            </w:pPr>
            <w:r w:rsidRPr="00D71BB7">
              <w:rPr>
                <w:szCs w:val="20"/>
              </w:rPr>
              <w:t>Moderate</w:t>
            </w:r>
          </w:p>
        </w:tc>
        <w:tc>
          <w:tcPr>
            <w:tcW w:w="632" w:type="pct"/>
            <w:vAlign w:val="center"/>
          </w:tcPr>
          <w:p w14:paraId="55433C9D" w14:textId="77777777" w:rsidR="0006526E" w:rsidRPr="00D71BB7" w:rsidRDefault="0006526E" w:rsidP="005442C3">
            <w:pPr>
              <w:spacing w:before="40" w:after="40"/>
              <w:jc w:val="center"/>
              <w:rPr>
                <w:szCs w:val="20"/>
              </w:rPr>
            </w:pPr>
            <w:r w:rsidRPr="00D71BB7">
              <w:rPr>
                <w:szCs w:val="20"/>
              </w:rPr>
              <w:t>Major</w:t>
            </w:r>
          </w:p>
        </w:tc>
        <w:tc>
          <w:tcPr>
            <w:tcW w:w="631" w:type="pct"/>
            <w:vAlign w:val="center"/>
          </w:tcPr>
          <w:p w14:paraId="0F793772" w14:textId="77777777" w:rsidR="0006526E" w:rsidRPr="00D71BB7" w:rsidRDefault="0006526E" w:rsidP="005442C3">
            <w:pPr>
              <w:spacing w:before="40" w:after="40"/>
              <w:jc w:val="center"/>
              <w:rPr>
                <w:szCs w:val="20"/>
              </w:rPr>
            </w:pPr>
            <w:r w:rsidRPr="00D71BB7">
              <w:rPr>
                <w:szCs w:val="20"/>
              </w:rPr>
              <w:t>Massive</w:t>
            </w:r>
          </w:p>
        </w:tc>
      </w:tr>
      <w:tr w:rsidR="0006526E" w:rsidRPr="00724ECD" w14:paraId="2A6ADEDA" w14:textId="77777777" w:rsidTr="0016331B">
        <w:tc>
          <w:tcPr>
            <w:tcW w:w="1840" w:type="pct"/>
            <w:gridSpan w:val="3"/>
            <w:vMerge/>
            <w:vAlign w:val="center"/>
          </w:tcPr>
          <w:p w14:paraId="0D74F3A2" w14:textId="77777777" w:rsidR="0006526E" w:rsidRPr="00D71BB7" w:rsidRDefault="0006526E" w:rsidP="00990E0C">
            <w:pPr>
              <w:spacing w:before="40" w:after="40"/>
              <w:rPr>
                <w:szCs w:val="20"/>
              </w:rPr>
            </w:pPr>
          </w:p>
        </w:tc>
        <w:tc>
          <w:tcPr>
            <w:tcW w:w="3160" w:type="pct"/>
            <w:gridSpan w:val="5"/>
            <w:vAlign w:val="center"/>
          </w:tcPr>
          <w:p w14:paraId="5AB344FF" w14:textId="77777777" w:rsidR="0006526E" w:rsidRPr="00D71BB7" w:rsidRDefault="0006526E" w:rsidP="005442C3">
            <w:pPr>
              <w:spacing w:before="40" w:after="40"/>
              <w:jc w:val="center"/>
              <w:rPr>
                <w:b/>
                <w:bCs/>
                <w:szCs w:val="20"/>
              </w:rPr>
            </w:pPr>
            <w:r w:rsidRPr="00D71BB7">
              <w:rPr>
                <w:b/>
                <w:bCs/>
                <w:szCs w:val="20"/>
              </w:rPr>
              <w:t>CONSEQUENCE</w:t>
            </w:r>
          </w:p>
        </w:tc>
      </w:tr>
    </w:tbl>
    <w:p w14:paraId="60F42078" w14:textId="77777777" w:rsidR="0006526E" w:rsidRPr="003754D5" w:rsidRDefault="0006526E" w:rsidP="00CB06AE">
      <w:pPr>
        <w:pStyle w:val="Caption"/>
        <w:rPr>
          <w:rFonts w:asciiTheme="minorHAnsi" w:hAnsiTheme="minorHAnsi" w:cstheme="minorHAnsi"/>
          <w:b w:val="0"/>
          <w:bCs w:val="0"/>
          <w:color w:val="auto"/>
        </w:rPr>
      </w:pPr>
      <w:r w:rsidRPr="003754D5">
        <w:rPr>
          <w:rFonts w:asciiTheme="minorHAnsi" w:hAnsiTheme="minorHAnsi" w:cstheme="minorHAnsi"/>
          <w:b w:val="0"/>
          <w:bCs w:val="0"/>
          <w:i/>
          <w:iCs/>
          <w:color w:val="auto"/>
        </w:rPr>
        <w:t>Source: EPA, 2014</w:t>
      </w:r>
    </w:p>
    <w:p w14:paraId="3F9237B9" w14:textId="77777777" w:rsidR="0006526E" w:rsidRPr="0077519D" w:rsidRDefault="0006526E" w:rsidP="00CB06AE">
      <w:pPr>
        <w:pStyle w:val="Numberedtext"/>
        <w:numPr>
          <w:ilvl w:val="0"/>
          <w:numId w:val="0"/>
        </w:numPr>
        <w:rPr>
          <w:lang w:val="en-IE"/>
        </w:rPr>
      </w:pPr>
    </w:p>
    <w:p w14:paraId="1F4238E6" w14:textId="5CA8BA64" w:rsidR="00DC7936" w:rsidRDefault="00DC7936" w:rsidP="00DC7936">
      <w:pPr>
        <w:pStyle w:val="Heading3"/>
      </w:pPr>
      <w:bookmarkStart w:id="67" w:name="_Toc238735938"/>
      <w:r>
        <w:t>Assumptions and Limitations</w:t>
      </w:r>
      <w:bookmarkEnd w:id="67"/>
    </w:p>
    <w:p w14:paraId="2C75A882" w14:textId="3D83B0D5" w:rsidR="004B6E2C" w:rsidRPr="00172582" w:rsidRDefault="004B6E2C" w:rsidP="00172582">
      <w:pPr>
        <w:pStyle w:val="BodyText"/>
      </w:pPr>
      <w:r w:rsidRPr="00172582">
        <w:t xml:space="preserve">This assessment is based on </w:t>
      </w:r>
      <w:r w:rsidR="00B3452A" w:rsidRPr="00172582">
        <w:t xml:space="preserve">Proposed Development </w:t>
      </w:r>
      <w:r w:rsidRPr="00172582">
        <w:t>construction</w:t>
      </w:r>
      <w:r w:rsidR="00B111CA">
        <w:t xml:space="preserve"> and</w:t>
      </w:r>
      <w:r w:rsidRPr="00172582">
        <w:t xml:space="preserve"> design that is currently available. </w:t>
      </w:r>
    </w:p>
    <w:p w14:paraId="657B4C0A" w14:textId="38CE3C19" w:rsidR="004B6E2C" w:rsidRPr="004B6E2C" w:rsidRDefault="004B6E2C" w:rsidP="00172582">
      <w:pPr>
        <w:pStyle w:val="BodyText"/>
      </w:pPr>
      <w:r w:rsidRPr="00172582">
        <w:t>This assessment has considered credible, worst-case MA&amp;D Risk Events associated with the Proposed Development.</w:t>
      </w:r>
    </w:p>
    <w:p w14:paraId="78DC6B72" w14:textId="082686CA" w:rsidR="00911729" w:rsidRDefault="00C55045" w:rsidP="00743568">
      <w:pPr>
        <w:pStyle w:val="Heading2"/>
      </w:pPr>
      <w:bookmarkStart w:id="68" w:name="_Ref232089411"/>
      <w:bookmarkStart w:id="69" w:name="_Toc238735939"/>
      <w:r>
        <w:lastRenderedPageBreak/>
        <w:t>Baseline Environment</w:t>
      </w:r>
      <w:bookmarkEnd w:id="68"/>
      <w:bookmarkEnd w:id="69"/>
    </w:p>
    <w:p w14:paraId="4E22696D" w14:textId="0023A7CF" w:rsidR="00C55045" w:rsidRDefault="00586CB1" w:rsidP="00DC7CF5">
      <w:pPr>
        <w:pStyle w:val="Heading3"/>
      </w:pPr>
      <w:r>
        <w:t>The Proposed Development</w:t>
      </w:r>
    </w:p>
    <w:p w14:paraId="74E61813" w14:textId="27BA4159" w:rsidR="00DC7CF5" w:rsidRPr="00172582" w:rsidRDefault="00DC7CF5" w:rsidP="00DC7CF5">
      <w:pPr>
        <w:pStyle w:val="BodyText"/>
      </w:pPr>
      <w:r w:rsidRPr="00172582">
        <w:t xml:space="preserve">A full description of the </w:t>
      </w:r>
      <w:r w:rsidR="00AD708A">
        <w:t>Proposed Development</w:t>
      </w:r>
      <w:r w:rsidR="001B7CA5">
        <w:t xml:space="preserve"> </w:t>
      </w:r>
      <w:r w:rsidRPr="00172582">
        <w:t xml:space="preserve">is available in </w:t>
      </w:r>
      <w:r w:rsidRPr="006E5E82">
        <w:rPr>
          <w:b/>
          <w:bCs/>
        </w:rPr>
        <w:t xml:space="preserve">Chapter </w:t>
      </w:r>
      <w:r w:rsidR="00805990">
        <w:rPr>
          <w:b/>
          <w:bCs/>
        </w:rPr>
        <w:t>0</w:t>
      </w:r>
      <w:r w:rsidR="00A609CA">
        <w:rPr>
          <w:b/>
          <w:bCs/>
        </w:rPr>
        <w:t>2: Description of the Proposed</w:t>
      </w:r>
      <w:r w:rsidRPr="006E5E82">
        <w:rPr>
          <w:b/>
          <w:bCs/>
        </w:rPr>
        <w:t xml:space="preserve"> Development (EIAR Volume I)</w:t>
      </w:r>
      <w:r w:rsidRPr="00DC7CF5">
        <w:t xml:space="preserve">. </w:t>
      </w:r>
      <w:r w:rsidRPr="00172582">
        <w:t>The Proposed Development consists of the construction of 1</w:t>
      </w:r>
      <w:r w:rsidR="00FE337F">
        <w:t>30</w:t>
      </w:r>
      <w:r w:rsidRPr="00172582">
        <w:t xml:space="preserve"> new homes</w:t>
      </w:r>
      <w:r w:rsidR="00A61A01">
        <w:t>, 2 no. senior and 1 no. junior grass pitches</w:t>
      </w:r>
      <w:r w:rsidR="000765C0">
        <w:t xml:space="preserve"> and associated </w:t>
      </w:r>
      <w:r w:rsidR="0030200B">
        <w:t>infrastructures</w:t>
      </w:r>
      <w:r w:rsidR="000765C0">
        <w:t xml:space="preserve"> (such as parking spaces, </w:t>
      </w:r>
      <w:r w:rsidR="0030200B">
        <w:t>access roads, landscapes, etc)</w:t>
      </w:r>
      <w:r w:rsidRPr="00172582">
        <w:t xml:space="preserve">. </w:t>
      </w:r>
    </w:p>
    <w:p w14:paraId="202886AD" w14:textId="2F69CA66" w:rsidR="00DC7CF5" w:rsidRDefault="00DC7CF5" w:rsidP="00DC7CF5">
      <w:pPr>
        <w:pStyle w:val="Heading3"/>
      </w:pPr>
      <w:r>
        <w:t xml:space="preserve"> </w:t>
      </w:r>
      <w:bookmarkStart w:id="70" w:name="_Toc238735941"/>
      <w:r>
        <w:t xml:space="preserve">Location and </w:t>
      </w:r>
      <w:r w:rsidR="00BB20BD">
        <w:t>R</w:t>
      </w:r>
      <w:r>
        <w:t>eceptors</w:t>
      </w:r>
      <w:bookmarkEnd w:id="70"/>
    </w:p>
    <w:p w14:paraId="5000470B" w14:textId="21B80BD4" w:rsidR="00DC7CF5" w:rsidRPr="00172582" w:rsidRDefault="00DC7CF5" w:rsidP="00172582">
      <w:pPr>
        <w:pStyle w:val="BodyText"/>
      </w:pPr>
      <w:r w:rsidRPr="00172582">
        <w:t xml:space="preserve">The Site </w:t>
      </w:r>
      <w:proofErr w:type="gramStart"/>
      <w:r w:rsidRPr="00172582">
        <w:t>is located in</w:t>
      </w:r>
      <w:proofErr w:type="gramEnd"/>
      <w:r w:rsidRPr="00172582">
        <w:t xml:space="preserve"> Rathcoole approximately 1</w:t>
      </w:r>
      <w:r w:rsidR="002D410D">
        <w:t>5</w:t>
      </w:r>
      <w:r w:rsidRPr="00172582">
        <w:t>km south</w:t>
      </w:r>
      <w:r w:rsidR="008A15E5">
        <w:t>-</w:t>
      </w:r>
      <w:r w:rsidRPr="00172582">
        <w:t xml:space="preserve">west of Dublin city centre. It is located </w:t>
      </w:r>
      <w:r w:rsidR="00292A2B">
        <w:t>adjacent</w:t>
      </w:r>
      <w:r w:rsidR="00EA4949">
        <w:t xml:space="preserve"> to</w:t>
      </w:r>
      <w:r w:rsidRPr="00172582">
        <w:t xml:space="preserve"> Rathcoole Park and </w:t>
      </w:r>
      <w:r w:rsidR="00BB20BD">
        <w:t xml:space="preserve">covers </w:t>
      </w:r>
      <w:r w:rsidRPr="00172582">
        <w:t>a small section of Rathcoole Woodland. There is existing residential area to the north and north</w:t>
      </w:r>
      <w:r w:rsidR="00BB20BD">
        <w:t>-</w:t>
      </w:r>
      <w:r w:rsidRPr="00172582">
        <w:t xml:space="preserve">west of the </w:t>
      </w:r>
      <w:r w:rsidR="00BB20BD">
        <w:t>Site</w:t>
      </w:r>
      <w:r w:rsidRPr="00172582">
        <w:t>.</w:t>
      </w:r>
      <w:r w:rsidR="00C1611F" w:rsidRPr="00172582">
        <w:t xml:space="preserve"> </w:t>
      </w:r>
    </w:p>
    <w:p w14:paraId="390524EE" w14:textId="2790B694" w:rsidR="00B23C69" w:rsidRDefault="00B23C69" w:rsidP="00172582">
      <w:pPr>
        <w:pStyle w:val="BodyText"/>
      </w:pPr>
      <w:r w:rsidRPr="00172582">
        <w:t xml:space="preserve">A description of the Site location is provided in </w:t>
      </w:r>
      <w:r w:rsidRPr="005442C3">
        <w:rPr>
          <w:b/>
        </w:rPr>
        <w:t xml:space="preserve">Chapter </w:t>
      </w:r>
      <w:r w:rsidR="00805990">
        <w:rPr>
          <w:b/>
        </w:rPr>
        <w:t>0</w:t>
      </w:r>
      <w:r w:rsidR="00805990">
        <w:rPr>
          <w:b/>
          <w:bCs/>
        </w:rPr>
        <w:t>2: Description of the Proposed</w:t>
      </w:r>
      <w:r w:rsidR="00805990" w:rsidRPr="00805990" w:rsidDel="00805990">
        <w:rPr>
          <w:b/>
        </w:rPr>
        <w:t xml:space="preserve"> </w:t>
      </w:r>
      <w:r w:rsidRPr="005442C3">
        <w:rPr>
          <w:b/>
        </w:rPr>
        <w:t>Development</w:t>
      </w:r>
      <w:r w:rsidRPr="00172582">
        <w:t xml:space="preserve"> (</w:t>
      </w:r>
      <w:r w:rsidRPr="005442C3">
        <w:rPr>
          <w:b/>
        </w:rPr>
        <w:t>EIAR Volume 1</w:t>
      </w:r>
      <w:r w:rsidRPr="00172582">
        <w:t>) alongside a summary of environmental receptors. Detailed descriptions of individual environmental receptors are contained within the appropriate technical sections of the EIAR Volume 1, particularly</w:t>
      </w:r>
      <w:r w:rsidR="007473D2" w:rsidRPr="00172582">
        <w:t xml:space="preserve"> </w:t>
      </w:r>
      <w:r w:rsidR="00F82CA8" w:rsidRPr="00F82CA8">
        <w:rPr>
          <w:b/>
          <w:bCs/>
        </w:rPr>
        <w:t>Chapter 05: Population and Human Health</w:t>
      </w:r>
      <w:r w:rsidR="00F82CA8">
        <w:t>,</w:t>
      </w:r>
      <w:r w:rsidR="00F82CA8" w:rsidRPr="00B23C69">
        <w:t xml:space="preserve"> </w:t>
      </w:r>
      <w:r w:rsidR="007473D2" w:rsidRPr="00F82CA8">
        <w:rPr>
          <w:b/>
          <w:bCs/>
        </w:rPr>
        <w:t>Chapter 06: Biodiversity</w:t>
      </w:r>
      <w:r w:rsidR="007473D2">
        <w:t>,</w:t>
      </w:r>
      <w:r w:rsidRPr="00B23C69">
        <w:t xml:space="preserve"> </w:t>
      </w:r>
      <w:r w:rsidRPr="00F82CA8">
        <w:rPr>
          <w:b/>
          <w:bCs/>
        </w:rPr>
        <w:t>Chapter 0</w:t>
      </w:r>
      <w:r w:rsidR="00A11FF2" w:rsidRPr="00F82CA8">
        <w:rPr>
          <w:b/>
          <w:bCs/>
        </w:rPr>
        <w:t>7</w:t>
      </w:r>
      <w:r w:rsidRPr="00F82CA8">
        <w:rPr>
          <w:b/>
          <w:bCs/>
        </w:rPr>
        <w:t>: Land</w:t>
      </w:r>
      <w:r w:rsidR="00A11FF2" w:rsidRPr="00F82CA8">
        <w:rPr>
          <w:b/>
          <w:bCs/>
        </w:rPr>
        <w:t xml:space="preserve">, </w:t>
      </w:r>
      <w:r w:rsidRPr="00F82CA8">
        <w:rPr>
          <w:b/>
          <w:bCs/>
        </w:rPr>
        <w:t>Soils</w:t>
      </w:r>
      <w:r w:rsidR="00A11FF2" w:rsidRPr="00F82CA8">
        <w:rPr>
          <w:b/>
          <w:bCs/>
        </w:rPr>
        <w:t xml:space="preserve"> and Geology</w:t>
      </w:r>
      <w:r w:rsidRPr="00B23C69">
        <w:t xml:space="preserve">, </w:t>
      </w:r>
      <w:r w:rsidRPr="00F82CA8">
        <w:rPr>
          <w:b/>
          <w:bCs/>
        </w:rPr>
        <w:t>Chapter 0</w:t>
      </w:r>
      <w:r w:rsidR="00A11FF2" w:rsidRPr="00F82CA8">
        <w:rPr>
          <w:b/>
          <w:bCs/>
        </w:rPr>
        <w:t>8</w:t>
      </w:r>
      <w:r w:rsidRPr="00F82CA8">
        <w:rPr>
          <w:b/>
          <w:bCs/>
        </w:rPr>
        <w:t>: Water</w:t>
      </w:r>
      <w:r w:rsidR="00A11FF2" w:rsidRPr="00F82CA8">
        <w:rPr>
          <w:b/>
          <w:bCs/>
        </w:rPr>
        <w:t xml:space="preserve"> and Hydrology</w:t>
      </w:r>
      <w:r w:rsidR="00F82CA8">
        <w:t xml:space="preserve"> </w:t>
      </w:r>
      <w:r w:rsidR="00F82CA8" w:rsidRPr="00B23C69">
        <w:t>and</w:t>
      </w:r>
      <w:r w:rsidRPr="00B23C69">
        <w:t xml:space="preserve"> </w:t>
      </w:r>
      <w:r w:rsidRPr="00F82CA8">
        <w:rPr>
          <w:b/>
          <w:bCs/>
        </w:rPr>
        <w:t>Chapter 1</w:t>
      </w:r>
      <w:r w:rsidR="007473D2" w:rsidRPr="00F82CA8">
        <w:rPr>
          <w:b/>
          <w:bCs/>
        </w:rPr>
        <w:t>0</w:t>
      </w:r>
      <w:r w:rsidRPr="00F82CA8">
        <w:rPr>
          <w:b/>
          <w:bCs/>
        </w:rPr>
        <w:t>: Climate</w:t>
      </w:r>
      <w:r w:rsidRPr="00B23C69">
        <w:t>.</w:t>
      </w:r>
    </w:p>
    <w:p w14:paraId="3AB84206" w14:textId="2216B773" w:rsidR="00C55045" w:rsidRDefault="00C55045" w:rsidP="00743568">
      <w:pPr>
        <w:pStyle w:val="Heading2"/>
      </w:pPr>
      <w:bookmarkStart w:id="71" w:name="_Toc238735942"/>
      <w:r>
        <w:t>Potential Impacts</w:t>
      </w:r>
      <w:bookmarkEnd w:id="71"/>
    </w:p>
    <w:p w14:paraId="73641C73" w14:textId="14576D47" w:rsidR="003013D2" w:rsidRDefault="003013D2" w:rsidP="003013D2">
      <w:pPr>
        <w:pStyle w:val="Heading3"/>
      </w:pPr>
      <w:bookmarkStart w:id="72" w:name="_Toc238735943"/>
      <w:r>
        <w:t>Construction</w:t>
      </w:r>
      <w:bookmarkEnd w:id="72"/>
    </w:p>
    <w:p w14:paraId="3D218C38" w14:textId="78A6AD58" w:rsidR="006C7A80" w:rsidRPr="00172582" w:rsidRDefault="00582B3F" w:rsidP="00172582">
      <w:pPr>
        <w:pStyle w:val="BodyText"/>
      </w:pPr>
      <w:r w:rsidRPr="00582B3F">
        <w:t>The identification of potential MA&amp;Ds during construction considers the nature and scale of the proposed construction activities, the materials and substances likely to be present on Site, and relevant external hazards that could affect the construction works</w:t>
      </w:r>
      <w:r w:rsidR="006C7A80" w:rsidRPr="00172582">
        <w:t>.</w:t>
      </w:r>
    </w:p>
    <w:p w14:paraId="7931A817" w14:textId="726186B9" w:rsidR="0051773F" w:rsidRDefault="0051773F" w:rsidP="00172582">
      <w:pPr>
        <w:pStyle w:val="BodyText"/>
      </w:pPr>
      <w:r w:rsidRPr="00172582">
        <w:t xml:space="preserve">The following substances may be present </w:t>
      </w:r>
      <w:r w:rsidR="009D67B6">
        <w:t xml:space="preserve">on Site </w:t>
      </w:r>
      <w:r w:rsidRPr="00172582">
        <w:t xml:space="preserve">during </w:t>
      </w:r>
      <w:r w:rsidR="009D67B6">
        <w:t xml:space="preserve">Proposed Development </w:t>
      </w:r>
      <w:r w:rsidRPr="00172582">
        <w:t>construction:</w:t>
      </w:r>
    </w:p>
    <w:p w14:paraId="43E1664A" w14:textId="2A0C5117" w:rsidR="002E3FCE" w:rsidRDefault="001849F0" w:rsidP="00BE226A">
      <w:pPr>
        <w:pStyle w:val="ListBullet"/>
        <w:numPr>
          <w:ilvl w:val="0"/>
          <w:numId w:val="38"/>
        </w:numPr>
      </w:pPr>
      <w:r w:rsidRPr="001849F0">
        <w:t xml:space="preserve">Construction materials such as liquid concrete which can be harmful to human health and the environment and </w:t>
      </w:r>
      <w:r w:rsidR="009D67B6">
        <w:t xml:space="preserve">which </w:t>
      </w:r>
      <w:r w:rsidR="002E0668">
        <w:t>wou</w:t>
      </w:r>
      <w:r w:rsidR="0063687B">
        <w:t>ld be</w:t>
      </w:r>
      <w:r w:rsidRPr="001849F0">
        <w:t xml:space="preserve"> present in significant quantities during construction where it is used to construct buildings, site surfacing, equipment supports and other assets</w:t>
      </w:r>
      <w:r w:rsidR="00191B4C">
        <w:t>. Potential MA</w:t>
      </w:r>
      <w:r w:rsidR="00631CF0">
        <w:t xml:space="preserve">&amp;Ds scenarios would be </w:t>
      </w:r>
      <w:r w:rsidR="009F51BB">
        <w:t xml:space="preserve">impact on the environment </w:t>
      </w:r>
      <w:r w:rsidR="00AF7EE5">
        <w:t>and human hea</w:t>
      </w:r>
      <w:r w:rsidR="00C86E23">
        <w:t xml:space="preserve">lth </w:t>
      </w:r>
      <w:r w:rsidR="009F51BB">
        <w:t>i</w:t>
      </w:r>
      <w:r w:rsidR="00170B6E">
        <w:t>f</w:t>
      </w:r>
      <w:r w:rsidR="009F51BB">
        <w:t xml:space="preserve"> storage and containment </w:t>
      </w:r>
      <w:r w:rsidR="00170B6E">
        <w:t xml:space="preserve">arrangements failed and resulted in a large release of </w:t>
      </w:r>
      <w:proofErr w:type="spellStart"/>
      <w:r w:rsidR="00B66CE2">
        <w:t>concrete.</w:t>
      </w:r>
      <w:r w:rsidR="00AF7EE5">
        <w:t>paste</w:t>
      </w:r>
      <w:proofErr w:type="spellEnd"/>
      <w:r w:rsidR="00AF7EE5">
        <w:t xml:space="preserve"> with high pH</w:t>
      </w:r>
      <w:r w:rsidR="0063687B">
        <w:t>;</w:t>
      </w:r>
    </w:p>
    <w:p w14:paraId="0861DCDC" w14:textId="362322B6" w:rsidR="001849F0" w:rsidRDefault="00D33A51" w:rsidP="00BE226A">
      <w:pPr>
        <w:pStyle w:val="ListBullet"/>
        <w:numPr>
          <w:ilvl w:val="0"/>
          <w:numId w:val="38"/>
        </w:numPr>
      </w:pPr>
      <w:r w:rsidRPr="00D33A51">
        <w:t xml:space="preserve">Diesel fuel may be present on </w:t>
      </w:r>
      <w:r w:rsidR="0063687B">
        <w:t>S</w:t>
      </w:r>
      <w:r w:rsidRPr="00D33A51">
        <w:t>ite to fuel vehicles and construction equipment</w:t>
      </w:r>
      <w:r w:rsidR="0063687B">
        <w:t xml:space="preserve"> - </w:t>
      </w:r>
      <w:r w:rsidRPr="00D33A51">
        <w:t>this material is flammable and toxic to the aquatic environment and may be present in small volume quantities during construction</w:t>
      </w:r>
      <w:r w:rsidR="0063687B">
        <w:t>;</w:t>
      </w:r>
    </w:p>
    <w:p w14:paraId="10ACB11E" w14:textId="7CF7802C" w:rsidR="00D33A51" w:rsidRDefault="004646B5" w:rsidP="00BE226A">
      <w:pPr>
        <w:pStyle w:val="ListBullet"/>
        <w:numPr>
          <w:ilvl w:val="0"/>
          <w:numId w:val="38"/>
        </w:numPr>
      </w:pPr>
      <w:r w:rsidRPr="004646B5">
        <w:t xml:space="preserve">Acetylene gas stored in compressed gas cylinders may be used for welding during construction activities at </w:t>
      </w:r>
      <w:r w:rsidR="0063687B">
        <w:t>the S</w:t>
      </w:r>
      <w:r w:rsidRPr="004646B5">
        <w:t>ite. This material is flammable and can potentially lead to explosions.</w:t>
      </w:r>
    </w:p>
    <w:p w14:paraId="49861AE5" w14:textId="3DFD12F1" w:rsidR="004646B5" w:rsidRDefault="002935CB" w:rsidP="000678C6">
      <w:pPr>
        <w:pStyle w:val="ListBullet"/>
        <w:tabs>
          <w:tab w:val="clear" w:pos="425"/>
        </w:tabs>
        <w:ind w:left="0" w:firstLine="0"/>
      </w:pPr>
      <w:r w:rsidRPr="002935CB">
        <w:t xml:space="preserve">The following construction activities </w:t>
      </w:r>
      <w:r w:rsidR="0063687B">
        <w:t xml:space="preserve">would </w:t>
      </w:r>
      <w:r w:rsidRPr="002935CB">
        <w:t>have hazards that could potentially lead to a MA&amp;D:</w:t>
      </w:r>
    </w:p>
    <w:p w14:paraId="00F2FEC3" w14:textId="7DFCB03B" w:rsidR="002935CB" w:rsidRPr="00BE226A" w:rsidRDefault="003F525D" w:rsidP="00BE226A">
      <w:pPr>
        <w:pStyle w:val="ListBullet"/>
        <w:numPr>
          <w:ilvl w:val="0"/>
          <w:numId w:val="39"/>
        </w:numPr>
      </w:pPr>
      <w:r w:rsidRPr="00BE226A">
        <w:t xml:space="preserve">Excavation, and construction of buildings and other structures </w:t>
      </w:r>
      <w:r w:rsidR="0063687B">
        <w:t>would</w:t>
      </w:r>
      <w:r w:rsidR="0063687B" w:rsidRPr="00BE226A">
        <w:t xml:space="preserve"> </w:t>
      </w:r>
      <w:r w:rsidRPr="00BE226A">
        <w:t>require the use of vehicles and tools</w:t>
      </w:r>
      <w:r w:rsidR="0063687B">
        <w:t xml:space="preserve"> - </w:t>
      </w:r>
      <w:r w:rsidRPr="00BE226A">
        <w:t xml:space="preserve">the hazards associated with </w:t>
      </w:r>
      <w:r w:rsidR="0063687B">
        <w:t xml:space="preserve">such </w:t>
      </w:r>
      <w:r w:rsidRPr="00BE226A">
        <w:t>activities include the potential for vehicle impact, particularly during reversing and vehicle overturning.</w:t>
      </w:r>
    </w:p>
    <w:p w14:paraId="3889F4EE" w14:textId="31E52485" w:rsidR="00ED44CC" w:rsidRPr="006C7A80" w:rsidRDefault="001728E5" w:rsidP="00172582">
      <w:pPr>
        <w:pStyle w:val="BodyText"/>
      </w:pPr>
      <w:r w:rsidRPr="001728E5">
        <w:t xml:space="preserve">The controls around construction works </w:t>
      </w:r>
      <w:r w:rsidR="0063687B">
        <w:t xml:space="preserve">would </w:t>
      </w:r>
      <w:r w:rsidRPr="001728E5">
        <w:t>be carefully managed via risk assessment to control the risks to people</w:t>
      </w:r>
      <w:r w:rsidR="00F02FCF">
        <w:t xml:space="preserve"> and</w:t>
      </w:r>
      <w:r w:rsidRPr="001728E5">
        <w:t xml:space="preserve"> the environment.</w:t>
      </w:r>
      <w:r w:rsidR="005031D0">
        <w:t xml:space="preserve"> </w:t>
      </w:r>
      <w:r w:rsidR="00ED44CC" w:rsidRPr="00ED44CC">
        <w:t xml:space="preserve">The </w:t>
      </w:r>
      <w:r w:rsidR="00083715">
        <w:t>environmental</w:t>
      </w:r>
      <w:r w:rsidR="00ED44CC" w:rsidRPr="00ED44CC">
        <w:t xml:space="preserve"> controls </w:t>
      </w:r>
      <w:r w:rsidR="005031D0">
        <w:t xml:space="preserve">would </w:t>
      </w:r>
      <w:r w:rsidR="00ED44CC" w:rsidRPr="00ED44CC">
        <w:t xml:space="preserve">be detailed in the Construction Environmental Management Plan (CEMP) and </w:t>
      </w:r>
      <w:r w:rsidR="00083715">
        <w:t xml:space="preserve">safety controls in the </w:t>
      </w:r>
      <w:r w:rsidR="00ED44CC" w:rsidRPr="00ED44CC">
        <w:t xml:space="preserve">associated method statements and risk assessments for the works which </w:t>
      </w:r>
      <w:r w:rsidR="005031D0">
        <w:t xml:space="preserve">would </w:t>
      </w:r>
      <w:r w:rsidR="00ED44CC" w:rsidRPr="00ED44CC">
        <w:t xml:space="preserve">be prepared by the appointed </w:t>
      </w:r>
      <w:r w:rsidR="005031D0">
        <w:t xml:space="preserve">construction </w:t>
      </w:r>
      <w:r w:rsidR="00ED44CC" w:rsidRPr="00ED44CC">
        <w:t>contractor (hereafter referred to as ‘the Contractor’).</w:t>
      </w:r>
    </w:p>
    <w:p w14:paraId="1C784101" w14:textId="094E0BE2" w:rsidR="00BA1205" w:rsidRDefault="00BA1205" w:rsidP="00BA1205">
      <w:pPr>
        <w:pStyle w:val="Heading3"/>
      </w:pPr>
      <w:bookmarkStart w:id="73" w:name="_Toc238735944"/>
      <w:r>
        <w:t>Operation</w:t>
      </w:r>
      <w:bookmarkEnd w:id="73"/>
    </w:p>
    <w:p w14:paraId="1F0E16E7" w14:textId="1A57FD77" w:rsidR="0065131C" w:rsidRDefault="0065131C" w:rsidP="0065131C">
      <w:pPr>
        <w:pStyle w:val="BodyText"/>
      </w:pPr>
      <w:r>
        <w:t xml:space="preserve">The Proposed Development </w:t>
      </w:r>
      <w:r w:rsidR="005031D0">
        <w:t xml:space="preserve">would </w:t>
      </w:r>
      <w:r>
        <w:t xml:space="preserve">comprise residential development, GAA pitches, a park pavilion and associated infrastructure. During operation, hazardous substances are not expected to be stored or used in quantities </w:t>
      </w:r>
      <w:r w:rsidR="005031D0">
        <w:t xml:space="preserve">at the Site </w:t>
      </w:r>
      <w:r>
        <w:t>that would give rise to a credible major accident scenario.</w:t>
      </w:r>
    </w:p>
    <w:p w14:paraId="641B2420" w14:textId="3373195E" w:rsidR="0065131C" w:rsidRPr="00ED44CC" w:rsidRDefault="0065131C" w:rsidP="0065131C">
      <w:pPr>
        <w:pStyle w:val="BodyText"/>
      </w:pPr>
      <w:r>
        <w:lastRenderedPageBreak/>
        <w:t>The operational assessment therefore considers credible MA&amp;D scenarios associated with the operation of the Proposed Development and its vulnerability to relevant external and natural hazards.</w:t>
      </w:r>
    </w:p>
    <w:p w14:paraId="3AED1111" w14:textId="58FD803B" w:rsidR="00F9195E" w:rsidRDefault="00F9195E" w:rsidP="00F9195E">
      <w:pPr>
        <w:pStyle w:val="Heading3"/>
      </w:pPr>
      <w:bookmarkStart w:id="74" w:name="_Toc238735945"/>
      <w:r>
        <w:t>Indirect, Secondary &amp; Transboundary Effects</w:t>
      </w:r>
      <w:bookmarkEnd w:id="74"/>
    </w:p>
    <w:p w14:paraId="269EB8CB" w14:textId="0A32AF59" w:rsidR="004102F6" w:rsidRDefault="004102F6" w:rsidP="004102F6">
      <w:pPr>
        <w:pStyle w:val="BodyText"/>
      </w:pPr>
      <w:r>
        <w:t>Indirect and secondary effects could arise where a major accident or disaster results in consequences beyond the immediate location of the event, for example through the release of pollutants to surface water, groundwater, soil or air, or through disruption to infrastructure and services. These potential effects are considered, where relevant, as part of the assessment of the individual Risk Events and associated environmental receptors.</w:t>
      </w:r>
    </w:p>
    <w:p w14:paraId="0E858EB8" w14:textId="2BCF94DA" w:rsidR="004102F6" w:rsidRPr="001D0DDB" w:rsidRDefault="004102F6" w:rsidP="004102F6">
      <w:pPr>
        <w:pStyle w:val="BodyText"/>
      </w:pPr>
      <w:r>
        <w:t>Given the nature and location of the Proposed Development and the types of MA&amp;D Risk Events identified, no significant transboundary effects are anticipated.</w:t>
      </w:r>
    </w:p>
    <w:p w14:paraId="771C8958" w14:textId="5CBEB982" w:rsidR="00B82BBF" w:rsidRDefault="00BE4DEB" w:rsidP="00BE4DEB">
      <w:pPr>
        <w:pStyle w:val="Heading3"/>
      </w:pPr>
      <w:bookmarkStart w:id="75" w:name="_Toc238735947"/>
      <w:r w:rsidRPr="00BE4DEB">
        <w:t>Identification of Potential Accidents</w:t>
      </w:r>
      <w:bookmarkEnd w:id="75"/>
    </w:p>
    <w:p w14:paraId="452BB576" w14:textId="4BE15BF0" w:rsidR="00076C79" w:rsidRPr="001D0DDB" w:rsidRDefault="00782668" w:rsidP="001D0DDB">
      <w:pPr>
        <w:pStyle w:val="BodyText"/>
      </w:pPr>
      <w:r w:rsidRPr="001D0DDB">
        <w:fldChar w:fldCharType="begin"/>
      </w:r>
      <w:r w:rsidRPr="001D0DDB">
        <w:instrText xml:space="preserve"> REF _Ref217043640 \h </w:instrText>
      </w:r>
      <w:r w:rsidR="001D0DDB">
        <w:instrText xml:space="preserve"> \* MERGEFORMAT </w:instrText>
      </w:r>
      <w:r w:rsidRPr="001D0DDB">
        <w:fldChar w:fldCharType="separate"/>
      </w:r>
      <w:r w:rsidR="00FE21B5" w:rsidRPr="008E7D8B">
        <w:t xml:space="preserve">Table </w:t>
      </w:r>
      <w:r w:rsidR="00FE21B5">
        <w:t>15</w:t>
      </w:r>
      <w:r w:rsidR="00FE21B5" w:rsidRPr="008E7D8B">
        <w:t>-</w:t>
      </w:r>
      <w:r w:rsidR="00FE21B5">
        <w:t>3</w:t>
      </w:r>
      <w:r w:rsidRPr="001D0DDB">
        <w:fldChar w:fldCharType="end"/>
      </w:r>
      <w:r w:rsidRPr="001D0DDB">
        <w:t xml:space="preserve"> </w:t>
      </w:r>
      <w:r w:rsidR="00DF17B5" w:rsidRPr="001D0DDB">
        <w:t xml:space="preserve">contains a review of the potential accident scenarios which involves the substances </w:t>
      </w:r>
      <w:r w:rsidR="003766B2">
        <w:t xml:space="preserve">to be </w:t>
      </w:r>
      <w:r w:rsidR="00DF17B5" w:rsidRPr="001D0DDB">
        <w:t xml:space="preserve">used during </w:t>
      </w:r>
      <w:r w:rsidR="00E13CA8">
        <w:t>construction</w:t>
      </w:r>
      <w:r w:rsidR="00DF17B5" w:rsidRPr="001D0DDB">
        <w:t xml:space="preserve"> of the Proposed Development, identifying </w:t>
      </w:r>
      <w:proofErr w:type="gramStart"/>
      <w:r w:rsidR="00DF17B5" w:rsidRPr="001D0DDB">
        <w:t>the means by which</w:t>
      </w:r>
      <w:proofErr w:type="gramEnd"/>
      <w:r w:rsidR="00DF17B5" w:rsidRPr="001D0DDB">
        <w:t xml:space="preserve"> a loss of containment may occur and </w:t>
      </w:r>
      <w:r w:rsidR="003D118C">
        <w:t xml:space="preserve">an </w:t>
      </w:r>
      <w:r w:rsidR="00DF17B5" w:rsidRPr="001D0DDB">
        <w:t>assess</w:t>
      </w:r>
      <w:r w:rsidR="003D118C">
        <w:t>ment of</w:t>
      </w:r>
      <w:r w:rsidR="00DF17B5" w:rsidRPr="001D0DDB">
        <w:t xml:space="preserve"> the likely significance of a release on human health, safety and the environment. The hazard codes of each substance are listed in accordance the Classification, Labelling and Packaging (CLP) Regulation (EC) No. 1272/2008</w:t>
      </w:r>
      <w:r w:rsidR="00C07F31" w:rsidRPr="001D0DDB">
        <w:t xml:space="preserve"> (EU, 2008)</w:t>
      </w:r>
      <w:r w:rsidR="00DF17B5" w:rsidRPr="001D0DDB">
        <w:t>. As the Proposed Development does not propose to store hazardous materials</w:t>
      </w:r>
      <w:r w:rsidR="00096AA8">
        <w:t xml:space="preserve"> during operation</w:t>
      </w:r>
      <w:r w:rsidR="00DF17B5" w:rsidRPr="001D0DDB">
        <w:t xml:space="preserve">, these scenarios are associated with </w:t>
      </w:r>
      <w:r w:rsidR="003D118C">
        <w:t xml:space="preserve">the </w:t>
      </w:r>
      <w:r w:rsidR="00DF17B5" w:rsidRPr="001D0DDB">
        <w:t>construction</w:t>
      </w:r>
      <w:r w:rsidR="00C430C9">
        <w:t xml:space="preserve"> </w:t>
      </w:r>
      <w:r w:rsidR="003D118C">
        <w:t xml:space="preserve">phase </w:t>
      </w:r>
      <w:r w:rsidR="00DF17B5" w:rsidRPr="001D0DDB">
        <w:t>only.</w:t>
      </w:r>
      <w:r w:rsidR="00076C79" w:rsidRPr="001D0DDB">
        <w:br w:type="page"/>
      </w:r>
    </w:p>
    <w:p w14:paraId="26E944E6" w14:textId="77777777" w:rsidR="00076C79" w:rsidRDefault="00076C79">
      <w:pPr>
        <w:tabs>
          <w:tab w:val="clear" w:pos="284"/>
        </w:tabs>
        <w:spacing w:line="240" w:lineRule="auto"/>
        <w:jc w:val="left"/>
        <w:sectPr w:rsidR="00076C79" w:rsidSect="00D2797C">
          <w:headerReference w:type="default" r:id="rId19"/>
          <w:footerReference w:type="default" r:id="rId20"/>
          <w:type w:val="continuous"/>
          <w:pgSz w:w="11906" w:h="16838"/>
          <w:pgMar w:top="1134" w:right="1134" w:bottom="851" w:left="1418" w:header="567" w:footer="284" w:gutter="0"/>
          <w:pgNumType w:start="1" w:chapStyle="1"/>
          <w:cols w:space="284"/>
          <w:docGrid w:linePitch="360"/>
        </w:sectPr>
      </w:pPr>
    </w:p>
    <w:p w14:paraId="04B11DC9" w14:textId="01DA89ED" w:rsidR="0036268A" w:rsidRPr="008E7D8B" w:rsidRDefault="0036268A" w:rsidP="0036268A">
      <w:pPr>
        <w:pStyle w:val="Caption"/>
      </w:pPr>
      <w:bookmarkStart w:id="76" w:name="_Ref217043640"/>
      <w:bookmarkStart w:id="77" w:name="_Toc238735965"/>
      <w:r w:rsidRPr="008E7D8B">
        <w:lastRenderedPageBreak/>
        <w:t xml:space="preserve">Table </w:t>
      </w:r>
      <w:r>
        <w:fldChar w:fldCharType="begin"/>
      </w:r>
      <w:r>
        <w:instrText>STYLEREF 1 \s</w:instrText>
      </w:r>
      <w:r>
        <w:fldChar w:fldCharType="separate"/>
      </w:r>
      <w:r w:rsidR="00FE21B5">
        <w:rPr>
          <w:noProof/>
        </w:rPr>
        <w:t>15</w:t>
      </w:r>
      <w:r>
        <w:fldChar w:fldCharType="end"/>
      </w:r>
      <w:r w:rsidRPr="008E7D8B">
        <w:t>-</w:t>
      </w:r>
      <w:r>
        <w:fldChar w:fldCharType="begin"/>
      </w:r>
      <w:r>
        <w:instrText>SEQ Table \* ARABIC \s 1</w:instrText>
      </w:r>
      <w:r>
        <w:fldChar w:fldCharType="separate"/>
      </w:r>
      <w:r w:rsidR="00FE21B5">
        <w:rPr>
          <w:noProof/>
        </w:rPr>
        <w:t>3</w:t>
      </w:r>
      <w:r>
        <w:fldChar w:fldCharType="end"/>
      </w:r>
      <w:bookmarkEnd w:id="76"/>
      <w:r w:rsidRPr="008E7D8B">
        <w:t>:</w:t>
      </w:r>
      <w:r w:rsidR="009E04D0" w:rsidRPr="008E7D8B">
        <w:t xml:space="preserve"> Identification of Credible Major Accident Scenarios</w:t>
      </w:r>
      <w:r w:rsidR="00C430C9">
        <w:t xml:space="preserve"> (Construction)</w:t>
      </w:r>
      <w:bookmarkEnd w:id="77"/>
    </w:p>
    <w:tbl>
      <w:tblPr>
        <w:tblStyle w:val="AECOMtable"/>
        <w:tblW w:w="22098" w:type="dxa"/>
        <w:tblLayout w:type="fixed"/>
        <w:tblLook w:val="04A0" w:firstRow="1" w:lastRow="0" w:firstColumn="1" w:lastColumn="0" w:noHBand="0" w:noVBand="1"/>
      </w:tblPr>
      <w:tblGrid>
        <w:gridCol w:w="1243"/>
        <w:gridCol w:w="273"/>
        <w:gridCol w:w="2227"/>
        <w:gridCol w:w="85"/>
        <w:gridCol w:w="1814"/>
        <w:gridCol w:w="454"/>
        <w:gridCol w:w="561"/>
        <w:gridCol w:w="3833"/>
        <w:gridCol w:w="729"/>
        <w:gridCol w:w="405"/>
        <w:gridCol w:w="850"/>
        <w:gridCol w:w="993"/>
        <w:gridCol w:w="6804"/>
        <w:gridCol w:w="469"/>
        <w:gridCol w:w="1083"/>
        <w:gridCol w:w="275"/>
      </w:tblGrid>
      <w:tr w:rsidR="00D776C0" w:rsidRPr="00675E38" w14:paraId="1FEBF0C4" w14:textId="77777777" w:rsidTr="00CB06AE">
        <w:trPr>
          <w:gridAfter w:val="1"/>
          <w:cnfStyle w:val="100000000000" w:firstRow="1" w:lastRow="0" w:firstColumn="0" w:lastColumn="0" w:oddVBand="0" w:evenVBand="0" w:oddHBand="0" w:evenHBand="0" w:firstRowFirstColumn="0" w:firstRowLastColumn="0" w:lastRowFirstColumn="0" w:lastRowLastColumn="0"/>
          <w:wAfter w:w="275" w:type="dxa"/>
          <w:tblHeader/>
        </w:trPr>
        <w:tc>
          <w:tcPr>
            <w:tcW w:w="1243" w:type="dxa"/>
          </w:tcPr>
          <w:p w14:paraId="19D048B1" w14:textId="172EB0BC" w:rsidR="00D776C0" w:rsidRPr="00675E38" w:rsidRDefault="00D776C0">
            <w:pPr>
              <w:pStyle w:val="Tabletext"/>
            </w:pPr>
            <w:bookmarkStart w:id="78" w:name="TableHeader" w:colFirst="0" w:colLast="0"/>
            <w:r w:rsidRPr="00675E38">
              <w:t xml:space="preserve">Substance </w:t>
            </w:r>
          </w:p>
        </w:tc>
        <w:tc>
          <w:tcPr>
            <w:tcW w:w="2585" w:type="dxa"/>
            <w:gridSpan w:val="3"/>
          </w:tcPr>
          <w:p w14:paraId="66816944" w14:textId="22B9C4A9" w:rsidR="00D776C0" w:rsidRPr="00675E38" w:rsidRDefault="00D776C0">
            <w:pPr>
              <w:pStyle w:val="Tabletext"/>
            </w:pPr>
            <w:r w:rsidRPr="00675E38">
              <w:t>Description of Use</w:t>
            </w:r>
          </w:p>
        </w:tc>
        <w:tc>
          <w:tcPr>
            <w:tcW w:w="2268" w:type="dxa"/>
            <w:gridSpan w:val="2"/>
          </w:tcPr>
          <w:p w14:paraId="0DB05409" w14:textId="5B697985" w:rsidR="00D776C0" w:rsidRPr="00675E38" w:rsidRDefault="00D776C0" w:rsidP="00CB06AE">
            <w:pPr>
              <w:pStyle w:val="Tabletext"/>
              <w:jc w:val="left"/>
            </w:pPr>
            <w:r w:rsidRPr="00675E38">
              <w:t>CLP Hazard Classification</w:t>
            </w:r>
          </w:p>
        </w:tc>
        <w:tc>
          <w:tcPr>
            <w:tcW w:w="4394" w:type="dxa"/>
            <w:gridSpan w:val="2"/>
          </w:tcPr>
          <w:p w14:paraId="2598559C" w14:textId="586C7430" w:rsidR="00D776C0" w:rsidRPr="00675E38" w:rsidRDefault="00D776C0">
            <w:pPr>
              <w:pStyle w:val="Tabletext"/>
            </w:pPr>
            <w:r w:rsidRPr="00675E38">
              <w:t>Risk Effect</w:t>
            </w:r>
          </w:p>
        </w:tc>
        <w:tc>
          <w:tcPr>
            <w:tcW w:w="1134" w:type="dxa"/>
            <w:gridSpan w:val="2"/>
            <w:tcBorders>
              <w:bottom w:val="single" w:sz="4" w:space="0" w:color="auto"/>
            </w:tcBorders>
          </w:tcPr>
          <w:p w14:paraId="11F37111" w14:textId="5EBF7FC4" w:rsidR="00D776C0" w:rsidRPr="00675E38" w:rsidRDefault="00D776C0" w:rsidP="00CB06AE">
            <w:pPr>
              <w:pStyle w:val="Tabletext"/>
              <w:jc w:val="center"/>
            </w:pPr>
            <w:r w:rsidRPr="00675E38">
              <w:t>Likelihood</w:t>
            </w:r>
          </w:p>
        </w:tc>
        <w:tc>
          <w:tcPr>
            <w:tcW w:w="850" w:type="dxa"/>
            <w:tcBorders>
              <w:bottom w:val="single" w:sz="4" w:space="0" w:color="auto"/>
            </w:tcBorders>
          </w:tcPr>
          <w:p w14:paraId="4181D927" w14:textId="384C91B0" w:rsidR="00D776C0" w:rsidRPr="00675E38" w:rsidRDefault="00D776C0" w:rsidP="00CB06AE">
            <w:pPr>
              <w:pStyle w:val="Tabletext"/>
              <w:jc w:val="center"/>
            </w:pPr>
            <w:r w:rsidRPr="00675E38">
              <w:t>Impact</w:t>
            </w:r>
          </w:p>
        </w:tc>
        <w:tc>
          <w:tcPr>
            <w:tcW w:w="993" w:type="dxa"/>
            <w:tcBorders>
              <w:bottom w:val="single" w:sz="4" w:space="0" w:color="auto"/>
            </w:tcBorders>
          </w:tcPr>
          <w:p w14:paraId="24456E66" w14:textId="6DA503BE" w:rsidR="00D776C0" w:rsidRPr="00675E38" w:rsidRDefault="00D776C0" w:rsidP="00CB06AE">
            <w:pPr>
              <w:pStyle w:val="Tabletext"/>
              <w:jc w:val="center"/>
            </w:pPr>
            <w:r>
              <w:t>Risk</w:t>
            </w:r>
          </w:p>
        </w:tc>
        <w:tc>
          <w:tcPr>
            <w:tcW w:w="6804" w:type="dxa"/>
          </w:tcPr>
          <w:p w14:paraId="33BC20E2" w14:textId="3BB5896D" w:rsidR="00D776C0" w:rsidRPr="00675E38" w:rsidRDefault="000C07D7">
            <w:pPr>
              <w:pStyle w:val="Tabletext"/>
            </w:pPr>
            <w:r>
              <w:t>Screening and Identification of Potential Major Accid</w:t>
            </w:r>
            <w:r w:rsidR="00A7000A">
              <w:t>ent Hazards</w:t>
            </w:r>
          </w:p>
        </w:tc>
        <w:tc>
          <w:tcPr>
            <w:tcW w:w="1552" w:type="dxa"/>
            <w:gridSpan w:val="2"/>
          </w:tcPr>
          <w:p w14:paraId="40949A30" w14:textId="3F873826" w:rsidR="00D776C0" w:rsidRPr="00675E38" w:rsidRDefault="00D776C0">
            <w:pPr>
              <w:pStyle w:val="Tabletext"/>
            </w:pPr>
            <w:r w:rsidRPr="00675E38">
              <w:t>Further Assessment Required (Y/ N)</w:t>
            </w:r>
          </w:p>
        </w:tc>
      </w:tr>
      <w:tr w:rsidR="00D776C0" w:rsidRPr="00675E38" w14:paraId="2B61EE5C" w14:textId="77777777" w:rsidTr="00CB06AE">
        <w:trPr>
          <w:gridAfter w:val="1"/>
          <w:wAfter w:w="275" w:type="dxa"/>
          <w:trHeight w:val="225"/>
        </w:trPr>
        <w:tc>
          <w:tcPr>
            <w:tcW w:w="1243" w:type="dxa"/>
          </w:tcPr>
          <w:p w14:paraId="39805410" w14:textId="110960EA" w:rsidR="00D776C0" w:rsidRPr="00675E38" w:rsidRDefault="00D776C0">
            <w:pPr>
              <w:pStyle w:val="Tabletext"/>
              <w:rPr>
                <w:b/>
                <w:bCs/>
              </w:rPr>
            </w:pPr>
            <w:bookmarkStart w:id="79" w:name="TableText" w:colFirst="0" w:colLast="0"/>
            <w:bookmarkEnd w:id="78"/>
            <w:r w:rsidRPr="00675E38">
              <w:rPr>
                <w:b/>
                <w:bCs/>
              </w:rPr>
              <w:t>Concrete</w:t>
            </w:r>
          </w:p>
        </w:tc>
        <w:tc>
          <w:tcPr>
            <w:tcW w:w="2585" w:type="dxa"/>
            <w:gridSpan w:val="3"/>
          </w:tcPr>
          <w:p w14:paraId="0B25C0E2" w14:textId="1F90DFCE" w:rsidR="00D776C0" w:rsidRPr="00675E38" w:rsidRDefault="00D776C0" w:rsidP="00675E38">
            <w:pPr>
              <w:pStyle w:val="Tabletext"/>
              <w:jc w:val="left"/>
            </w:pPr>
            <w:r w:rsidRPr="00675E38">
              <w:t xml:space="preserve">Liquid concrete </w:t>
            </w:r>
            <w:r w:rsidR="00194569">
              <w:t>would</w:t>
            </w:r>
            <w:r w:rsidR="00194569" w:rsidRPr="00675E38">
              <w:t xml:space="preserve"> </w:t>
            </w:r>
            <w:r w:rsidRPr="00675E38">
              <w:t>be used in the construction of new facilities at the Proposed Development including buildings, surfacing and containment systems.</w:t>
            </w:r>
          </w:p>
        </w:tc>
        <w:tc>
          <w:tcPr>
            <w:tcW w:w="2268" w:type="dxa"/>
            <w:gridSpan w:val="2"/>
          </w:tcPr>
          <w:p w14:paraId="42655420" w14:textId="3E65DFAF" w:rsidR="00D776C0" w:rsidRPr="00675E38" w:rsidRDefault="00D776C0" w:rsidP="00495AE4">
            <w:pPr>
              <w:pStyle w:val="Tabletext"/>
            </w:pPr>
            <w:r w:rsidRPr="00675E38">
              <w:t>Typically, non-classified in accordance with CLP.</w:t>
            </w:r>
          </w:p>
        </w:tc>
        <w:tc>
          <w:tcPr>
            <w:tcW w:w="4394" w:type="dxa"/>
            <w:gridSpan w:val="2"/>
            <w:tcBorders>
              <w:right w:val="nil"/>
            </w:tcBorders>
          </w:tcPr>
          <w:p w14:paraId="42C20F15" w14:textId="77777777" w:rsidR="00D776C0" w:rsidRPr="00675E38" w:rsidRDefault="00D776C0" w:rsidP="005765B1">
            <w:pPr>
              <w:pStyle w:val="Tabletext"/>
            </w:pPr>
            <w:r w:rsidRPr="00675E38">
              <w:t xml:space="preserve">Concrete is not classified hazardous in accordance with CLP; however, concrete paste is alkaline (pH 10-14) and therefore harmful to people if in contact with skin or eyes. </w:t>
            </w:r>
          </w:p>
          <w:p w14:paraId="29C96D86" w14:textId="77777777" w:rsidR="00D776C0" w:rsidRPr="00675E38" w:rsidRDefault="00D776C0" w:rsidP="005765B1">
            <w:pPr>
              <w:pStyle w:val="Tabletext"/>
            </w:pPr>
            <w:r w:rsidRPr="00675E38">
              <w:t>If concrete enters the environment via a release to water, it can raise the pH causing harm to aquatic ecosystems. Concrete released to the environment can also cause sedimentation on aquatic beds, which could harm flora and fauna.</w:t>
            </w:r>
          </w:p>
          <w:p w14:paraId="2F7B7FCD" w14:textId="77777777" w:rsidR="00D776C0" w:rsidRPr="00675E38" w:rsidRDefault="00D776C0" w:rsidP="005765B1">
            <w:pPr>
              <w:pStyle w:val="Tabletext"/>
            </w:pPr>
            <w:r w:rsidRPr="00675E38">
              <w:t xml:space="preserve">In the event of an accidental release occurring during construction, concrete/cement can raise the pH if released to water. </w:t>
            </w:r>
          </w:p>
          <w:p w14:paraId="27F96E1E" w14:textId="56EB259F" w:rsidR="00D776C0" w:rsidRPr="00675E38" w:rsidRDefault="00D776C0" w:rsidP="009A2C9B">
            <w:pPr>
              <w:pStyle w:val="TableListBullet"/>
              <w:numPr>
                <w:ilvl w:val="0"/>
                <w:numId w:val="0"/>
              </w:numPr>
              <w:ind w:left="284"/>
              <w:rPr>
                <w:sz w:val="18"/>
              </w:rPr>
            </w:pPr>
          </w:p>
        </w:tc>
        <w:tc>
          <w:tcPr>
            <w:tcW w:w="1134" w:type="dxa"/>
            <w:gridSpan w:val="2"/>
            <w:tcBorders>
              <w:top w:val="single" w:sz="4" w:space="0" w:color="auto"/>
              <w:left w:val="nil"/>
              <w:bottom w:val="single" w:sz="4" w:space="0" w:color="auto"/>
              <w:right w:val="nil"/>
            </w:tcBorders>
          </w:tcPr>
          <w:p w14:paraId="68525C35" w14:textId="668DFDA5" w:rsidR="00D776C0" w:rsidRPr="00675E38" w:rsidRDefault="00D776C0" w:rsidP="00C62572">
            <w:pPr>
              <w:pStyle w:val="Tabletext"/>
              <w:jc w:val="center"/>
            </w:pPr>
            <w:r w:rsidRPr="00675E38">
              <w:t>3</w:t>
            </w:r>
          </w:p>
        </w:tc>
        <w:tc>
          <w:tcPr>
            <w:tcW w:w="850" w:type="dxa"/>
            <w:tcBorders>
              <w:top w:val="single" w:sz="4" w:space="0" w:color="auto"/>
              <w:left w:val="nil"/>
              <w:bottom w:val="single" w:sz="4" w:space="0" w:color="auto"/>
              <w:right w:val="nil"/>
            </w:tcBorders>
          </w:tcPr>
          <w:p w14:paraId="7D20C3BE" w14:textId="4BB3A0C2" w:rsidR="00D776C0" w:rsidRPr="00675E38" w:rsidRDefault="00D776C0" w:rsidP="00C62572">
            <w:pPr>
              <w:pStyle w:val="Tabletext"/>
              <w:jc w:val="center"/>
            </w:pPr>
            <w:r w:rsidRPr="00675E38">
              <w:t>2</w:t>
            </w:r>
          </w:p>
        </w:tc>
        <w:tc>
          <w:tcPr>
            <w:tcW w:w="993" w:type="dxa"/>
            <w:tcBorders>
              <w:top w:val="single" w:sz="4" w:space="0" w:color="auto"/>
              <w:left w:val="nil"/>
              <w:bottom w:val="single" w:sz="4" w:space="0" w:color="auto"/>
              <w:right w:val="nil"/>
            </w:tcBorders>
          </w:tcPr>
          <w:p w14:paraId="6075EC46" w14:textId="0279CB2D" w:rsidR="00D776C0" w:rsidRPr="00675E38" w:rsidRDefault="00A7000A" w:rsidP="00CB06AE">
            <w:pPr>
              <w:pStyle w:val="Tabletext"/>
              <w:jc w:val="center"/>
            </w:pPr>
            <w:r>
              <w:t>6</w:t>
            </w:r>
          </w:p>
        </w:tc>
        <w:tc>
          <w:tcPr>
            <w:tcW w:w="6804" w:type="dxa"/>
            <w:tcBorders>
              <w:left w:val="nil"/>
            </w:tcBorders>
          </w:tcPr>
          <w:p w14:paraId="588F9DC3" w14:textId="77777777" w:rsidR="0016331B" w:rsidRPr="005C41A4" w:rsidRDefault="0016331B" w:rsidP="0016331B">
            <w:pPr>
              <w:pStyle w:val="Tabletext"/>
            </w:pPr>
            <w:r w:rsidRPr="005C41A4">
              <w:t>Concrete is not classified</w:t>
            </w:r>
            <w:r>
              <w:t xml:space="preserve"> as</w:t>
            </w:r>
            <w:r w:rsidRPr="005C41A4">
              <w:t xml:space="preserve"> hazardous in accordance with CLP; however, concrete paste is alkaline (pH 10-14) and therefore harmful to people if in contact with skin or eyes. </w:t>
            </w:r>
          </w:p>
          <w:p w14:paraId="18A415B0" w14:textId="77777777" w:rsidR="0016331B" w:rsidRPr="005C41A4" w:rsidRDefault="0016331B" w:rsidP="0016331B">
            <w:pPr>
              <w:pStyle w:val="Tabletext"/>
            </w:pPr>
            <w:r w:rsidRPr="005C41A4">
              <w:t>If concrete enters the environment via a release to water, it can raise the pH causing harm to aquatic ecosystems. Concrete released to the environment can also cause sedimentation on aquatic beds, which could harm flora and fauna.</w:t>
            </w:r>
          </w:p>
          <w:p w14:paraId="69E0BE3A" w14:textId="77777777" w:rsidR="0016331B" w:rsidRPr="005C41A4" w:rsidRDefault="0016331B" w:rsidP="0016331B">
            <w:pPr>
              <w:pStyle w:val="Tabletext"/>
            </w:pPr>
            <w:r w:rsidRPr="005C41A4">
              <w:t xml:space="preserve">In the event of an accidental release occurring during construction, concrete/cement can raise the pH if released to water. </w:t>
            </w:r>
          </w:p>
          <w:p w14:paraId="5CA7A16D" w14:textId="64342C9B" w:rsidR="00D776C0" w:rsidRDefault="00D776C0">
            <w:pPr>
              <w:pStyle w:val="Tabletext"/>
              <w:jc w:val="left"/>
            </w:pPr>
            <w:r w:rsidRPr="00675E38">
              <w:t>Containment systems to intercept any material released will be developed and implemented during construction in line with the CEMP preventing concrete reaching aquatic environments.</w:t>
            </w:r>
          </w:p>
          <w:p w14:paraId="16147F15" w14:textId="6E693511" w:rsidR="0016331B" w:rsidRDefault="0016331B" w:rsidP="0016331B">
            <w:pPr>
              <w:pStyle w:val="Tabletext"/>
            </w:pPr>
            <w:r>
              <w:t>Residual liquids and solids will be removed from site by an appropriately authorised waste contractor for disposal at an authorised waste disposal facility</w:t>
            </w:r>
            <w:r w:rsidR="00BC4961">
              <w:t>.</w:t>
            </w:r>
            <w:r w:rsidRPr="00594DF1">
              <w:t xml:space="preserve"> </w:t>
            </w:r>
          </w:p>
          <w:p w14:paraId="121451F2" w14:textId="7439E486" w:rsidR="0016331B" w:rsidRPr="00675E38" w:rsidRDefault="0016331B">
            <w:pPr>
              <w:pStyle w:val="Tabletext"/>
              <w:jc w:val="left"/>
            </w:pPr>
            <w:r w:rsidRPr="00594DF1">
              <w:t>This scenario is therefore not considered further in this assessment.</w:t>
            </w:r>
          </w:p>
        </w:tc>
        <w:tc>
          <w:tcPr>
            <w:tcW w:w="1552" w:type="dxa"/>
            <w:gridSpan w:val="2"/>
          </w:tcPr>
          <w:p w14:paraId="4459280A" w14:textId="26D2B970" w:rsidR="00D776C0" w:rsidRPr="00675E38" w:rsidRDefault="00D776C0" w:rsidP="003A3F3C">
            <w:pPr>
              <w:pStyle w:val="Tabletext"/>
              <w:jc w:val="center"/>
              <w:rPr>
                <w:b/>
                <w:bCs/>
              </w:rPr>
            </w:pPr>
            <w:r w:rsidRPr="00675E38">
              <w:rPr>
                <w:b/>
                <w:bCs/>
              </w:rPr>
              <w:t>N</w:t>
            </w:r>
          </w:p>
        </w:tc>
      </w:tr>
      <w:tr w:rsidR="00D776C0" w:rsidRPr="00675E38" w14:paraId="6AC92382" w14:textId="77777777" w:rsidTr="00CB06AE">
        <w:trPr>
          <w:trHeight w:val="225"/>
        </w:trPr>
        <w:tc>
          <w:tcPr>
            <w:tcW w:w="1243" w:type="dxa"/>
          </w:tcPr>
          <w:p w14:paraId="369C3F72" w14:textId="029BCA5C" w:rsidR="00D776C0" w:rsidRPr="00675E38" w:rsidRDefault="00D776C0">
            <w:pPr>
              <w:pStyle w:val="Tabletext"/>
              <w:rPr>
                <w:b/>
                <w:bCs/>
              </w:rPr>
            </w:pPr>
            <w:r w:rsidRPr="00675E38">
              <w:rPr>
                <w:b/>
                <w:bCs/>
              </w:rPr>
              <w:t xml:space="preserve">Diesel </w:t>
            </w:r>
          </w:p>
        </w:tc>
        <w:tc>
          <w:tcPr>
            <w:tcW w:w="2585" w:type="dxa"/>
            <w:gridSpan w:val="3"/>
          </w:tcPr>
          <w:p w14:paraId="233AB7CE" w14:textId="6504AF93" w:rsidR="00D776C0" w:rsidRPr="00675E38" w:rsidRDefault="00D776C0" w:rsidP="00675E38">
            <w:pPr>
              <w:pStyle w:val="Tabletext"/>
              <w:jc w:val="left"/>
            </w:pPr>
            <w:r w:rsidRPr="00675E38">
              <w:t>Diesel fuel may be present during construction of the Proposed Development to fuel vehicles and construction equipment</w:t>
            </w:r>
            <w:r w:rsidR="00194569">
              <w:t>.</w:t>
            </w:r>
          </w:p>
        </w:tc>
        <w:tc>
          <w:tcPr>
            <w:tcW w:w="2268" w:type="dxa"/>
            <w:gridSpan w:val="2"/>
          </w:tcPr>
          <w:p w14:paraId="49A07310" w14:textId="77777777" w:rsidR="00D776C0" w:rsidRPr="00675E38" w:rsidRDefault="00D776C0" w:rsidP="00CB06AE">
            <w:pPr>
              <w:pStyle w:val="Tabletext"/>
              <w:jc w:val="left"/>
            </w:pPr>
            <w:r w:rsidRPr="00675E38">
              <w:t xml:space="preserve">H226 - Flammable liquid and vapour. </w:t>
            </w:r>
          </w:p>
          <w:p w14:paraId="2B6B19B0" w14:textId="77777777" w:rsidR="00D776C0" w:rsidRPr="00675E38" w:rsidRDefault="00D776C0" w:rsidP="00CB06AE">
            <w:pPr>
              <w:pStyle w:val="Tabletext"/>
              <w:jc w:val="left"/>
            </w:pPr>
            <w:r w:rsidRPr="00675E38">
              <w:t xml:space="preserve">H304 - May be fatal if swallowed and enters airways. </w:t>
            </w:r>
          </w:p>
          <w:p w14:paraId="46C530F4" w14:textId="77777777" w:rsidR="00D776C0" w:rsidRPr="00675E38" w:rsidRDefault="00D776C0" w:rsidP="00CB06AE">
            <w:pPr>
              <w:pStyle w:val="Tabletext"/>
              <w:jc w:val="left"/>
            </w:pPr>
            <w:r w:rsidRPr="00675E38">
              <w:t xml:space="preserve">H315 - Causes skin irritation. </w:t>
            </w:r>
          </w:p>
          <w:p w14:paraId="15F3ED70" w14:textId="77777777" w:rsidR="00D776C0" w:rsidRPr="00675E38" w:rsidRDefault="00D776C0" w:rsidP="00CB06AE">
            <w:pPr>
              <w:pStyle w:val="Tabletext"/>
              <w:jc w:val="left"/>
            </w:pPr>
            <w:r w:rsidRPr="00675E38">
              <w:t xml:space="preserve">H332 - Harmful if inhaled. </w:t>
            </w:r>
          </w:p>
          <w:p w14:paraId="49E8B1A3" w14:textId="77777777" w:rsidR="00D776C0" w:rsidRPr="00675E38" w:rsidRDefault="00D776C0" w:rsidP="00CB06AE">
            <w:pPr>
              <w:pStyle w:val="Tabletext"/>
              <w:jc w:val="left"/>
            </w:pPr>
            <w:r w:rsidRPr="00675E38">
              <w:t xml:space="preserve">H350 – May cause cancer. </w:t>
            </w:r>
          </w:p>
          <w:p w14:paraId="7EF38CC8" w14:textId="77777777" w:rsidR="00D776C0" w:rsidRPr="00675E38" w:rsidRDefault="00D776C0" w:rsidP="00CB06AE">
            <w:pPr>
              <w:pStyle w:val="Tabletext"/>
              <w:jc w:val="left"/>
            </w:pPr>
            <w:r w:rsidRPr="00675E38">
              <w:t>H373 - May cause damage to organs.</w:t>
            </w:r>
          </w:p>
          <w:p w14:paraId="606CDB4D" w14:textId="77777777" w:rsidR="00D776C0" w:rsidRPr="00675E38" w:rsidRDefault="00D776C0" w:rsidP="00CB06AE">
            <w:pPr>
              <w:pStyle w:val="Tabletext"/>
              <w:jc w:val="left"/>
            </w:pPr>
            <w:r w:rsidRPr="00675E38">
              <w:t xml:space="preserve">H410 - Very toxic. </w:t>
            </w:r>
          </w:p>
          <w:p w14:paraId="1EAA26F1" w14:textId="4B26028C" w:rsidR="00D776C0" w:rsidRPr="00675E38" w:rsidRDefault="00D776C0" w:rsidP="00CB06AE">
            <w:pPr>
              <w:pStyle w:val="Tabletext"/>
              <w:jc w:val="left"/>
            </w:pPr>
            <w:r w:rsidRPr="00675E38">
              <w:t>to aquatic life with long lasting effects.</w:t>
            </w:r>
          </w:p>
        </w:tc>
        <w:tc>
          <w:tcPr>
            <w:tcW w:w="4394" w:type="dxa"/>
            <w:gridSpan w:val="2"/>
            <w:tcBorders>
              <w:right w:val="nil"/>
            </w:tcBorders>
          </w:tcPr>
          <w:p w14:paraId="4AB3300D" w14:textId="77777777" w:rsidR="00D776C0" w:rsidRPr="00675E38" w:rsidRDefault="00D776C0" w:rsidP="00896FA4">
            <w:pPr>
              <w:pStyle w:val="Tabletext"/>
            </w:pPr>
            <w:r w:rsidRPr="00675E38">
              <w:t xml:space="preserve">In the event of accidental damage to a diesel storage tank, there is the potential for a release of gas oil (diesel) to the surrounding area. If it is released, gas oil (diesel) has the potential to cause a major accident, as it can cause major disturbances to the soil and groundwater due to its high toxicity. </w:t>
            </w:r>
          </w:p>
          <w:p w14:paraId="31C825FE" w14:textId="40A03131" w:rsidR="00D776C0" w:rsidRPr="00675E38" w:rsidRDefault="00D776C0" w:rsidP="00DA7CBA">
            <w:pPr>
              <w:pStyle w:val="TableListBullet"/>
              <w:numPr>
                <w:ilvl w:val="0"/>
                <w:numId w:val="0"/>
              </w:numPr>
              <w:rPr>
                <w:sz w:val="18"/>
              </w:rPr>
            </w:pPr>
            <w:r w:rsidRPr="005442C3">
              <w:rPr>
                <w:sz w:val="18"/>
              </w:rPr>
              <w:t>If gas oil (diesel) vapour is ignited, this can result in a pool fire which has the potential to cause harm to people via thermal radiation and inhalation of smoke, this fire may also spread to nearby equipment containing flammable material such as diesel fuel, this may cause subsequent fires/ explosions. The impact of a pool fire within a storage tank bund would be restricted to the Site, as high levels of thermal radiation would be unlikely at offsite receptors.</w:t>
            </w:r>
          </w:p>
        </w:tc>
        <w:tc>
          <w:tcPr>
            <w:tcW w:w="1134" w:type="dxa"/>
            <w:gridSpan w:val="2"/>
            <w:tcBorders>
              <w:top w:val="single" w:sz="4" w:space="0" w:color="auto"/>
              <w:left w:val="nil"/>
              <w:bottom w:val="single" w:sz="4" w:space="0" w:color="auto"/>
              <w:right w:val="nil"/>
            </w:tcBorders>
          </w:tcPr>
          <w:p w14:paraId="7A6E6F7D" w14:textId="11A981F6" w:rsidR="00D776C0" w:rsidRPr="00675E38" w:rsidRDefault="00AE45D4" w:rsidP="00C62572">
            <w:pPr>
              <w:pStyle w:val="Tabletext"/>
              <w:jc w:val="center"/>
            </w:pPr>
            <w:r>
              <w:t>3</w:t>
            </w:r>
          </w:p>
        </w:tc>
        <w:tc>
          <w:tcPr>
            <w:tcW w:w="850" w:type="dxa"/>
            <w:tcBorders>
              <w:top w:val="single" w:sz="4" w:space="0" w:color="auto"/>
              <w:left w:val="nil"/>
              <w:bottom w:val="single" w:sz="4" w:space="0" w:color="auto"/>
              <w:right w:val="nil"/>
            </w:tcBorders>
          </w:tcPr>
          <w:p w14:paraId="61ED2F26" w14:textId="780F3FC1" w:rsidR="00D776C0" w:rsidRPr="00675E38" w:rsidRDefault="00D776C0" w:rsidP="00C62572">
            <w:pPr>
              <w:pStyle w:val="Tabletext"/>
              <w:jc w:val="center"/>
            </w:pPr>
            <w:r w:rsidRPr="00675E38">
              <w:t>2</w:t>
            </w:r>
          </w:p>
        </w:tc>
        <w:tc>
          <w:tcPr>
            <w:tcW w:w="993" w:type="dxa"/>
            <w:tcBorders>
              <w:top w:val="single" w:sz="4" w:space="0" w:color="auto"/>
              <w:left w:val="nil"/>
              <w:bottom w:val="single" w:sz="4" w:space="0" w:color="auto"/>
              <w:right w:val="nil"/>
            </w:tcBorders>
          </w:tcPr>
          <w:p w14:paraId="4E9E8818" w14:textId="659839AF" w:rsidR="00D776C0" w:rsidRPr="00675E38" w:rsidRDefault="00AE45D4" w:rsidP="00CB06AE">
            <w:pPr>
              <w:pStyle w:val="Tabletext"/>
              <w:jc w:val="center"/>
            </w:pPr>
            <w:r>
              <w:t>6</w:t>
            </w:r>
          </w:p>
        </w:tc>
        <w:tc>
          <w:tcPr>
            <w:tcW w:w="7273" w:type="dxa"/>
            <w:gridSpan w:val="2"/>
            <w:tcBorders>
              <w:left w:val="nil"/>
            </w:tcBorders>
          </w:tcPr>
          <w:p w14:paraId="20728CFB" w14:textId="13E69E9B" w:rsidR="00D776C0" w:rsidRPr="00675E38" w:rsidRDefault="00D776C0" w:rsidP="00124CC4">
            <w:pPr>
              <w:pStyle w:val="Tabletext"/>
            </w:pPr>
            <w:r w:rsidRPr="00675E38">
              <w:t xml:space="preserve">As detailed in </w:t>
            </w:r>
            <w:r w:rsidRPr="00675E38">
              <w:rPr>
                <w:b/>
                <w:bCs/>
              </w:rPr>
              <w:t xml:space="preserve">Chapter 03 </w:t>
            </w:r>
            <w:r w:rsidRPr="00675E38">
              <w:t>(Need for Development) and the CEMP, the embedded mitigation measures include:</w:t>
            </w:r>
          </w:p>
          <w:p w14:paraId="65972AA2" w14:textId="77777777" w:rsidR="00D776C0" w:rsidRPr="00675E38" w:rsidRDefault="00D776C0" w:rsidP="00DA7CBA">
            <w:pPr>
              <w:pStyle w:val="TableListBullet"/>
              <w:jc w:val="left"/>
              <w:rPr>
                <w:sz w:val="18"/>
              </w:rPr>
            </w:pPr>
            <w:r w:rsidRPr="00675E38">
              <w:rPr>
                <w:sz w:val="18"/>
              </w:rPr>
              <w:t>Use of diesel alternatives (e.g. hybrid excavators, electric mobile elevated work platforms (MEWPs), battery storage for generators, etc) where possible to reduce fuel consumption, fuel handling risk, carbon emissions and noise levels;</w:t>
            </w:r>
          </w:p>
          <w:p w14:paraId="734B848E" w14:textId="77777777" w:rsidR="00D776C0" w:rsidRPr="00675E38" w:rsidRDefault="00D776C0" w:rsidP="00DA7CBA">
            <w:pPr>
              <w:pStyle w:val="TableListBullet"/>
              <w:jc w:val="left"/>
              <w:rPr>
                <w:sz w:val="18"/>
              </w:rPr>
            </w:pPr>
            <w:r w:rsidRPr="00675E38">
              <w:rPr>
                <w:sz w:val="18"/>
              </w:rPr>
              <w:t>Offsite refuelling of regular road-going vehicles;</w:t>
            </w:r>
          </w:p>
          <w:p w14:paraId="33293785" w14:textId="77777777" w:rsidR="00D776C0" w:rsidRPr="00675E38" w:rsidRDefault="00D776C0" w:rsidP="00DA7CBA">
            <w:pPr>
              <w:pStyle w:val="TableListBullet"/>
              <w:jc w:val="left"/>
              <w:rPr>
                <w:sz w:val="18"/>
              </w:rPr>
            </w:pPr>
            <w:r w:rsidRPr="00675E38">
              <w:rPr>
                <w:sz w:val="18"/>
              </w:rPr>
              <w:t>Offsite refilling of a mobile double-skinned fuel bowser/fuel truck;</w:t>
            </w:r>
          </w:p>
          <w:p w14:paraId="4F43AD93" w14:textId="77777777" w:rsidR="00D776C0" w:rsidRDefault="00D776C0" w:rsidP="00DA7CBA">
            <w:pPr>
              <w:pStyle w:val="TableListBullet"/>
              <w:jc w:val="left"/>
              <w:rPr>
                <w:sz w:val="18"/>
              </w:rPr>
            </w:pPr>
            <w:r w:rsidRPr="00675E38">
              <w:rPr>
                <w:sz w:val="18"/>
              </w:rPr>
              <w:t>Onsite refuelling of site construction plant by trained, competent operators from the mobile double-skinned fuel bowser/fuel truck; and</w:t>
            </w:r>
          </w:p>
          <w:p w14:paraId="7266CC72" w14:textId="115F5FB3" w:rsidR="00D776C0" w:rsidRPr="00675E38" w:rsidRDefault="00D776C0" w:rsidP="00DA7CBA">
            <w:pPr>
              <w:pStyle w:val="TableListBullet"/>
              <w:jc w:val="left"/>
              <w:rPr>
                <w:sz w:val="18"/>
              </w:rPr>
            </w:pPr>
            <w:r w:rsidRPr="00675E38">
              <w:rPr>
                <w:sz w:val="18"/>
              </w:rPr>
              <w:t xml:space="preserve">Fuel bowser </w:t>
            </w:r>
            <w:r w:rsidR="00BE64D2">
              <w:rPr>
                <w:sz w:val="18"/>
              </w:rPr>
              <w:t>to</w:t>
            </w:r>
            <w:r w:rsidR="00BE64D2" w:rsidRPr="00675E38">
              <w:rPr>
                <w:sz w:val="18"/>
              </w:rPr>
              <w:t xml:space="preserve"> </w:t>
            </w:r>
            <w:r w:rsidRPr="00675E38">
              <w:rPr>
                <w:sz w:val="18"/>
              </w:rPr>
              <w:t>be parked on a level bunded area in the construction compound when not in use.</w:t>
            </w:r>
          </w:p>
          <w:p w14:paraId="24DAF6DD" w14:textId="5969D0C6" w:rsidR="00D776C0" w:rsidRPr="00675E38" w:rsidRDefault="0016331B">
            <w:pPr>
              <w:pStyle w:val="Tabletext"/>
              <w:jc w:val="left"/>
            </w:pPr>
            <w:r>
              <w:t>V</w:t>
            </w:r>
            <w:r w:rsidR="00D776C0" w:rsidRPr="00675E38">
              <w:t xml:space="preserve">olumes of diesel to be held onsite are likely to be relatively low and stored in bunded storage tank. </w:t>
            </w:r>
            <w:r w:rsidRPr="00594DF1">
              <w:t>This scenario is therefore not considered further in this assessment.</w:t>
            </w:r>
          </w:p>
        </w:tc>
        <w:tc>
          <w:tcPr>
            <w:tcW w:w="1358" w:type="dxa"/>
            <w:gridSpan w:val="2"/>
          </w:tcPr>
          <w:p w14:paraId="45EE874B" w14:textId="01CAF387" w:rsidR="00D776C0" w:rsidRPr="00675E38" w:rsidRDefault="00D776C0" w:rsidP="003A3F3C">
            <w:pPr>
              <w:pStyle w:val="Tabletext"/>
              <w:jc w:val="center"/>
              <w:rPr>
                <w:b/>
                <w:bCs/>
              </w:rPr>
            </w:pPr>
            <w:r w:rsidRPr="00675E38">
              <w:rPr>
                <w:b/>
                <w:bCs/>
              </w:rPr>
              <w:t>N</w:t>
            </w:r>
          </w:p>
        </w:tc>
      </w:tr>
      <w:tr w:rsidR="00D776C0" w:rsidRPr="00675E38" w14:paraId="3097E73F" w14:textId="77777777" w:rsidTr="00CB06AE">
        <w:trPr>
          <w:trHeight w:val="225"/>
        </w:trPr>
        <w:tc>
          <w:tcPr>
            <w:tcW w:w="1243" w:type="dxa"/>
          </w:tcPr>
          <w:p w14:paraId="1544B8E4" w14:textId="77777777" w:rsidR="00D776C0" w:rsidRPr="00675E38" w:rsidRDefault="00D776C0" w:rsidP="00B278FD">
            <w:pPr>
              <w:pStyle w:val="Tabletext"/>
              <w:rPr>
                <w:b/>
                <w:bCs/>
              </w:rPr>
            </w:pPr>
            <w:r w:rsidRPr="00675E38">
              <w:rPr>
                <w:b/>
                <w:bCs/>
              </w:rPr>
              <w:t xml:space="preserve">Compressed Gas Cylinders </w:t>
            </w:r>
          </w:p>
          <w:p w14:paraId="0875C79E" w14:textId="77777777" w:rsidR="00D776C0" w:rsidRPr="00675E38" w:rsidRDefault="00D776C0" w:rsidP="00B278FD">
            <w:pPr>
              <w:pStyle w:val="Tabletext"/>
              <w:rPr>
                <w:b/>
                <w:bCs/>
              </w:rPr>
            </w:pPr>
            <w:r w:rsidRPr="00675E38">
              <w:rPr>
                <w:b/>
                <w:bCs/>
              </w:rPr>
              <w:t>Typically</w:t>
            </w:r>
          </w:p>
          <w:p w14:paraId="2977A223" w14:textId="77777777" w:rsidR="00D776C0" w:rsidRPr="00675E38" w:rsidRDefault="00D776C0" w:rsidP="00B278FD">
            <w:pPr>
              <w:pStyle w:val="Tabletext"/>
              <w:rPr>
                <w:b/>
                <w:bCs/>
              </w:rPr>
            </w:pPr>
            <w:r w:rsidRPr="00675E38">
              <w:rPr>
                <w:b/>
                <w:bCs/>
              </w:rPr>
              <w:t xml:space="preserve">including: </w:t>
            </w:r>
          </w:p>
          <w:p w14:paraId="22577149" w14:textId="6D93D2DB" w:rsidR="00D776C0" w:rsidRPr="00675E38" w:rsidRDefault="00D776C0" w:rsidP="00B278FD">
            <w:pPr>
              <w:pStyle w:val="Tabletext"/>
              <w:rPr>
                <w:b/>
                <w:bCs/>
              </w:rPr>
            </w:pPr>
            <w:r w:rsidRPr="00675E38">
              <w:rPr>
                <w:b/>
                <w:bCs/>
              </w:rPr>
              <w:t>Acetylene</w:t>
            </w:r>
          </w:p>
        </w:tc>
        <w:tc>
          <w:tcPr>
            <w:tcW w:w="2585" w:type="dxa"/>
            <w:gridSpan w:val="3"/>
          </w:tcPr>
          <w:p w14:paraId="0FA1CBAC" w14:textId="3CCC131B" w:rsidR="00D776C0" w:rsidRPr="00675E38" w:rsidRDefault="00D776C0" w:rsidP="00091B2D">
            <w:pPr>
              <w:pStyle w:val="Tabletext"/>
              <w:jc w:val="left"/>
            </w:pPr>
            <w:r w:rsidRPr="00675E38">
              <w:t>During construction and maintenance activities, welding may be carried out using compressed gases such as acetylene and nitrogen.</w:t>
            </w:r>
          </w:p>
        </w:tc>
        <w:tc>
          <w:tcPr>
            <w:tcW w:w="2268" w:type="dxa"/>
            <w:gridSpan w:val="2"/>
          </w:tcPr>
          <w:p w14:paraId="7782FBB9" w14:textId="77777777" w:rsidR="00D776C0" w:rsidRPr="00675E38" w:rsidRDefault="00D776C0" w:rsidP="00CB06AE">
            <w:pPr>
              <w:pStyle w:val="Tabletext"/>
              <w:jc w:val="left"/>
            </w:pPr>
            <w:r w:rsidRPr="00675E38">
              <w:t>H220 - Extremely flammable gas</w:t>
            </w:r>
          </w:p>
          <w:p w14:paraId="4D0F4A45" w14:textId="76FFD347" w:rsidR="00D776C0" w:rsidRPr="00675E38" w:rsidRDefault="00D776C0" w:rsidP="00CB06AE">
            <w:pPr>
              <w:pStyle w:val="Tabletext"/>
              <w:jc w:val="left"/>
            </w:pPr>
            <w:r w:rsidRPr="00675E38">
              <w:t>H280 – Gas under pressure (all gas cylinders).</w:t>
            </w:r>
          </w:p>
        </w:tc>
        <w:tc>
          <w:tcPr>
            <w:tcW w:w="4394" w:type="dxa"/>
            <w:gridSpan w:val="2"/>
            <w:tcBorders>
              <w:right w:val="nil"/>
            </w:tcBorders>
          </w:tcPr>
          <w:p w14:paraId="44D4FBD5" w14:textId="77777777" w:rsidR="00D776C0" w:rsidRPr="00675E38" w:rsidRDefault="00D776C0" w:rsidP="00FC7CCC">
            <w:pPr>
              <w:pStyle w:val="Tabletext"/>
            </w:pPr>
            <w:r w:rsidRPr="00675E38">
              <w:t xml:space="preserve">The number of cylinders containing extremely flammable gas used on Site are expected to be relatively low. </w:t>
            </w:r>
          </w:p>
          <w:p w14:paraId="39CDF352" w14:textId="77777777" w:rsidR="00D776C0" w:rsidRPr="00675E38" w:rsidRDefault="00D776C0" w:rsidP="00FC7CCC">
            <w:pPr>
              <w:pStyle w:val="Tabletext"/>
            </w:pPr>
            <w:r w:rsidRPr="00675E38">
              <w:t xml:space="preserve">In the event of accidental damage to a gas cylinder, pressure regulator or associated pipework, there is the potential for a release of gas. If the gas released is ignited, this could result in a fire/ explosion. </w:t>
            </w:r>
          </w:p>
          <w:p w14:paraId="2CFC5B92" w14:textId="77777777" w:rsidR="00D776C0" w:rsidRPr="00675E38" w:rsidRDefault="00D776C0" w:rsidP="00FC7CCC">
            <w:pPr>
              <w:pStyle w:val="Tabletext"/>
            </w:pPr>
            <w:r w:rsidRPr="00675E38">
              <w:t xml:space="preserve">In the event of a fire onsite which escalates to areas where gas cylinders are stored, there is the potential for an explosion if the cylinders are exposed to thermal radiation. </w:t>
            </w:r>
          </w:p>
          <w:p w14:paraId="6851AE27" w14:textId="77777777" w:rsidR="00D776C0" w:rsidRPr="00675E38" w:rsidRDefault="00D776C0" w:rsidP="00FC7CCC">
            <w:pPr>
              <w:pStyle w:val="Tabletext"/>
            </w:pPr>
            <w:r w:rsidRPr="00675E38">
              <w:t xml:space="preserve">The consequences of a fire/ explosion could include harm to people if present in the vicinity of the cylinder(s) and damage to assets, potentially interrupting operation of The Proposed Development. </w:t>
            </w:r>
          </w:p>
          <w:p w14:paraId="441A9A99" w14:textId="77777777" w:rsidR="00D776C0" w:rsidRPr="00675E38" w:rsidRDefault="00D776C0" w:rsidP="00BB5F8E">
            <w:pPr>
              <w:pStyle w:val="TableListBullet"/>
              <w:numPr>
                <w:ilvl w:val="0"/>
                <w:numId w:val="0"/>
              </w:numPr>
              <w:ind w:left="284" w:hanging="284"/>
              <w:rPr>
                <w:sz w:val="18"/>
              </w:rPr>
            </w:pPr>
          </w:p>
          <w:p w14:paraId="040F5584" w14:textId="77777777" w:rsidR="00D776C0" w:rsidRPr="00675E38" w:rsidRDefault="00D776C0" w:rsidP="00BB5F8E">
            <w:pPr>
              <w:pStyle w:val="TableListBullet"/>
              <w:numPr>
                <w:ilvl w:val="0"/>
                <w:numId w:val="0"/>
              </w:numPr>
              <w:ind w:left="284" w:hanging="284"/>
              <w:rPr>
                <w:sz w:val="18"/>
              </w:rPr>
            </w:pPr>
          </w:p>
          <w:p w14:paraId="70A802BA" w14:textId="77777777" w:rsidR="00D776C0" w:rsidRPr="00675E38" w:rsidRDefault="00D776C0" w:rsidP="00BB5F8E">
            <w:pPr>
              <w:pStyle w:val="TableListBullet"/>
              <w:numPr>
                <w:ilvl w:val="0"/>
                <w:numId w:val="0"/>
              </w:numPr>
              <w:ind w:left="284" w:hanging="284"/>
              <w:rPr>
                <w:sz w:val="18"/>
              </w:rPr>
            </w:pPr>
          </w:p>
          <w:p w14:paraId="58B8A4C0" w14:textId="3DB945A8" w:rsidR="00D776C0" w:rsidRPr="00675E38" w:rsidRDefault="00D776C0" w:rsidP="00675E38">
            <w:pPr>
              <w:pStyle w:val="TableListBullet"/>
              <w:numPr>
                <w:ilvl w:val="0"/>
                <w:numId w:val="0"/>
              </w:numPr>
              <w:ind w:left="284"/>
              <w:rPr>
                <w:sz w:val="18"/>
              </w:rPr>
            </w:pPr>
          </w:p>
        </w:tc>
        <w:tc>
          <w:tcPr>
            <w:tcW w:w="1134" w:type="dxa"/>
            <w:gridSpan w:val="2"/>
            <w:tcBorders>
              <w:top w:val="single" w:sz="4" w:space="0" w:color="auto"/>
              <w:left w:val="nil"/>
              <w:bottom w:val="single" w:sz="4" w:space="0" w:color="auto"/>
              <w:right w:val="nil"/>
            </w:tcBorders>
          </w:tcPr>
          <w:p w14:paraId="36B5B104" w14:textId="51029F61" w:rsidR="00D776C0" w:rsidRPr="00675E38" w:rsidRDefault="00AE45D4" w:rsidP="00C62572">
            <w:pPr>
              <w:pStyle w:val="Tabletext"/>
              <w:jc w:val="center"/>
            </w:pPr>
            <w:r>
              <w:t>3</w:t>
            </w:r>
          </w:p>
        </w:tc>
        <w:tc>
          <w:tcPr>
            <w:tcW w:w="850" w:type="dxa"/>
            <w:tcBorders>
              <w:top w:val="single" w:sz="4" w:space="0" w:color="auto"/>
              <w:left w:val="nil"/>
              <w:bottom w:val="single" w:sz="4" w:space="0" w:color="auto"/>
              <w:right w:val="nil"/>
            </w:tcBorders>
          </w:tcPr>
          <w:p w14:paraId="79AEFD58" w14:textId="54B549EB" w:rsidR="00D776C0" w:rsidRPr="00675E38" w:rsidRDefault="00D776C0" w:rsidP="00C62572">
            <w:pPr>
              <w:pStyle w:val="Tabletext"/>
              <w:jc w:val="center"/>
            </w:pPr>
            <w:r w:rsidRPr="00675E38">
              <w:t>2</w:t>
            </w:r>
          </w:p>
        </w:tc>
        <w:tc>
          <w:tcPr>
            <w:tcW w:w="993" w:type="dxa"/>
            <w:tcBorders>
              <w:top w:val="single" w:sz="4" w:space="0" w:color="auto"/>
              <w:left w:val="nil"/>
              <w:bottom w:val="single" w:sz="4" w:space="0" w:color="auto"/>
              <w:right w:val="nil"/>
            </w:tcBorders>
          </w:tcPr>
          <w:p w14:paraId="59FB6027" w14:textId="2E94F060" w:rsidR="00D776C0" w:rsidRPr="00675E38" w:rsidRDefault="0016331B" w:rsidP="00CB06AE">
            <w:pPr>
              <w:pStyle w:val="Tabletext"/>
              <w:jc w:val="center"/>
            </w:pPr>
            <w:r>
              <w:t>6</w:t>
            </w:r>
          </w:p>
        </w:tc>
        <w:tc>
          <w:tcPr>
            <w:tcW w:w="7273" w:type="dxa"/>
            <w:gridSpan w:val="2"/>
            <w:tcBorders>
              <w:left w:val="nil"/>
            </w:tcBorders>
          </w:tcPr>
          <w:p w14:paraId="33DC99AC" w14:textId="77777777" w:rsidR="0016331B" w:rsidRPr="00E86D01" w:rsidRDefault="0016331B" w:rsidP="0016331B">
            <w:pPr>
              <w:pStyle w:val="Tabletext"/>
              <w:rPr>
                <w:bCs/>
              </w:rPr>
            </w:pPr>
            <w:r w:rsidRPr="00E86D01">
              <w:rPr>
                <w:bCs/>
              </w:rPr>
              <w:t xml:space="preserve">The number of cylinders containing extremely flammable gas used on Site are expected to be relatively low. </w:t>
            </w:r>
          </w:p>
          <w:p w14:paraId="31003C5E" w14:textId="77777777" w:rsidR="0016331B" w:rsidRPr="00E86D01" w:rsidRDefault="0016331B" w:rsidP="0016331B">
            <w:pPr>
              <w:pStyle w:val="Tabletext"/>
              <w:rPr>
                <w:bCs/>
              </w:rPr>
            </w:pPr>
            <w:r w:rsidRPr="00E86D01">
              <w:rPr>
                <w:bCs/>
              </w:rPr>
              <w:t xml:space="preserve">In the event of accidental damage to a gas cylinder, pressure regulator or associated pipework, there is the potential for a release of gas. If the gas released is ignited, this could result in a fire/ explosion. </w:t>
            </w:r>
          </w:p>
          <w:p w14:paraId="7118B6AA" w14:textId="77777777" w:rsidR="0016331B" w:rsidRPr="00E86D01" w:rsidRDefault="0016331B" w:rsidP="0016331B">
            <w:pPr>
              <w:pStyle w:val="Tabletext"/>
              <w:rPr>
                <w:bCs/>
              </w:rPr>
            </w:pPr>
            <w:r w:rsidRPr="00E86D01">
              <w:rPr>
                <w:bCs/>
              </w:rPr>
              <w:t xml:space="preserve">In the event of a fire onsite which escalates to areas where gas cylinders are stored, there is the potential for an explosion if the cylinders are exposed to thermal radiation. </w:t>
            </w:r>
          </w:p>
          <w:p w14:paraId="5C2493C3" w14:textId="2D8FB6C4" w:rsidR="0016331B" w:rsidRPr="00E86D01" w:rsidRDefault="0016331B" w:rsidP="0016331B">
            <w:pPr>
              <w:pStyle w:val="Tabletext"/>
              <w:rPr>
                <w:bCs/>
              </w:rPr>
            </w:pPr>
            <w:r w:rsidRPr="00E86D01">
              <w:rPr>
                <w:bCs/>
              </w:rPr>
              <w:t xml:space="preserve">The consequences of a fire/ explosion could include harm to people if present in the vicinity of the cylinder(s) and damage to assets, potentially interrupting </w:t>
            </w:r>
            <w:r>
              <w:rPr>
                <w:bCs/>
              </w:rPr>
              <w:t>construction</w:t>
            </w:r>
            <w:r w:rsidRPr="00E86D01">
              <w:rPr>
                <w:bCs/>
              </w:rPr>
              <w:t xml:space="preserve"> of </w:t>
            </w:r>
            <w:r w:rsidR="00F46D27">
              <w:rPr>
                <w:bCs/>
              </w:rPr>
              <w:t>t</w:t>
            </w:r>
            <w:r w:rsidRPr="00E86D01">
              <w:rPr>
                <w:bCs/>
              </w:rPr>
              <w:t xml:space="preserve">he Proposed Development. </w:t>
            </w:r>
          </w:p>
          <w:p w14:paraId="2C0BFEED" w14:textId="221EC426" w:rsidR="00D776C0" w:rsidRDefault="00D776C0" w:rsidP="00FC7CCC">
            <w:pPr>
              <w:pStyle w:val="Tabletext"/>
            </w:pPr>
            <w:r w:rsidRPr="00675E38">
              <w:t xml:space="preserve">Industry standard procedures will be used for the storage and use of gas cylinders which reduce the risk associated with these systems to a low level. When not in use, cylinders will be stored in external, well-ventilated areas and when in use, appropriately certified equipment will reduce the potential for ignition if a flammable gas is accidentally released. </w:t>
            </w:r>
          </w:p>
          <w:p w14:paraId="177DE10B" w14:textId="1E70BAD7" w:rsidR="0016331B" w:rsidRPr="00675E38" w:rsidRDefault="0016331B" w:rsidP="00FC7CCC">
            <w:pPr>
              <w:pStyle w:val="Tabletext"/>
            </w:pPr>
            <w:r w:rsidRPr="00E86D01">
              <w:rPr>
                <w:bCs/>
              </w:rPr>
              <w:t xml:space="preserve">Taking into consideration the likely small quantities of flammable gas stored in cylinders which will be present on-site and the safety and security measures which will be in place to store and use this material safely, it is considered that no credible major accident scenarios exist for these substances and are therefore not considered further in this assessment.  </w:t>
            </w:r>
          </w:p>
          <w:p w14:paraId="06B54F48" w14:textId="4B7B1864" w:rsidR="00D776C0" w:rsidRPr="00675E38" w:rsidRDefault="00D776C0" w:rsidP="00091B2D">
            <w:pPr>
              <w:pStyle w:val="Tabletext"/>
              <w:jc w:val="left"/>
            </w:pPr>
          </w:p>
        </w:tc>
        <w:tc>
          <w:tcPr>
            <w:tcW w:w="1358" w:type="dxa"/>
            <w:gridSpan w:val="2"/>
          </w:tcPr>
          <w:p w14:paraId="62E970C3" w14:textId="555A0642" w:rsidR="00D776C0" w:rsidRPr="00675E38" w:rsidRDefault="00D776C0" w:rsidP="003A3F3C">
            <w:pPr>
              <w:pStyle w:val="Tabletext"/>
              <w:jc w:val="center"/>
              <w:rPr>
                <w:b/>
                <w:bCs/>
              </w:rPr>
            </w:pPr>
            <w:r w:rsidRPr="00675E38">
              <w:rPr>
                <w:b/>
                <w:bCs/>
              </w:rPr>
              <w:t>N</w:t>
            </w:r>
          </w:p>
        </w:tc>
      </w:tr>
      <w:tr w:rsidR="00D776C0" w:rsidRPr="00675E38" w14:paraId="35530EC0" w14:textId="2A576494" w:rsidTr="00CB06AE">
        <w:trPr>
          <w:gridAfter w:val="7"/>
          <w:wAfter w:w="10879" w:type="dxa"/>
          <w:trHeight w:val="224"/>
        </w:trPr>
        <w:tc>
          <w:tcPr>
            <w:tcW w:w="1516" w:type="dxa"/>
            <w:gridSpan w:val="2"/>
          </w:tcPr>
          <w:p w14:paraId="1FF10049" w14:textId="77777777" w:rsidR="00D776C0" w:rsidRPr="00675E38" w:rsidRDefault="00D776C0">
            <w:pPr>
              <w:pStyle w:val="Tabletext"/>
              <w:rPr>
                <w:i/>
                <w:iCs/>
              </w:rPr>
            </w:pPr>
          </w:p>
        </w:tc>
        <w:tc>
          <w:tcPr>
            <w:tcW w:w="2227" w:type="dxa"/>
          </w:tcPr>
          <w:p w14:paraId="31E2BAB1" w14:textId="77777777" w:rsidR="00D776C0" w:rsidRPr="00675E38" w:rsidRDefault="00D776C0">
            <w:pPr>
              <w:pStyle w:val="Tabletext"/>
            </w:pPr>
          </w:p>
        </w:tc>
        <w:tc>
          <w:tcPr>
            <w:tcW w:w="1899" w:type="dxa"/>
            <w:gridSpan w:val="2"/>
          </w:tcPr>
          <w:p w14:paraId="606B8342" w14:textId="77777777" w:rsidR="00D776C0" w:rsidRPr="00675E38" w:rsidRDefault="00D776C0">
            <w:pPr>
              <w:pStyle w:val="Tabletext"/>
            </w:pPr>
          </w:p>
        </w:tc>
        <w:tc>
          <w:tcPr>
            <w:tcW w:w="1015" w:type="dxa"/>
            <w:gridSpan w:val="2"/>
          </w:tcPr>
          <w:p w14:paraId="39EB0730" w14:textId="77777777" w:rsidR="00D776C0" w:rsidRPr="00675E38" w:rsidRDefault="00D776C0">
            <w:pPr>
              <w:pStyle w:val="Tabletext"/>
            </w:pPr>
          </w:p>
        </w:tc>
        <w:tc>
          <w:tcPr>
            <w:tcW w:w="4562" w:type="dxa"/>
            <w:gridSpan w:val="2"/>
          </w:tcPr>
          <w:p w14:paraId="75BA4E31" w14:textId="77777777" w:rsidR="00D776C0" w:rsidRPr="00675E38" w:rsidRDefault="00D776C0">
            <w:pPr>
              <w:pStyle w:val="Tabletext"/>
            </w:pPr>
          </w:p>
        </w:tc>
      </w:tr>
    </w:tbl>
    <w:p w14:paraId="16B8F6E4" w14:textId="77777777" w:rsidR="0016331B" w:rsidRDefault="0016331B" w:rsidP="00C430C9">
      <w:pPr>
        <w:pStyle w:val="Caption"/>
      </w:pPr>
      <w:bookmarkStart w:id="80" w:name="_Ref223288658"/>
      <w:bookmarkEnd w:id="79"/>
    </w:p>
    <w:p w14:paraId="5F350AA5" w14:textId="77777777" w:rsidR="0016331B" w:rsidRDefault="0016331B">
      <w:pPr>
        <w:tabs>
          <w:tab w:val="clear" w:pos="284"/>
        </w:tabs>
        <w:spacing w:line="240" w:lineRule="auto"/>
        <w:jc w:val="left"/>
        <w:rPr>
          <w:rFonts w:asciiTheme="majorHAnsi" w:hAnsiTheme="majorHAnsi"/>
          <w:b/>
          <w:bCs/>
          <w:color w:val="008768" w:themeColor="accent1"/>
        </w:rPr>
      </w:pPr>
      <w:r>
        <w:br w:type="page"/>
      </w:r>
    </w:p>
    <w:bookmarkEnd w:id="80"/>
    <w:p w14:paraId="2ADB4598" w14:textId="77777777" w:rsidR="00C430C9" w:rsidRDefault="00C430C9" w:rsidP="00C430C9">
      <w:pPr>
        <w:pStyle w:val="BodyText"/>
        <w:sectPr w:rsidR="00C430C9" w:rsidSect="00DA7CBA">
          <w:headerReference w:type="default" r:id="rId21"/>
          <w:footerReference w:type="default" r:id="rId22"/>
          <w:pgSz w:w="23808" w:h="16840" w:orient="landscape" w:code="8"/>
          <w:pgMar w:top="1418" w:right="1134" w:bottom="1134" w:left="851" w:header="567" w:footer="284" w:gutter="0"/>
          <w:pgNumType w:chapStyle="1"/>
          <w:cols w:space="284"/>
          <w:docGrid w:linePitch="360"/>
        </w:sectPr>
      </w:pPr>
    </w:p>
    <w:p w14:paraId="351D6E63" w14:textId="64AB7C86" w:rsidR="00DB7FA7" w:rsidRDefault="00DB7FA7" w:rsidP="00DB7FA7">
      <w:pPr>
        <w:pStyle w:val="Heading3"/>
      </w:pPr>
      <w:bookmarkStart w:id="81" w:name="_Toc238735948"/>
      <w:r w:rsidRPr="00DB7FA7">
        <w:lastRenderedPageBreak/>
        <w:t>Identification of Potential Disasters</w:t>
      </w:r>
      <w:bookmarkEnd w:id="81"/>
    </w:p>
    <w:p w14:paraId="49D75CB0" w14:textId="04AFFA29" w:rsidR="004C2825" w:rsidRDefault="004C2825" w:rsidP="004C2825">
      <w:pPr>
        <w:pStyle w:val="BodyText"/>
      </w:pPr>
      <w:r w:rsidRPr="004C2825">
        <w:t xml:space="preserve">The vulnerability of the Proposed Development to natural disasters such as flooding, earthquakes and the impact of climate change is substantially dependant on </w:t>
      </w:r>
      <w:r w:rsidR="00A72E32">
        <w:t xml:space="preserve">its </w:t>
      </w:r>
      <w:r w:rsidRPr="004C2825">
        <w:t>location. For example, highly unlikely events such as seismic events at the location of the Proposed Development have the potential to cause significant damage to assets and infrastructure.</w:t>
      </w:r>
    </w:p>
    <w:p w14:paraId="28BCC5C1" w14:textId="2B15BA08" w:rsidR="004C2825" w:rsidRDefault="00BA33F4" w:rsidP="004C2825">
      <w:pPr>
        <w:pStyle w:val="BodyText"/>
      </w:pPr>
      <w:r w:rsidRPr="00BA33F4">
        <w:t xml:space="preserve">The Proposed Development is expected to be operable </w:t>
      </w:r>
      <w:r w:rsidR="00477C0C">
        <w:t xml:space="preserve"> as permanent residential housing</w:t>
      </w:r>
      <w:r w:rsidRPr="00BA33F4">
        <w:t xml:space="preserve">; therefore, adverse impacts associated with climate change, such as increased ambient temperatures, flooding and wind speeds, are pertinent and are also considered in this </w:t>
      </w:r>
      <w:r w:rsidR="004D287F">
        <w:t>s</w:t>
      </w:r>
      <w:r w:rsidRPr="00BA33F4">
        <w:t>ection.</w:t>
      </w:r>
    </w:p>
    <w:p w14:paraId="38837D13" w14:textId="16A810E0" w:rsidR="00BA33F4" w:rsidRPr="006D7E9A" w:rsidRDefault="00A749D9" w:rsidP="004C2825">
      <w:pPr>
        <w:pStyle w:val="BodyText"/>
      </w:pPr>
      <w:r w:rsidRPr="00A749D9">
        <w:t>The Proposed Development is located close to the following facilities</w:t>
      </w:r>
      <w:r>
        <w:t xml:space="preserve">; </w:t>
      </w:r>
      <w:r w:rsidR="00FD2201">
        <w:t>Brenntag Chemical Distribution (Ireland)</w:t>
      </w:r>
      <w:r w:rsidR="002F1A77">
        <w:t xml:space="preserve"> – Lower Tier COMAH site</w:t>
      </w:r>
      <w:r w:rsidR="00FD2201">
        <w:t xml:space="preserve"> and </w:t>
      </w:r>
      <w:proofErr w:type="spellStart"/>
      <w:r w:rsidR="00FD2201">
        <w:t>Dac</w:t>
      </w:r>
      <w:r w:rsidR="000C0FDF">
        <w:t>hser</w:t>
      </w:r>
      <w:proofErr w:type="spellEnd"/>
      <w:r w:rsidR="000C0FDF">
        <w:t xml:space="preserve"> Ireland (Ltd)</w:t>
      </w:r>
      <w:r w:rsidR="007703C3">
        <w:t xml:space="preserve"> – Upper Tier COMAH site,</w:t>
      </w:r>
      <w:r w:rsidR="000C0FDF">
        <w:t xml:space="preserve"> which are within 5km of the Site</w:t>
      </w:r>
      <w:r w:rsidR="005835BB">
        <w:t xml:space="preserve">. </w:t>
      </w:r>
      <w:r w:rsidR="005835BB" w:rsidRPr="005835BB">
        <w:t xml:space="preserve">There is the low risk of adverse events occurring at these facilities which escalates to have an impact at the Proposed Development. These scenarios are referred to in the COMAH Regulations as ‘Domino Events’ and are also considered in this </w:t>
      </w:r>
      <w:r w:rsidR="005835BB" w:rsidRPr="006D7E9A">
        <w:t>section, along with accidents which are not directly related to the dangerous substances identified in Table 15-2.</w:t>
      </w:r>
    </w:p>
    <w:p w14:paraId="77A039C9" w14:textId="29B4B3D4" w:rsidR="00624508" w:rsidRPr="00624508" w:rsidRDefault="00624508" w:rsidP="00624508">
      <w:pPr>
        <w:pStyle w:val="BodyText"/>
        <w:rPr>
          <w:highlight w:val="yellow"/>
        </w:rPr>
      </w:pPr>
      <w:r w:rsidRPr="006D7E9A">
        <w:t>Disasters such as major storms and significant seismic events have a low probability of occurrence; however, the potential consequences can reach the highest level of significance as defined in Section 15.</w:t>
      </w:r>
      <w:r w:rsidR="00504FCC">
        <w:t>3</w:t>
      </w:r>
      <w:r w:rsidRPr="006D7E9A">
        <w:t>.</w:t>
      </w:r>
      <w:r w:rsidR="00186933">
        <w:t>5</w:t>
      </w:r>
      <w:r w:rsidRPr="006D7E9A">
        <w:t xml:space="preserve">. The potential disaster scenarios which have been assessed for the Proposed Development are described in </w:t>
      </w:r>
      <w:r w:rsidR="00FB460C">
        <w:fldChar w:fldCharType="begin"/>
      </w:r>
      <w:r w:rsidR="00FB460C">
        <w:instrText xml:space="preserve"> REF _Ref221287655 \h </w:instrText>
      </w:r>
      <w:r w:rsidR="00FB460C">
        <w:fldChar w:fldCharType="separate"/>
      </w:r>
      <w:r w:rsidR="005D598E" w:rsidRPr="00F14F19">
        <w:t xml:space="preserve">Table </w:t>
      </w:r>
      <w:r w:rsidR="005D598E">
        <w:rPr>
          <w:noProof/>
        </w:rPr>
        <w:t>15</w:t>
      </w:r>
      <w:r w:rsidR="005D598E" w:rsidRPr="00F14F19">
        <w:t>-</w:t>
      </w:r>
      <w:r w:rsidR="005D598E">
        <w:rPr>
          <w:noProof/>
        </w:rPr>
        <w:t>6</w:t>
      </w:r>
      <w:r w:rsidR="00FB460C">
        <w:fldChar w:fldCharType="end"/>
      </w:r>
      <w:r w:rsidRPr="006D7E9A">
        <w:t xml:space="preserve">. </w:t>
      </w:r>
    </w:p>
    <w:p w14:paraId="58D5D3EC" w14:textId="771408B1" w:rsidR="00624508" w:rsidRPr="001F6A76" w:rsidRDefault="00624508" w:rsidP="00624508">
      <w:pPr>
        <w:pStyle w:val="BodyText"/>
      </w:pPr>
      <w:r w:rsidRPr="001F6A76">
        <w:t xml:space="preserve">The potential impacts of disasters are well understood by </w:t>
      </w:r>
      <w:r w:rsidR="00BC4F32" w:rsidRPr="001F6A76">
        <w:t xml:space="preserve">building </w:t>
      </w:r>
      <w:r w:rsidRPr="001F6A76">
        <w:t xml:space="preserve">engineers involved in the design, </w:t>
      </w:r>
      <w:r w:rsidR="0016304E">
        <w:t>and</w:t>
      </w:r>
      <w:r w:rsidR="0016304E" w:rsidRPr="001F6A76">
        <w:t xml:space="preserve"> </w:t>
      </w:r>
      <w:r w:rsidRPr="001F6A76">
        <w:t xml:space="preserve">, construction, of the Proposed Development. </w:t>
      </w:r>
      <w:r w:rsidR="0007475D">
        <w:t xml:space="preserve">Potential </w:t>
      </w:r>
      <w:r w:rsidRPr="001F6A76">
        <w:t xml:space="preserve">impacts are </w:t>
      </w:r>
      <w:r w:rsidR="00680D03">
        <w:t>generally</w:t>
      </w:r>
      <w:r w:rsidRPr="001F6A76">
        <w:t xml:space="preserve"> mitigated during the design phase, for example, </w:t>
      </w:r>
      <w:proofErr w:type="gramStart"/>
      <w:r w:rsidRPr="001F6A76">
        <w:t>by the use of</w:t>
      </w:r>
      <w:proofErr w:type="gramEnd"/>
      <w:r w:rsidRPr="001F6A76">
        <w:t xml:space="preserve"> </w:t>
      </w:r>
      <w:r w:rsidR="00BC4F32" w:rsidRPr="001F6A76">
        <w:t>building s</w:t>
      </w:r>
      <w:r w:rsidR="001C1977" w:rsidRPr="001F6A76">
        <w:t>tandards</w:t>
      </w:r>
      <w:r w:rsidR="00BC4F32" w:rsidRPr="001F6A76">
        <w:t xml:space="preserve">, </w:t>
      </w:r>
      <w:r w:rsidRPr="001F6A76">
        <w:t>industry standard mechanical and structural design codes used for pipework, supports and structural assets</w:t>
      </w:r>
      <w:r w:rsidR="001C1977" w:rsidRPr="001F6A76">
        <w:t xml:space="preserve"> (</w:t>
      </w:r>
      <w:r w:rsidR="00673850">
        <w:t>ISB</w:t>
      </w:r>
      <w:r w:rsidR="003E78E7" w:rsidRPr="001F6A76">
        <w:t>, 2020</w:t>
      </w:r>
      <w:r w:rsidR="001F6A76" w:rsidRPr="001F6A76">
        <w:t>b</w:t>
      </w:r>
      <w:r w:rsidR="001C1977" w:rsidRPr="001F6A76">
        <w:t>)</w:t>
      </w:r>
      <w:r w:rsidRPr="001F6A76">
        <w:t xml:space="preserve">. </w:t>
      </w:r>
    </w:p>
    <w:p w14:paraId="40F07589" w14:textId="263ED385" w:rsidR="005835BB" w:rsidRDefault="00624508" w:rsidP="00624508">
      <w:pPr>
        <w:pStyle w:val="BodyText"/>
      </w:pPr>
      <w:r w:rsidRPr="001F6A76">
        <w:t xml:space="preserve">Taking into consideration the likelihood and consequences following the inclusion of mitigating measures, the overall risk of disasters occurring at the Proposed Development </w:t>
      </w:r>
      <w:proofErr w:type="gramStart"/>
      <w:r w:rsidR="00680D03">
        <w:t xml:space="preserve">are </w:t>
      </w:r>
      <w:r w:rsidRPr="001F6A76">
        <w:t>considered to be</w:t>
      </w:r>
      <w:proofErr w:type="gramEnd"/>
      <w:r w:rsidRPr="001F6A76">
        <w:t xml:space="preserve"> very low</w:t>
      </w:r>
      <w:r w:rsidR="00F94535">
        <w:t>,</w:t>
      </w:r>
      <w:r w:rsidRPr="001F6A76">
        <w:t xml:space="preserve"> but cannot be </w:t>
      </w:r>
      <w:proofErr w:type="gramStart"/>
      <w:r w:rsidRPr="001F6A76">
        <w:t>entirely eliminated</w:t>
      </w:r>
      <w:proofErr w:type="gramEnd"/>
      <w:r w:rsidRPr="001F6A76">
        <w:t>. Consequently, additional measures associated with management of the Site</w:t>
      </w:r>
      <w:r w:rsidR="00F94535">
        <w:t>,</w:t>
      </w:r>
      <w:r w:rsidRPr="001F6A76">
        <w:t xml:space="preserve"> such as accident prevention plans and emergency response procedures</w:t>
      </w:r>
      <w:r w:rsidR="00F94535">
        <w:t>,</w:t>
      </w:r>
      <w:r w:rsidRPr="001F6A76">
        <w:t xml:space="preserve"> </w:t>
      </w:r>
      <w:r w:rsidR="00F94535">
        <w:t>would</w:t>
      </w:r>
      <w:r w:rsidRPr="001F6A76">
        <w:t xml:space="preserve"> be </w:t>
      </w:r>
      <w:r w:rsidR="0022070E">
        <w:t xml:space="preserve">put </w:t>
      </w:r>
      <w:r w:rsidRPr="001F6A76">
        <w:t xml:space="preserve">in place prior to </w:t>
      </w:r>
      <w:r w:rsidR="0022070E">
        <w:t>occupation</w:t>
      </w:r>
      <w:r w:rsidRPr="001F6A76">
        <w:t xml:space="preserve">. These measures </w:t>
      </w:r>
      <w:r w:rsidR="0022070E">
        <w:t xml:space="preserve">would </w:t>
      </w:r>
      <w:r w:rsidRPr="001F6A76">
        <w:t>further reduce the risk and the consequences of disasters and are summarised in Section 15.6.</w:t>
      </w:r>
    </w:p>
    <w:p w14:paraId="06CCA5F2" w14:textId="01299213" w:rsidR="007C5F2F" w:rsidRDefault="007C5F2F">
      <w:pPr>
        <w:tabs>
          <w:tab w:val="clear" w:pos="284"/>
        </w:tabs>
        <w:spacing w:line="240" w:lineRule="auto"/>
        <w:jc w:val="left"/>
        <w:rPr>
          <w:highlight w:val="yellow"/>
        </w:rPr>
      </w:pPr>
      <w:r>
        <w:rPr>
          <w:highlight w:val="yellow"/>
        </w:rPr>
        <w:br w:type="page"/>
      </w:r>
    </w:p>
    <w:p w14:paraId="085588E6" w14:textId="77777777" w:rsidR="007C5F2F" w:rsidRDefault="007C5F2F" w:rsidP="00624508">
      <w:pPr>
        <w:pStyle w:val="BodyText"/>
        <w:sectPr w:rsidR="007C5F2F" w:rsidSect="00062740">
          <w:headerReference w:type="default" r:id="rId23"/>
          <w:footerReference w:type="default" r:id="rId24"/>
          <w:pgSz w:w="11906" w:h="16838"/>
          <w:pgMar w:top="1134" w:right="1134" w:bottom="851" w:left="1418" w:header="567" w:footer="284" w:gutter="0"/>
          <w:pgNumType w:chapStyle="1"/>
          <w:cols w:space="284"/>
          <w:docGrid w:linePitch="360"/>
        </w:sectPr>
      </w:pPr>
    </w:p>
    <w:p w14:paraId="32D5824C" w14:textId="1E087746" w:rsidR="007C5F2F" w:rsidRDefault="007C5F2F">
      <w:pPr>
        <w:tabs>
          <w:tab w:val="clear" w:pos="284"/>
        </w:tabs>
        <w:spacing w:line="240" w:lineRule="auto"/>
        <w:jc w:val="left"/>
      </w:pPr>
    </w:p>
    <w:p w14:paraId="1D1E2A65" w14:textId="381E08CD" w:rsidR="00F14F19" w:rsidRPr="00F14F19" w:rsidRDefault="00F14F19" w:rsidP="00F14F19">
      <w:pPr>
        <w:pStyle w:val="Caption"/>
      </w:pPr>
      <w:bookmarkStart w:id="82" w:name="_Ref221287655"/>
      <w:bookmarkStart w:id="83" w:name="_Toc238735967"/>
      <w:r w:rsidRPr="00F14F19">
        <w:t xml:space="preserve">Table </w:t>
      </w:r>
      <w:r>
        <w:fldChar w:fldCharType="begin"/>
      </w:r>
      <w:r>
        <w:instrText>STYLEREF 1 \s</w:instrText>
      </w:r>
      <w:r>
        <w:fldChar w:fldCharType="separate"/>
      </w:r>
      <w:r w:rsidR="00FE21B5">
        <w:rPr>
          <w:noProof/>
        </w:rPr>
        <w:t>15</w:t>
      </w:r>
      <w:r>
        <w:fldChar w:fldCharType="end"/>
      </w:r>
      <w:r w:rsidRPr="00F14F19">
        <w:t>-</w:t>
      </w:r>
      <w:r>
        <w:fldChar w:fldCharType="begin"/>
      </w:r>
      <w:r>
        <w:instrText>SEQ Table \* ARABIC \s 1</w:instrText>
      </w:r>
      <w:r>
        <w:fldChar w:fldCharType="separate"/>
      </w:r>
      <w:r w:rsidR="005D598E">
        <w:rPr>
          <w:noProof/>
        </w:rPr>
        <w:t>6</w:t>
      </w:r>
      <w:r>
        <w:fldChar w:fldCharType="end"/>
      </w:r>
      <w:bookmarkEnd w:id="82"/>
      <w:r w:rsidRPr="00F14F19">
        <w:t>: Identification of Credible Potential Disasters Scenarios</w:t>
      </w:r>
      <w:bookmarkEnd w:id="83"/>
      <w:r w:rsidR="00D55F7E">
        <w:t xml:space="preserve"> </w:t>
      </w:r>
    </w:p>
    <w:tbl>
      <w:tblPr>
        <w:tblStyle w:val="AECOMtable"/>
        <w:tblW w:w="0" w:type="auto"/>
        <w:tblLook w:val="04A0" w:firstRow="1" w:lastRow="0" w:firstColumn="1" w:lastColumn="0" w:noHBand="0" w:noVBand="1"/>
      </w:tblPr>
      <w:tblGrid>
        <w:gridCol w:w="2183"/>
        <w:gridCol w:w="5627"/>
        <w:gridCol w:w="1135"/>
        <w:gridCol w:w="978"/>
        <w:gridCol w:w="1272"/>
        <w:gridCol w:w="8650"/>
        <w:gridCol w:w="1978"/>
      </w:tblGrid>
      <w:tr w:rsidR="0016331B" w:rsidRPr="00F14F19" w14:paraId="29B36715" w14:textId="77777777" w:rsidTr="00CB06AE">
        <w:trPr>
          <w:cnfStyle w:val="100000000000" w:firstRow="1" w:lastRow="0" w:firstColumn="0" w:lastColumn="0" w:oddVBand="0" w:evenVBand="0" w:oddHBand="0" w:evenHBand="0" w:firstRowFirstColumn="0" w:firstRowLastColumn="0" w:lastRowFirstColumn="0" w:lastRowLastColumn="0"/>
          <w:tblHeader/>
        </w:trPr>
        <w:tc>
          <w:tcPr>
            <w:tcW w:w="0" w:type="auto"/>
          </w:tcPr>
          <w:p w14:paraId="294D1732" w14:textId="0669215A" w:rsidR="0016331B" w:rsidRPr="00F14F19" w:rsidRDefault="0016331B">
            <w:pPr>
              <w:pStyle w:val="Tabletext"/>
            </w:pPr>
            <w:r w:rsidRPr="00F14F19">
              <w:t>S</w:t>
            </w:r>
            <w:r>
              <w:t>cenario</w:t>
            </w:r>
          </w:p>
        </w:tc>
        <w:tc>
          <w:tcPr>
            <w:tcW w:w="5627" w:type="dxa"/>
          </w:tcPr>
          <w:p w14:paraId="3C8A258F" w14:textId="40270173" w:rsidR="0016331B" w:rsidRPr="00EB17B0" w:rsidRDefault="0016331B" w:rsidP="00B07F22">
            <w:pPr>
              <w:pStyle w:val="Tabletext"/>
            </w:pPr>
            <w:r w:rsidRPr="00EB17B0">
              <w:t>Risk Effect</w:t>
            </w:r>
          </w:p>
        </w:tc>
        <w:tc>
          <w:tcPr>
            <w:tcW w:w="1135" w:type="dxa"/>
          </w:tcPr>
          <w:p w14:paraId="5DDC0770" w14:textId="4BBA137B" w:rsidR="0016331B" w:rsidRPr="00675E38" w:rsidRDefault="0016331B" w:rsidP="00CB06AE">
            <w:pPr>
              <w:pStyle w:val="Tabletext"/>
              <w:jc w:val="center"/>
            </w:pPr>
            <w:r w:rsidRPr="00675E38">
              <w:t>Likelihood</w:t>
            </w:r>
          </w:p>
        </w:tc>
        <w:tc>
          <w:tcPr>
            <w:tcW w:w="978" w:type="dxa"/>
            <w:tcBorders>
              <w:bottom w:val="single" w:sz="4" w:space="0" w:color="auto"/>
            </w:tcBorders>
          </w:tcPr>
          <w:p w14:paraId="355B59E1" w14:textId="3A383761" w:rsidR="0016331B" w:rsidRPr="00675E38" w:rsidRDefault="0016331B" w:rsidP="00CB06AE">
            <w:pPr>
              <w:pStyle w:val="Tabletext"/>
              <w:jc w:val="center"/>
            </w:pPr>
            <w:r w:rsidRPr="00675E38">
              <w:t>Impact</w:t>
            </w:r>
          </w:p>
        </w:tc>
        <w:tc>
          <w:tcPr>
            <w:tcW w:w="1272" w:type="dxa"/>
            <w:tcBorders>
              <w:bottom w:val="single" w:sz="4" w:space="0" w:color="auto"/>
            </w:tcBorders>
          </w:tcPr>
          <w:p w14:paraId="0B371320" w14:textId="6407490C" w:rsidR="0016331B" w:rsidRPr="00675E38" w:rsidRDefault="005D598E" w:rsidP="00CB06AE">
            <w:pPr>
              <w:pStyle w:val="Tabletext"/>
              <w:jc w:val="center"/>
            </w:pPr>
            <w:r>
              <w:t>Risk</w:t>
            </w:r>
          </w:p>
        </w:tc>
        <w:tc>
          <w:tcPr>
            <w:tcW w:w="8650" w:type="dxa"/>
          </w:tcPr>
          <w:p w14:paraId="3E3ED325" w14:textId="0A312B27" w:rsidR="0016331B" w:rsidRPr="00675E38" w:rsidRDefault="005D598E" w:rsidP="00B07F22">
            <w:pPr>
              <w:pStyle w:val="Tabletext"/>
            </w:pPr>
            <w:r>
              <w:t>Screening and Identification of Potential Major Accident Hazards</w:t>
            </w:r>
          </w:p>
        </w:tc>
        <w:tc>
          <w:tcPr>
            <w:tcW w:w="1978" w:type="dxa"/>
          </w:tcPr>
          <w:p w14:paraId="242139CE" w14:textId="3190948C" w:rsidR="0016331B" w:rsidRPr="00F14F19" w:rsidRDefault="0016331B">
            <w:pPr>
              <w:pStyle w:val="Tabletext"/>
            </w:pPr>
            <w:r w:rsidRPr="00F14F19">
              <w:t>Further Assessment Required (Y/ N)</w:t>
            </w:r>
          </w:p>
        </w:tc>
      </w:tr>
      <w:tr w:rsidR="0016331B" w:rsidRPr="00F14F19" w14:paraId="24FAA5F5" w14:textId="77777777" w:rsidTr="00CB06AE">
        <w:trPr>
          <w:trHeight w:val="225"/>
        </w:trPr>
        <w:tc>
          <w:tcPr>
            <w:tcW w:w="0" w:type="auto"/>
          </w:tcPr>
          <w:p w14:paraId="4269113C" w14:textId="1BF7AF62" w:rsidR="0016331B" w:rsidRPr="00F14F19" w:rsidRDefault="0016331B">
            <w:pPr>
              <w:pStyle w:val="Tabletext"/>
              <w:rPr>
                <w:b/>
                <w:bCs/>
              </w:rPr>
            </w:pPr>
            <w:r w:rsidRPr="00810294">
              <w:rPr>
                <w:b/>
                <w:bCs/>
              </w:rPr>
              <w:t xml:space="preserve">‘Domino Event’ Accident - Industrial accident on existing Site which escalates to </w:t>
            </w:r>
            <w:r w:rsidR="00F64A29">
              <w:rPr>
                <w:b/>
                <w:bCs/>
              </w:rPr>
              <w:t xml:space="preserve">the Proposed </w:t>
            </w:r>
            <w:r w:rsidRPr="00810294">
              <w:rPr>
                <w:b/>
                <w:bCs/>
              </w:rPr>
              <w:t xml:space="preserve"> </w:t>
            </w:r>
            <w:r w:rsidR="00F64A29">
              <w:rPr>
                <w:b/>
                <w:bCs/>
              </w:rPr>
              <w:t>D</w:t>
            </w:r>
            <w:r w:rsidR="00BC4961">
              <w:rPr>
                <w:b/>
                <w:bCs/>
              </w:rPr>
              <w:t>evelopment</w:t>
            </w:r>
            <w:r w:rsidRPr="00810294">
              <w:rPr>
                <w:b/>
                <w:bCs/>
              </w:rPr>
              <w:t xml:space="preserve">  </w:t>
            </w:r>
          </w:p>
        </w:tc>
        <w:tc>
          <w:tcPr>
            <w:tcW w:w="5627" w:type="dxa"/>
          </w:tcPr>
          <w:p w14:paraId="0D9A07F8" w14:textId="77777777" w:rsidR="0016331B" w:rsidRDefault="0016331B" w:rsidP="00FE6C19">
            <w:pPr>
              <w:pStyle w:val="Tabletext"/>
            </w:pPr>
            <w:r>
              <w:t>An incident such as a fire at a neighbouring COMAH site could potentially reach the facilities associated with the Proposed Development both during construction and operation.</w:t>
            </w:r>
          </w:p>
          <w:p w14:paraId="693075E8" w14:textId="77777777" w:rsidR="0016331B" w:rsidRDefault="0016331B" w:rsidP="00FE6C19">
            <w:pPr>
              <w:pStyle w:val="Tabletext"/>
            </w:pPr>
            <w:r>
              <w:t xml:space="preserve">This could result in an event which takes more resources to manage and has the potential to cause harm to people on Site, damage to property and assets. </w:t>
            </w:r>
          </w:p>
          <w:p w14:paraId="032823B2" w14:textId="77777777" w:rsidR="0016331B" w:rsidRDefault="0016331B" w:rsidP="00FE6C19">
            <w:pPr>
              <w:pStyle w:val="Tabletext"/>
            </w:pPr>
            <w:r>
              <w:t>An explosion at a nearby COMAH site could generate projectiles which may reach the Proposed Development, causing harm to people on Site and damage to assets.</w:t>
            </w:r>
          </w:p>
          <w:p w14:paraId="78742104" w14:textId="35EE120C" w:rsidR="0016331B" w:rsidRDefault="0016331B" w:rsidP="00FE6C19">
            <w:pPr>
              <w:pStyle w:val="Tabletext"/>
            </w:pPr>
            <w:r>
              <w:t>An incident such as a fire or explosion from a nearby COMAH site is unlikely to generate any knock-on effects due to the lack of hazardous substances stored/ used on site.</w:t>
            </w:r>
          </w:p>
        </w:tc>
        <w:tc>
          <w:tcPr>
            <w:tcW w:w="1135" w:type="dxa"/>
          </w:tcPr>
          <w:p w14:paraId="30D4B3AE" w14:textId="4FDF5918" w:rsidR="0016331B" w:rsidRDefault="0016331B" w:rsidP="00CB06AE">
            <w:pPr>
              <w:pStyle w:val="Tabletext"/>
              <w:jc w:val="center"/>
              <w:rPr>
                <w:b/>
                <w:bCs/>
              </w:rPr>
            </w:pPr>
            <w:r>
              <w:rPr>
                <w:b/>
                <w:bCs/>
              </w:rPr>
              <w:t>3</w:t>
            </w:r>
          </w:p>
        </w:tc>
        <w:tc>
          <w:tcPr>
            <w:tcW w:w="978" w:type="dxa"/>
            <w:tcBorders>
              <w:top w:val="single" w:sz="4" w:space="0" w:color="auto"/>
            </w:tcBorders>
          </w:tcPr>
          <w:p w14:paraId="00C1FA7C" w14:textId="67535EFB" w:rsidR="0016331B" w:rsidRDefault="005D598E" w:rsidP="00CB06AE">
            <w:pPr>
              <w:pStyle w:val="Tabletext"/>
              <w:jc w:val="center"/>
              <w:rPr>
                <w:b/>
                <w:bCs/>
              </w:rPr>
            </w:pPr>
            <w:r>
              <w:rPr>
                <w:b/>
                <w:bCs/>
              </w:rPr>
              <w:t>3</w:t>
            </w:r>
          </w:p>
        </w:tc>
        <w:tc>
          <w:tcPr>
            <w:tcW w:w="1272" w:type="dxa"/>
            <w:tcBorders>
              <w:top w:val="single" w:sz="4" w:space="0" w:color="auto"/>
            </w:tcBorders>
          </w:tcPr>
          <w:p w14:paraId="1E04C882" w14:textId="027E5FFD" w:rsidR="0016331B" w:rsidRDefault="005D598E" w:rsidP="00CB06AE">
            <w:pPr>
              <w:pStyle w:val="Tabletext"/>
              <w:jc w:val="center"/>
            </w:pPr>
            <w:r>
              <w:t>9</w:t>
            </w:r>
          </w:p>
        </w:tc>
        <w:tc>
          <w:tcPr>
            <w:tcW w:w="8650" w:type="dxa"/>
          </w:tcPr>
          <w:p w14:paraId="5FE78E32" w14:textId="55404786" w:rsidR="0016331B" w:rsidRDefault="0016331B" w:rsidP="00FE6C19">
            <w:pPr>
              <w:pStyle w:val="Tabletext"/>
            </w:pPr>
            <w:r>
              <w:t>The credible scenarios which could result in a release of hazardous substances include the failure of or accidental damage to pipework, flexible hoses, storage tanks and transfer pumps which cause significant quantities of hazardous substances to be released. This scenario could also include the failure of containment systems within delivery vehicles whilst on Site.</w:t>
            </w:r>
          </w:p>
          <w:p w14:paraId="51470082" w14:textId="77777777" w:rsidR="0016331B" w:rsidRDefault="0016331B" w:rsidP="00FE6C19">
            <w:pPr>
              <w:pStyle w:val="Tabletext"/>
            </w:pPr>
            <w:r>
              <w:t>An incident at the Brenntag Chemicals Distribution Ireland Ltd manufacturing facility such as a fire or explosion could result in significant damage at that location but would be unlikely to have an impact at the Proposed Development due to distance. Therefore, whilst this would be considered as a potential disaster at the Brenntag manufacturing facility, is not considered further for the Proposed Development.</w:t>
            </w:r>
          </w:p>
          <w:p w14:paraId="4C6F0461" w14:textId="2BEB6E18" w:rsidR="0016331B" w:rsidRDefault="0016331B" w:rsidP="00FE6C19">
            <w:pPr>
              <w:pStyle w:val="Tabletext"/>
            </w:pPr>
            <w:r>
              <w:t>The proximity of the Dascher Ireland facility, an upper tier COMAH site, to the Proposed Development has the potential for the impact of these scenarios to be exacerbated as a facility specialising in hazardous material logistics.</w:t>
            </w:r>
          </w:p>
        </w:tc>
        <w:tc>
          <w:tcPr>
            <w:tcW w:w="1978" w:type="dxa"/>
          </w:tcPr>
          <w:p w14:paraId="2D349898" w14:textId="77777777" w:rsidR="0016331B" w:rsidRDefault="0016331B" w:rsidP="00A32642">
            <w:pPr>
              <w:pStyle w:val="Tabletext"/>
              <w:jc w:val="center"/>
              <w:rPr>
                <w:b/>
                <w:bCs/>
              </w:rPr>
            </w:pPr>
            <w:r>
              <w:rPr>
                <w:b/>
                <w:bCs/>
              </w:rPr>
              <w:t>Y</w:t>
            </w:r>
          </w:p>
          <w:p w14:paraId="5506D6E8" w14:textId="77777777" w:rsidR="0016331B" w:rsidRDefault="0016331B" w:rsidP="00A32642">
            <w:pPr>
              <w:pStyle w:val="Tabletext"/>
              <w:jc w:val="center"/>
              <w:rPr>
                <w:b/>
                <w:bCs/>
              </w:rPr>
            </w:pPr>
          </w:p>
          <w:p w14:paraId="68FBF533" w14:textId="4804278A" w:rsidR="0016331B" w:rsidRDefault="0016331B" w:rsidP="00A32642">
            <w:pPr>
              <w:pStyle w:val="Tabletext"/>
              <w:jc w:val="center"/>
              <w:rPr>
                <w:b/>
                <w:bCs/>
              </w:rPr>
            </w:pPr>
            <w:r>
              <w:rPr>
                <w:b/>
                <w:bCs/>
              </w:rPr>
              <w:t>Risk Event 1</w:t>
            </w:r>
          </w:p>
        </w:tc>
      </w:tr>
      <w:tr w:rsidR="0016331B" w:rsidRPr="00F14F19" w14:paraId="52728A66" w14:textId="77777777" w:rsidTr="00CB06AE">
        <w:trPr>
          <w:trHeight w:val="225"/>
        </w:trPr>
        <w:tc>
          <w:tcPr>
            <w:tcW w:w="0" w:type="auto"/>
          </w:tcPr>
          <w:p w14:paraId="628662E6" w14:textId="21885C22" w:rsidR="0016331B" w:rsidRPr="00F14F19" w:rsidRDefault="0016331B">
            <w:pPr>
              <w:pStyle w:val="Tabletext"/>
              <w:rPr>
                <w:b/>
                <w:bCs/>
              </w:rPr>
            </w:pPr>
            <w:r w:rsidRPr="00F14F19">
              <w:rPr>
                <w:b/>
                <w:bCs/>
              </w:rPr>
              <w:t>Structural Failure/ Building Collapse during demolition/ construction</w:t>
            </w:r>
          </w:p>
        </w:tc>
        <w:tc>
          <w:tcPr>
            <w:tcW w:w="5627" w:type="dxa"/>
          </w:tcPr>
          <w:p w14:paraId="15917346" w14:textId="08100837" w:rsidR="0016331B" w:rsidRDefault="0016331B" w:rsidP="00FE6C19">
            <w:pPr>
              <w:pStyle w:val="Tabletext"/>
            </w:pPr>
            <w:r>
              <w:t>An incident such as a building collapsing during demolition activity (e.g. falls in wrong direction or off schedule) or during construction.</w:t>
            </w:r>
          </w:p>
          <w:p w14:paraId="1EA4BE7B" w14:textId="07FFF98F" w:rsidR="0016331B" w:rsidRDefault="0016331B" w:rsidP="00FE6C19">
            <w:pPr>
              <w:pStyle w:val="Tabletext"/>
            </w:pPr>
            <w:r>
              <w:t>This could result in an event which takes more resources to manage and has the potential to cause harm to people on Site, damage to property and assets.</w:t>
            </w:r>
          </w:p>
        </w:tc>
        <w:tc>
          <w:tcPr>
            <w:tcW w:w="1135" w:type="dxa"/>
          </w:tcPr>
          <w:p w14:paraId="41671A5C" w14:textId="1B512627" w:rsidR="0016331B" w:rsidRDefault="005D598E" w:rsidP="00CB06AE">
            <w:pPr>
              <w:pStyle w:val="Tabletext"/>
              <w:jc w:val="center"/>
              <w:rPr>
                <w:b/>
                <w:bCs/>
              </w:rPr>
            </w:pPr>
            <w:r>
              <w:rPr>
                <w:b/>
                <w:bCs/>
              </w:rPr>
              <w:t>2</w:t>
            </w:r>
          </w:p>
        </w:tc>
        <w:tc>
          <w:tcPr>
            <w:tcW w:w="978" w:type="dxa"/>
          </w:tcPr>
          <w:p w14:paraId="412C9B6D" w14:textId="55DC54EC" w:rsidR="0016331B" w:rsidRDefault="0016331B" w:rsidP="00CB06AE">
            <w:pPr>
              <w:pStyle w:val="Tabletext"/>
              <w:jc w:val="center"/>
              <w:rPr>
                <w:b/>
                <w:bCs/>
              </w:rPr>
            </w:pPr>
            <w:r>
              <w:rPr>
                <w:b/>
                <w:bCs/>
              </w:rPr>
              <w:t>3</w:t>
            </w:r>
          </w:p>
        </w:tc>
        <w:tc>
          <w:tcPr>
            <w:tcW w:w="1272" w:type="dxa"/>
          </w:tcPr>
          <w:p w14:paraId="219C8915" w14:textId="0AA2C10E" w:rsidR="0016331B" w:rsidRPr="00161E46" w:rsidRDefault="005D598E" w:rsidP="00CB06AE">
            <w:pPr>
              <w:pStyle w:val="Tabletext"/>
              <w:jc w:val="center"/>
            </w:pPr>
            <w:r>
              <w:t>6</w:t>
            </w:r>
          </w:p>
        </w:tc>
        <w:tc>
          <w:tcPr>
            <w:tcW w:w="8650" w:type="dxa"/>
          </w:tcPr>
          <w:p w14:paraId="258E3403" w14:textId="55726BC0" w:rsidR="0016331B" w:rsidRPr="005D598E" w:rsidRDefault="0016331B" w:rsidP="00FE6C19">
            <w:pPr>
              <w:pStyle w:val="Tabletext"/>
            </w:pPr>
            <w:r w:rsidRPr="005D598E">
              <w:t>Embedded mitigation measures include:</w:t>
            </w:r>
          </w:p>
          <w:p w14:paraId="5B6E12E2" w14:textId="77777777" w:rsidR="0016331B" w:rsidRPr="00CB06AE" w:rsidRDefault="0016331B" w:rsidP="00FE6C19">
            <w:pPr>
              <w:pStyle w:val="TableListBullet"/>
              <w:rPr>
                <w:sz w:val="18"/>
              </w:rPr>
            </w:pPr>
            <w:r w:rsidRPr="00CB06AE">
              <w:rPr>
                <w:sz w:val="18"/>
              </w:rPr>
              <w:t>Designing and building any structure to the appropriate EN design standards; and</w:t>
            </w:r>
          </w:p>
          <w:p w14:paraId="28D73FFF" w14:textId="77777777" w:rsidR="0016331B" w:rsidRPr="00CB06AE" w:rsidRDefault="0016331B" w:rsidP="00FE6C19">
            <w:pPr>
              <w:pStyle w:val="TableListBullet"/>
              <w:rPr>
                <w:sz w:val="18"/>
              </w:rPr>
            </w:pPr>
            <w:r w:rsidRPr="00CB06AE">
              <w:rPr>
                <w:sz w:val="18"/>
              </w:rPr>
              <w:t>Compliance with material specification standards.</w:t>
            </w:r>
          </w:p>
          <w:p w14:paraId="64BECF95" w14:textId="2E85A01E" w:rsidR="0016331B" w:rsidRPr="00CB0F75" w:rsidRDefault="0016331B" w:rsidP="00FE6C19">
            <w:pPr>
              <w:pStyle w:val="Tabletext"/>
            </w:pPr>
            <w:r w:rsidRPr="005D598E">
              <w:t>In addition, construction activities conducted at the Site will be subject to a CEMP along with the development/ implementa</w:t>
            </w:r>
            <w:r w:rsidRPr="00D14337">
              <w:t xml:space="preserve">tion of specific methods statements and risk assessments covering construction activities. This will include liaison with key stakeholders to agree appropriate controls (e.g. exclusion zones, safe working spaces, etc). </w:t>
            </w:r>
          </w:p>
          <w:p w14:paraId="6B97E146" w14:textId="13315560" w:rsidR="0016331B" w:rsidRPr="005D598E" w:rsidRDefault="0016331B" w:rsidP="00FE6C19">
            <w:pPr>
              <w:pStyle w:val="Tabletext"/>
            </w:pPr>
            <w:r w:rsidRPr="005D598E">
              <w:t>Such assessments will consider the potential for collapses to occur and identify appropriate mitigation measures and safe systems of work to be adopted to reduce the risk to a very low level</w:t>
            </w:r>
            <w:r w:rsidR="002D1FD7">
              <w:t>,</w:t>
            </w:r>
            <w:r w:rsidR="002D1FD7" w:rsidRPr="00A2629F">
              <w:rPr>
                <w:rFonts w:cstheme="minorHAnsi"/>
              </w:rPr>
              <w:t xml:space="preserve"> therefore the risk of a disaster occurring </w:t>
            </w:r>
            <w:proofErr w:type="gramStart"/>
            <w:r w:rsidR="002D1FD7" w:rsidRPr="00A2629F">
              <w:rPr>
                <w:rFonts w:cstheme="minorHAnsi"/>
              </w:rPr>
              <w:t>is considered to be</w:t>
            </w:r>
            <w:proofErr w:type="gramEnd"/>
            <w:r w:rsidR="002D1FD7" w:rsidRPr="00A2629F">
              <w:rPr>
                <w:rFonts w:cstheme="minorHAnsi"/>
              </w:rPr>
              <w:t xml:space="preserve"> low and is not considered further.</w:t>
            </w:r>
          </w:p>
        </w:tc>
        <w:tc>
          <w:tcPr>
            <w:tcW w:w="1978" w:type="dxa"/>
          </w:tcPr>
          <w:p w14:paraId="59C76B77" w14:textId="07748D8C" w:rsidR="0016331B" w:rsidRPr="00A32642" w:rsidRDefault="0016331B" w:rsidP="00A32642">
            <w:pPr>
              <w:pStyle w:val="Tabletext"/>
              <w:jc w:val="center"/>
              <w:rPr>
                <w:b/>
                <w:bCs/>
              </w:rPr>
            </w:pPr>
            <w:r>
              <w:rPr>
                <w:b/>
                <w:bCs/>
              </w:rPr>
              <w:t>N</w:t>
            </w:r>
          </w:p>
        </w:tc>
      </w:tr>
      <w:tr w:rsidR="0016331B" w:rsidRPr="00F14F19" w14:paraId="57262031" w14:textId="77777777" w:rsidTr="00CB06AE">
        <w:trPr>
          <w:trHeight w:val="225"/>
        </w:trPr>
        <w:tc>
          <w:tcPr>
            <w:tcW w:w="0" w:type="auto"/>
          </w:tcPr>
          <w:p w14:paraId="17A906D5" w14:textId="464E138B" w:rsidR="0016331B" w:rsidRPr="00F14F19" w:rsidRDefault="0016331B">
            <w:pPr>
              <w:pStyle w:val="Tabletext"/>
              <w:rPr>
                <w:b/>
                <w:bCs/>
              </w:rPr>
            </w:pPr>
            <w:r w:rsidRPr="00C47D00">
              <w:rPr>
                <w:b/>
                <w:bCs/>
              </w:rPr>
              <w:t>Accident – Vehicle Collison</w:t>
            </w:r>
          </w:p>
        </w:tc>
        <w:tc>
          <w:tcPr>
            <w:tcW w:w="5627" w:type="dxa"/>
          </w:tcPr>
          <w:p w14:paraId="33B41C2C" w14:textId="77777777" w:rsidR="0016331B" w:rsidRDefault="0016331B" w:rsidP="00FE6C19">
            <w:pPr>
              <w:pStyle w:val="Tabletext"/>
            </w:pPr>
            <w:r>
              <w:t>An incident such as a construction vehicle, delivery or collection vehicles during either construction of operation colliding with other vehicles, workers or assets on site.</w:t>
            </w:r>
          </w:p>
          <w:p w14:paraId="55C1CC6B" w14:textId="1FA9A17F" w:rsidR="0016331B" w:rsidRDefault="0016331B" w:rsidP="00FE6C19">
            <w:pPr>
              <w:pStyle w:val="Tabletext"/>
            </w:pPr>
            <w:r>
              <w:t>This could result in an event which takes more resources to manage and has the potential to cause harm to people on Site, damage to property and assets.</w:t>
            </w:r>
          </w:p>
        </w:tc>
        <w:tc>
          <w:tcPr>
            <w:tcW w:w="1135" w:type="dxa"/>
          </w:tcPr>
          <w:p w14:paraId="32C74061" w14:textId="66A507FC" w:rsidR="0016331B" w:rsidRDefault="005D598E" w:rsidP="00CB06AE">
            <w:pPr>
              <w:pStyle w:val="Tabletext"/>
              <w:jc w:val="center"/>
              <w:rPr>
                <w:b/>
                <w:bCs/>
              </w:rPr>
            </w:pPr>
            <w:r>
              <w:rPr>
                <w:b/>
                <w:bCs/>
              </w:rPr>
              <w:t>2</w:t>
            </w:r>
          </w:p>
        </w:tc>
        <w:tc>
          <w:tcPr>
            <w:tcW w:w="978" w:type="dxa"/>
          </w:tcPr>
          <w:p w14:paraId="4F1CE7A8" w14:textId="3790BD0A" w:rsidR="0016331B" w:rsidRDefault="0016331B" w:rsidP="00CB06AE">
            <w:pPr>
              <w:pStyle w:val="Tabletext"/>
              <w:jc w:val="center"/>
              <w:rPr>
                <w:b/>
                <w:bCs/>
              </w:rPr>
            </w:pPr>
            <w:r>
              <w:rPr>
                <w:b/>
                <w:bCs/>
              </w:rPr>
              <w:t>3</w:t>
            </w:r>
          </w:p>
        </w:tc>
        <w:tc>
          <w:tcPr>
            <w:tcW w:w="1272" w:type="dxa"/>
          </w:tcPr>
          <w:p w14:paraId="6E5C30A2" w14:textId="5F0EA121" w:rsidR="0016331B" w:rsidRPr="00D5463F" w:rsidRDefault="005D598E" w:rsidP="00CB06AE">
            <w:pPr>
              <w:pStyle w:val="Tabletext"/>
              <w:jc w:val="center"/>
            </w:pPr>
            <w:r>
              <w:t>6</w:t>
            </w:r>
          </w:p>
        </w:tc>
        <w:tc>
          <w:tcPr>
            <w:tcW w:w="8650" w:type="dxa"/>
          </w:tcPr>
          <w:p w14:paraId="2D9FBD13" w14:textId="795288EF" w:rsidR="0016331B" w:rsidRDefault="0016331B" w:rsidP="00FE6C19">
            <w:pPr>
              <w:pStyle w:val="Tabletext"/>
            </w:pPr>
            <w:r w:rsidRPr="00D5463F">
              <w:t>During construction activities, vehicle movements will be conducted at the Site and subject to a CEMP which should identify the relevant measures to control potential impacts from vehicles during construction works and reduce the risk to a very low level. Vehicle movements during the construction phase would also be subject to a Construction Traffic Management Plan (CTMP) which would identify measures to improve the safety and reliability of vehicle movements both on and</w:t>
            </w:r>
            <w:r>
              <w:t xml:space="preserve"> off site (e.g. deliveries to a site) and reduce congestion. Therefore, the risk of an accident occurring </w:t>
            </w:r>
            <w:proofErr w:type="gramStart"/>
            <w:r>
              <w:t>is considered to be</w:t>
            </w:r>
            <w:proofErr w:type="gramEnd"/>
            <w:r>
              <w:t xml:space="preserve"> low and is not considered further.</w:t>
            </w:r>
          </w:p>
          <w:p w14:paraId="64254376" w14:textId="21CEB432" w:rsidR="0016331B" w:rsidRDefault="0016331B" w:rsidP="00FE6C19">
            <w:pPr>
              <w:pStyle w:val="Tabletext"/>
            </w:pPr>
            <w:r>
              <w:t xml:space="preserve">As outlined in </w:t>
            </w:r>
            <w:r w:rsidRPr="00A1241B">
              <w:rPr>
                <w:b/>
                <w:bCs/>
              </w:rPr>
              <w:t>Chapter 3</w:t>
            </w:r>
            <w:r>
              <w:t xml:space="preserve"> </w:t>
            </w:r>
            <w:r w:rsidRPr="00AF6450">
              <w:rPr>
                <w:b/>
                <w:bCs/>
              </w:rPr>
              <w:t xml:space="preserve">(Need for Development) </w:t>
            </w:r>
            <w:r>
              <w:t xml:space="preserve">for the operational phase the embedded mitigation includes a new access route from Peyton Roundabout via a new three arm priority junction on </w:t>
            </w:r>
            <w:proofErr w:type="spellStart"/>
            <w:r>
              <w:t>Greenogue</w:t>
            </w:r>
            <w:proofErr w:type="spellEnd"/>
            <w:r>
              <w:t xml:space="preserve"> Drive connecting to the existing Mulally’s Lane. The existing Mulally’s Lane access from Peyton Roundabout will be closed to vehicles and repurposed into an active travel link.</w:t>
            </w:r>
            <w:r w:rsidR="002D1FD7">
              <w:t xml:space="preserve"> </w:t>
            </w:r>
            <w:proofErr w:type="gramStart"/>
            <w:r w:rsidR="002D1FD7">
              <w:t>T</w:t>
            </w:r>
            <w:r w:rsidR="002D1FD7" w:rsidRPr="00A2629F">
              <w:rPr>
                <w:rFonts w:cstheme="minorHAnsi"/>
              </w:rPr>
              <w:t>herefore</w:t>
            </w:r>
            <w:proofErr w:type="gramEnd"/>
            <w:r w:rsidR="002D1FD7" w:rsidRPr="00A2629F">
              <w:rPr>
                <w:rFonts w:cstheme="minorHAnsi"/>
              </w:rPr>
              <w:t xml:space="preserve"> the risk of a disaster occurring </w:t>
            </w:r>
            <w:proofErr w:type="gramStart"/>
            <w:r w:rsidR="002D1FD7" w:rsidRPr="00A2629F">
              <w:rPr>
                <w:rFonts w:cstheme="minorHAnsi"/>
              </w:rPr>
              <w:t>is considered to be</w:t>
            </w:r>
            <w:proofErr w:type="gramEnd"/>
            <w:r w:rsidR="002D1FD7" w:rsidRPr="00A2629F">
              <w:rPr>
                <w:rFonts w:cstheme="minorHAnsi"/>
              </w:rPr>
              <w:t xml:space="preserve"> low and is not considered further.</w:t>
            </w:r>
          </w:p>
          <w:p w14:paraId="0C83C298" w14:textId="45CED460" w:rsidR="0016331B" w:rsidRPr="00D5463F" w:rsidRDefault="0016331B" w:rsidP="00FE6C19">
            <w:pPr>
              <w:pStyle w:val="Tabletext"/>
            </w:pPr>
          </w:p>
        </w:tc>
        <w:tc>
          <w:tcPr>
            <w:tcW w:w="1978" w:type="dxa"/>
          </w:tcPr>
          <w:p w14:paraId="55F29AB6" w14:textId="474981C6" w:rsidR="0016331B" w:rsidRPr="0087343C" w:rsidRDefault="0016331B" w:rsidP="00A32642">
            <w:pPr>
              <w:pStyle w:val="Tabletext"/>
              <w:jc w:val="center"/>
              <w:rPr>
                <w:b/>
                <w:bCs/>
              </w:rPr>
            </w:pPr>
            <w:r>
              <w:rPr>
                <w:b/>
                <w:bCs/>
              </w:rPr>
              <w:t>N</w:t>
            </w:r>
          </w:p>
        </w:tc>
      </w:tr>
      <w:tr w:rsidR="0016331B" w:rsidRPr="00F14F19" w14:paraId="5717ED83" w14:textId="77777777" w:rsidTr="00CB06AE">
        <w:trPr>
          <w:trHeight w:val="225"/>
        </w:trPr>
        <w:tc>
          <w:tcPr>
            <w:tcW w:w="0" w:type="auto"/>
          </w:tcPr>
          <w:p w14:paraId="03C8FFDF" w14:textId="0BA18D60" w:rsidR="0016331B" w:rsidRPr="00F63B06" w:rsidRDefault="0016331B">
            <w:pPr>
              <w:pStyle w:val="Tabletext"/>
              <w:rPr>
                <w:b/>
                <w:bCs/>
              </w:rPr>
            </w:pPr>
            <w:r w:rsidRPr="00F63B06">
              <w:rPr>
                <w:b/>
                <w:bCs/>
              </w:rPr>
              <w:t>Accident – Aircraft/ Drone Strike</w:t>
            </w:r>
          </w:p>
        </w:tc>
        <w:tc>
          <w:tcPr>
            <w:tcW w:w="5627" w:type="dxa"/>
          </w:tcPr>
          <w:p w14:paraId="524A7CB2" w14:textId="06D55858" w:rsidR="0016331B" w:rsidRPr="00F63B06" w:rsidRDefault="0016331B">
            <w:pPr>
              <w:pStyle w:val="Tabletext"/>
            </w:pPr>
            <w:r w:rsidRPr="00F63B06">
              <w:t>There is limited potential for accidental damage to infrastructure due to aircrafts and drones passing over the Proposed Development.</w:t>
            </w:r>
          </w:p>
        </w:tc>
        <w:tc>
          <w:tcPr>
            <w:tcW w:w="1135" w:type="dxa"/>
          </w:tcPr>
          <w:p w14:paraId="2A316DD5" w14:textId="64302CA8" w:rsidR="0016331B" w:rsidRDefault="005D598E" w:rsidP="00CB06AE">
            <w:pPr>
              <w:pStyle w:val="Tabletext"/>
              <w:jc w:val="center"/>
              <w:rPr>
                <w:b/>
                <w:bCs/>
              </w:rPr>
            </w:pPr>
            <w:r>
              <w:rPr>
                <w:b/>
                <w:bCs/>
              </w:rPr>
              <w:t>1</w:t>
            </w:r>
          </w:p>
        </w:tc>
        <w:tc>
          <w:tcPr>
            <w:tcW w:w="978" w:type="dxa"/>
          </w:tcPr>
          <w:p w14:paraId="7BCE4F21" w14:textId="253876BC" w:rsidR="0016331B" w:rsidRDefault="0016331B" w:rsidP="00CB06AE">
            <w:pPr>
              <w:pStyle w:val="Tabletext"/>
              <w:jc w:val="center"/>
              <w:rPr>
                <w:b/>
                <w:bCs/>
              </w:rPr>
            </w:pPr>
            <w:r>
              <w:rPr>
                <w:b/>
                <w:bCs/>
              </w:rPr>
              <w:t>4</w:t>
            </w:r>
          </w:p>
        </w:tc>
        <w:tc>
          <w:tcPr>
            <w:tcW w:w="1272" w:type="dxa"/>
          </w:tcPr>
          <w:p w14:paraId="2C252F2F" w14:textId="6703EE5A" w:rsidR="0016331B" w:rsidRPr="00F63B06" w:rsidRDefault="005D598E" w:rsidP="00CB06AE">
            <w:pPr>
              <w:pStyle w:val="Tabletext"/>
              <w:jc w:val="center"/>
            </w:pPr>
            <w:r>
              <w:t>4</w:t>
            </w:r>
          </w:p>
        </w:tc>
        <w:tc>
          <w:tcPr>
            <w:tcW w:w="8650" w:type="dxa"/>
          </w:tcPr>
          <w:p w14:paraId="45D85F35" w14:textId="11E9D853" w:rsidR="0016331B" w:rsidRPr="00F63B06" w:rsidRDefault="0016331B" w:rsidP="00FE6C19">
            <w:pPr>
              <w:pStyle w:val="Tabletext"/>
            </w:pPr>
            <w:r w:rsidRPr="00F63B06">
              <w:t xml:space="preserve">The Proposed Development is located </w:t>
            </w:r>
            <w:r>
              <w:t xml:space="preserve">within 5km of </w:t>
            </w:r>
            <w:r w:rsidRPr="00F63B06">
              <w:t>the Casement Aerodrome</w:t>
            </w:r>
            <w:r>
              <w:t>, which encompasses the study area</w:t>
            </w:r>
            <w:r w:rsidRPr="00F63B06">
              <w:t>. If the onsite structures are considered an ‘aerodrome obstacle’ consultation with the aerodrome licence holder and the IAA would be undertaken, such that appropriate mitigation, i.e. lighting, is in place to minimise risk of collision.</w:t>
            </w:r>
            <w:r w:rsidR="002D1FD7">
              <w:t xml:space="preserve"> </w:t>
            </w:r>
            <w:r w:rsidR="00927EE4">
              <w:t xml:space="preserve">NO such </w:t>
            </w:r>
            <w:r w:rsidR="0097487E">
              <w:t>structures</w:t>
            </w:r>
            <w:r w:rsidR="00927EE4">
              <w:t xml:space="preserve"> are expected to be built on site</w:t>
            </w:r>
            <w:r w:rsidR="0097487E">
              <w:t>.</w:t>
            </w:r>
            <w:r w:rsidR="002D1FD7">
              <w:t xml:space="preserve"> </w:t>
            </w:r>
            <w:proofErr w:type="gramStart"/>
            <w:r w:rsidR="002D1FD7">
              <w:t>T</w:t>
            </w:r>
            <w:r w:rsidR="002D1FD7" w:rsidRPr="00A2629F">
              <w:rPr>
                <w:rFonts w:cstheme="minorHAnsi"/>
              </w:rPr>
              <w:t>herefore</w:t>
            </w:r>
            <w:proofErr w:type="gramEnd"/>
            <w:r w:rsidR="002D1FD7" w:rsidRPr="00A2629F">
              <w:rPr>
                <w:rFonts w:cstheme="minorHAnsi"/>
              </w:rPr>
              <w:t xml:space="preserve"> the risk of a disaster occurring </w:t>
            </w:r>
            <w:proofErr w:type="gramStart"/>
            <w:r w:rsidR="002D1FD7" w:rsidRPr="00A2629F">
              <w:rPr>
                <w:rFonts w:cstheme="minorHAnsi"/>
              </w:rPr>
              <w:t>is considered to be</w:t>
            </w:r>
            <w:proofErr w:type="gramEnd"/>
            <w:r w:rsidR="002D1FD7" w:rsidRPr="00A2629F">
              <w:rPr>
                <w:rFonts w:cstheme="minorHAnsi"/>
              </w:rPr>
              <w:t xml:space="preserve"> low and is not considered further.</w:t>
            </w:r>
          </w:p>
        </w:tc>
        <w:tc>
          <w:tcPr>
            <w:tcW w:w="1978" w:type="dxa"/>
          </w:tcPr>
          <w:p w14:paraId="4CCC5CFB" w14:textId="791E86D3" w:rsidR="0016331B" w:rsidRDefault="0016331B" w:rsidP="00A32642">
            <w:pPr>
              <w:pStyle w:val="Tabletext"/>
              <w:jc w:val="center"/>
              <w:rPr>
                <w:b/>
                <w:bCs/>
              </w:rPr>
            </w:pPr>
            <w:r>
              <w:rPr>
                <w:b/>
                <w:bCs/>
              </w:rPr>
              <w:t>N</w:t>
            </w:r>
          </w:p>
        </w:tc>
      </w:tr>
      <w:tr w:rsidR="0016331B" w:rsidRPr="00F14F19" w14:paraId="67601584" w14:textId="77777777" w:rsidTr="00CB06AE">
        <w:trPr>
          <w:trHeight w:val="225"/>
        </w:trPr>
        <w:tc>
          <w:tcPr>
            <w:tcW w:w="0" w:type="auto"/>
          </w:tcPr>
          <w:p w14:paraId="53BCBCC5" w14:textId="6B585AF8" w:rsidR="0016331B" w:rsidRPr="007F572D" w:rsidRDefault="0016331B">
            <w:pPr>
              <w:pStyle w:val="Tabletext"/>
              <w:rPr>
                <w:b/>
                <w:bCs/>
                <w:highlight w:val="yellow"/>
              </w:rPr>
            </w:pPr>
            <w:r w:rsidRPr="00847C73">
              <w:rPr>
                <w:b/>
                <w:bCs/>
              </w:rPr>
              <w:t>Accident - Vandalism/ Arson/</w:t>
            </w:r>
            <w:r w:rsidR="00426BB5">
              <w:rPr>
                <w:b/>
                <w:bCs/>
              </w:rPr>
              <w:t>Civil Unrest</w:t>
            </w:r>
            <w:r w:rsidR="002F4E9C">
              <w:rPr>
                <w:b/>
                <w:bCs/>
              </w:rPr>
              <w:t xml:space="preserve">/ </w:t>
            </w:r>
            <w:r w:rsidRPr="00847C73">
              <w:rPr>
                <w:b/>
                <w:bCs/>
              </w:rPr>
              <w:t xml:space="preserve"> Terrorism/ Cyber Attack</w:t>
            </w:r>
          </w:p>
        </w:tc>
        <w:tc>
          <w:tcPr>
            <w:tcW w:w="5627" w:type="dxa"/>
          </w:tcPr>
          <w:p w14:paraId="018F49EB" w14:textId="531CB4E1" w:rsidR="0016331B" w:rsidRDefault="0016331B" w:rsidP="00FE6C19">
            <w:pPr>
              <w:pStyle w:val="Tabletext"/>
            </w:pPr>
            <w:r>
              <w:t>Vandalism, arson</w:t>
            </w:r>
            <w:r w:rsidR="002F4E9C">
              <w:t>, civil unrest</w:t>
            </w:r>
            <w:r>
              <w:t xml:space="preserve"> and terrorist activities could cause harm to people on </w:t>
            </w:r>
            <w:r w:rsidR="002F4E9C">
              <w:t>the Constructio</w:t>
            </w:r>
            <w:r w:rsidR="00CB3E22">
              <w:t xml:space="preserve">n </w:t>
            </w:r>
            <w:r>
              <w:t xml:space="preserve">Site, damage to assets and </w:t>
            </w:r>
            <w:r w:rsidR="00F52367">
              <w:t xml:space="preserve">impact on future residents </w:t>
            </w:r>
            <w:r>
              <w:t xml:space="preserve"> at the Proposed Development. </w:t>
            </w:r>
          </w:p>
          <w:p w14:paraId="4ECB6A70" w14:textId="77777777" w:rsidR="0016331B" w:rsidRDefault="0016331B" w:rsidP="00FE6C19">
            <w:pPr>
              <w:pStyle w:val="Tabletext"/>
            </w:pPr>
            <w:r>
              <w:t xml:space="preserve">There is limited potential for hostile acts against The Proposed Development. </w:t>
            </w:r>
          </w:p>
          <w:p w14:paraId="6CBF39E1" w14:textId="0F53F595" w:rsidR="0016331B" w:rsidRDefault="0016331B" w:rsidP="00FE6C19">
            <w:pPr>
              <w:pStyle w:val="Tabletext"/>
            </w:pPr>
            <w:r>
              <w:t xml:space="preserve">In most instances, these acts would be limited </w:t>
            </w:r>
            <w:r w:rsidR="00C40FA1">
              <w:t>to</w:t>
            </w:r>
            <w:r>
              <w:t xml:space="preserve"> minor damage or vandalism. The potential for a significant terrorist incident would be considered as unlikely as the Proposed Development would not be considered as a high-risk target. </w:t>
            </w:r>
          </w:p>
          <w:p w14:paraId="256496F7" w14:textId="787AA213" w:rsidR="0016331B" w:rsidRDefault="0016331B" w:rsidP="00FE6C19">
            <w:pPr>
              <w:pStyle w:val="Tabletext"/>
            </w:pPr>
            <w:r>
              <w:t xml:space="preserve">Cyber security where electronic  systems </w:t>
            </w:r>
            <w:r w:rsidR="00DF7BF5">
              <w:t xml:space="preserve">such as </w:t>
            </w:r>
            <w:proofErr w:type="spellStart"/>
            <w:r w:rsidR="00DF7BF5">
              <w:t>wif</w:t>
            </w:r>
            <w:proofErr w:type="spellEnd"/>
            <w:r w:rsidR="00DF7BF5">
              <w:t>-fi and internet</w:t>
            </w:r>
            <w:r>
              <w:t xml:space="preserve"> are remotely accessed by bad actors for a variety of purposes is an increasing threat to </w:t>
            </w:r>
            <w:r w:rsidR="00DF7BF5">
              <w:t>society</w:t>
            </w:r>
            <w:r w:rsidR="005A362D">
              <w:t xml:space="preserve">.  However, </w:t>
            </w:r>
            <w:r w:rsidR="0054438C">
              <w:t>residents occupying the Proposed Development would procure their</w:t>
            </w:r>
            <w:r w:rsidR="00EF57E1">
              <w:t xml:space="preserve"> own internet provision and this is not considered to be a credible </w:t>
            </w:r>
            <w:r w:rsidR="002633A0">
              <w:t>MA&amp;D.</w:t>
            </w:r>
          </w:p>
          <w:p w14:paraId="0A36F458" w14:textId="77777777" w:rsidR="0016331B" w:rsidRDefault="0016331B" w:rsidP="00FE6C19">
            <w:pPr>
              <w:pStyle w:val="Tabletext"/>
            </w:pPr>
          </w:p>
        </w:tc>
        <w:tc>
          <w:tcPr>
            <w:tcW w:w="1135" w:type="dxa"/>
          </w:tcPr>
          <w:p w14:paraId="2CED2EF9" w14:textId="61447F12" w:rsidR="0016331B" w:rsidRDefault="0016331B" w:rsidP="00CB06AE">
            <w:pPr>
              <w:pStyle w:val="Tabletext"/>
              <w:jc w:val="center"/>
              <w:rPr>
                <w:b/>
                <w:bCs/>
              </w:rPr>
            </w:pPr>
            <w:r>
              <w:rPr>
                <w:b/>
                <w:bCs/>
              </w:rPr>
              <w:t>2</w:t>
            </w:r>
          </w:p>
        </w:tc>
        <w:tc>
          <w:tcPr>
            <w:tcW w:w="978" w:type="dxa"/>
          </w:tcPr>
          <w:p w14:paraId="62E6B5C7" w14:textId="29A3E940" w:rsidR="0016331B" w:rsidRDefault="0016331B" w:rsidP="00CB06AE">
            <w:pPr>
              <w:pStyle w:val="Tabletext"/>
              <w:jc w:val="center"/>
              <w:rPr>
                <w:b/>
                <w:bCs/>
              </w:rPr>
            </w:pPr>
            <w:r>
              <w:rPr>
                <w:b/>
                <w:bCs/>
              </w:rPr>
              <w:t>2</w:t>
            </w:r>
          </w:p>
        </w:tc>
        <w:tc>
          <w:tcPr>
            <w:tcW w:w="1272" w:type="dxa"/>
          </w:tcPr>
          <w:p w14:paraId="649B9BCB" w14:textId="5FA3B2E1" w:rsidR="0016331B" w:rsidRDefault="005D598E" w:rsidP="00CB06AE">
            <w:pPr>
              <w:pStyle w:val="Tabletext"/>
              <w:jc w:val="center"/>
            </w:pPr>
            <w:r>
              <w:t>4</w:t>
            </w:r>
          </w:p>
        </w:tc>
        <w:tc>
          <w:tcPr>
            <w:tcW w:w="8650" w:type="dxa"/>
          </w:tcPr>
          <w:p w14:paraId="1624267B" w14:textId="7637D86F" w:rsidR="002D1FD7" w:rsidRPr="00A2629F" w:rsidRDefault="002D1FD7" w:rsidP="002D1FD7">
            <w:pPr>
              <w:pStyle w:val="Tabletext"/>
              <w:rPr>
                <w:rFonts w:cstheme="minorHAnsi"/>
              </w:rPr>
            </w:pPr>
            <w:r w:rsidRPr="00A2629F">
              <w:rPr>
                <w:rFonts w:cstheme="minorHAnsi"/>
              </w:rPr>
              <w:t xml:space="preserve">Vandalism, arson and terrorist activities could cause harm to people on Site, damage to assets and interruption operations at the Proposed Development. </w:t>
            </w:r>
          </w:p>
          <w:p w14:paraId="65C64654" w14:textId="2BFFED60" w:rsidR="0016331B" w:rsidRDefault="0016331B" w:rsidP="00FE6C19">
            <w:pPr>
              <w:pStyle w:val="Tabletext"/>
            </w:pPr>
            <w:r>
              <w:t>This will be mitigated by implementing security measures including appropriate fencing, CCTV, access control and guards etc during the construction phases of the Proposed Development.</w:t>
            </w:r>
            <w:r w:rsidR="002D1FD7">
              <w:t xml:space="preserve"> Embedded design will ensure that the residential properties will be include door and windows developed to appropriate BS EN standards including consideration of security and access.</w:t>
            </w:r>
          </w:p>
          <w:p w14:paraId="0004C42A" w14:textId="039AFFAF" w:rsidR="0016331B" w:rsidRDefault="0016331B" w:rsidP="00CB06AE">
            <w:pPr>
              <w:pStyle w:val="Tabletext"/>
            </w:pPr>
            <w:r>
              <w:t>The measures described above will reduce the risk associated with vandalism, arson</w:t>
            </w:r>
            <w:r w:rsidR="00D207B2">
              <w:t xml:space="preserve"> and</w:t>
            </w:r>
            <w:r>
              <w:t xml:space="preserve"> terrorism to a low level.</w:t>
            </w:r>
          </w:p>
          <w:p w14:paraId="65E5B568" w14:textId="77777777" w:rsidR="0016331B" w:rsidRDefault="0016331B" w:rsidP="00FE6C19">
            <w:pPr>
              <w:pStyle w:val="Tabletext"/>
            </w:pPr>
            <w:r>
              <w:t xml:space="preserve">In addition, while the </w:t>
            </w:r>
            <w:r w:rsidRPr="00A3699B">
              <w:t>National</w:t>
            </w:r>
            <w:r w:rsidRPr="0023216F">
              <w:t xml:space="preserve"> Risk Assessment for Ireland 2024</w:t>
            </w:r>
            <w:r>
              <w:t xml:space="preserve"> and the National Cyber Risk Assessment 2025</w:t>
            </w:r>
            <w:r w:rsidRPr="0023216F">
              <w:t xml:space="preserve">, reflects the </w:t>
            </w:r>
            <w:proofErr w:type="gramStart"/>
            <w:r w:rsidRPr="0023216F">
              <w:t>ever increasing</w:t>
            </w:r>
            <w:proofErr w:type="gramEnd"/>
            <w:r w:rsidRPr="0023216F">
              <w:t xml:space="preserve"> risk around armed c</w:t>
            </w:r>
            <w:r>
              <w:t>onflict, terrorism and geopolitical instability leading up to the ongoing invasion of Ukraine there are no similar ‘recorded incidents or anecdotal evidence’ of an attack of this magnitude in Ireland and as such at this time this has been considered ‘very unlikely’.</w:t>
            </w:r>
          </w:p>
          <w:p w14:paraId="2242FB9F" w14:textId="69B54809" w:rsidR="002D1FD7" w:rsidRDefault="002D1FD7" w:rsidP="00FE6C19">
            <w:pPr>
              <w:pStyle w:val="Tabletext"/>
            </w:pPr>
            <w:proofErr w:type="gramStart"/>
            <w:r>
              <w:t>T</w:t>
            </w:r>
            <w:r w:rsidRPr="00A2629F">
              <w:rPr>
                <w:rFonts w:cstheme="minorHAnsi"/>
              </w:rPr>
              <w:t>herefore</w:t>
            </w:r>
            <w:proofErr w:type="gramEnd"/>
            <w:r w:rsidRPr="00A2629F">
              <w:rPr>
                <w:rFonts w:cstheme="minorHAnsi"/>
              </w:rPr>
              <w:t xml:space="preserve"> the risk of a disaster occurring </w:t>
            </w:r>
            <w:proofErr w:type="gramStart"/>
            <w:r w:rsidRPr="00A2629F">
              <w:rPr>
                <w:rFonts w:cstheme="minorHAnsi"/>
              </w:rPr>
              <w:t>is considered to be</w:t>
            </w:r>
            <w:proofErr w:type="gramEnd"/>
            <w:r w:rsidRPr="00A2629F">
              <w:rPr>
                <w:rFonts w:cstheme="minorHAnsi"/>
              </w:rPr>
              <w:t xml:space="preserve"> low and is not considered further.</w:t>
            </w:r>
          </w:p>
        </w:tc>
        <w:tc>
          <w:tcPr>
            <w:tcW w:w="1978" w:type="dxa"/>
          </w:tcPr>
          <w:p w14:paraId="0AB5468C" w14:textId="3209E663" w:rsidR="0016331B" w:rsidRDefault="0016331B" w:rsidP="00A32642">
            <w:pPr>
              <w:pStyle w:val="Tabletext"/>
              <w:jc w:val="center"/>
              <w:rPr>
                <w:b/>
                <w:bCs/>
              </w:rPr>
            </w:pPr>
            <w:r>
              <w:rPr>
                <w:b/>
                <w:bCs/>
              </w:rPr>
              <w:t>N</w:t>
            </w:r>
          </w:p>
        </w:tc>
      </w:tr>
      <w:tr w:rsidR="0016331B" w:rsidRPr="00F14F19" w14:paraId="747C11DA" w14:textId="77777777" w:rsidTr="00CB06AE">
        <w:trPr>
          <w:trHeight w:val="225"/>
        </w:trPr>
        <w:tc>
          <w:tcPr>
            <w:tcW w:w="0" w:type="auto"/>
          </w:tcPr>
          <w:p w14:paraId="6E689730" w14:textId="77777777" w:rsidR="0016331B" w:rsidRPr="00E63D47" w:rsidRDefault="0016331B" w:rsidP="00E63D47">
            <w:pPr>
              <w:pStyle w:val="Tabletext"/>
              <w:rPr>
                <w:b/>
                <w:bCs/>
              </w:rPr>
            </w:pPr>
            <w:r w:rsidRPr="00E63D47">
              <w:rPr>
                <w:b/>
                <w:bCs/>
              </w:rPr>
              <w:t>Climate Change/ Natural Event –</w:t>
            </w:r>
          </w:p>
          <w:p w14:paraId="40D8338B" w14:textId="3D7D115C" w:rsidR="0016331B" w:rsidRPr="007F572D" w:rsidRDefault="0016331B" w:rsidP="00E63D47">
            <w:pPr>
              <w:pStyle w:val="Tabletext"/>
              <w:rPr>
                <w:b/>
                <w:bCs/>
                <w:highlight w:val="yellow"/>
              </w:rPr>
            </w:pPr>
            <w:r w:rsidRPr="00E63D47">
              <w:rPr>
                <w:b/>
                <w:bCs/>
              </w:rPr>
              <w:lastRenderedPageBreak/>
              <w:t>Surface Water Flooding</w:t>
            </w:r>
          </w:p>
        </w:tc>
        <w:tc>
          <w:tcPr>
            <w:tcW w:w="5627" w:type="dxa"/>
          </w:tcPr>
          <w:p w14:paraId="248532E2" w14:textId="42C09B1F" w:rsidR="0016331B" w:rsidRDefault="0016331B" w:rsidP="008D0B79">
            <w:pPr>
              <w:pStyle w:val="Tabletext"/>
            </w:pPr>
            <w:r w:rsidRPr="003341D3">
              <w:lastRenderedPageBreak/>
              <w:t xml:space="preserve">The frequency of storm events experienced in the location of </w:t>
            </w:r>
            <w:r w:rsidR="00926808">
              <w:t>t</w:t>
            </w:r>
            <w:r w:rsidRPr="003341D3">
              <w:t xml:space="preserve">he Proposed Development could increase during the lifecycle of the </w:t>
            </w:r>
            <w:r w:rsidR="00236B93">
              <w:lastRenderedPageBreak/>
              <w:t>development</w:t>
            </w:r>
            <w:r w:rsidRPr="003341D3">
              <w:t xml:space="preserve"> </w:t>
            </w:r>
            <w:proofErr w:type="gramStart"/>
            <w:r w:rsidRPr="003341D3">
              <w:t>as a result of</w:t>
            </w:r>
            <w:proofErr w:type="gramEnd"/>
            <w:r w:rsidRPr="003341D3">
              <w:t xml:space="preserve"> climate change. This could result in, flash flooding due to sudden heavy rainfall, increased surface water accumulation (pluvial flooding), and fluvial flooding from rivers. Flooding could result in damage to site assets</w:t>
            </w:r>
            <w:r>
              <w:t>.</w:t>
            </w:r>
          </w:p>
          <w:p w14:paraId="1E8F754F" w14:textId="77777777" w:rsidR="0016331B" w:rsidRDefault="0016331B" w:rsidP="008D0B79">
            <w:pPr>
              <w:pStyle w:val="Tabletext"/>
            </w:pPr>
            <w:r>
              <w:t xml:space="preserve">A Site-Specific Flood Risk Assessment (FRA) Report has been prepared, refer to </w:t>
            </w:r>
            <w:r w:rsidRPr="00711CF0">
              <w:rPr>
                <w:b/>
              </w:rPr>
              <w:t xml:space="preserve">EIAR Volume II Appendix </w:t>
            </w:r>
            <w:r w:rsidRPr="00711CF0">
              <w:rPr>
                <w:b/>
                <w:bCs/>
              </w:rPr>
              <w:t>8-2</w:t>
            </w:r>
            <w:r w:rsidRPr="00711CF0">
              <w:t>.</w:t>
            </w:r>
            <w:r>
              <w:t xml:space="preserve"> </w:t>
            </w:r>
          </w:p>
          <w:p w14:paraId="3A475678" w14:textId="00941332" w:rsidR="0016331B" w:rsidRPr="003341D3" w:rsidRDefault="0016331B" w:rsidP="008D0B79">
            <w:pPr>
              <w:pStyle w:val="Tabletext"/>
            </w:pPr>
            <w:r>
              <w:t>The purpose of the FRA is to identify whether a potential risk of flooding exists at The Proposed Development, and if so, to what extent.</w:t>
            </w:r>
          </w:p>
        </w:tc>
        <w:tc>
          <w:tcPr>
            <w:tcW w:w="1135" w:type="dxa"/>
          </w:tcPr>
          <w:p w14:paraId="2D1293AF" w14:textId="14423918" w:rsidR="0016331B" w:rsidRPr="00D35C6B" w:rsidRDefault="005D598E" w:rsidP="00CB06AE">
            <w:pPr>
              <w:pStyle w:val="Tabletext"/>
              <w:jc w:val="center"/>
              <w:rPr>
                <w:b/>
                <w:bCs/>
              </w:rPr>
            </w:pPr>
            <w:r>
              <w:rPr>
                <w:b/>
                <w:bCs/>
              </w:rPr>
              <w:lastRenderedPageBreak/>
              <w:t>3</w:t>
            </w:r>
          </w:p>
        </w:tc>
        <w:tc>
          <w:tcPr>
            <w:tcW w:w="978" w:type="dxa"/>
          </w:tcPr>
          <w:p w14:paraId="33B9D91E" w14:textId="69186DA3" w:rsidR="0016331B" w:rsidRDefault="0016331B" w:rsidP="00CB06AE">
            <w:pPr>
              <w:pStyle w:val="Tabletext"/>
              <w:jc w:val="center"/>
              <w:rPr>
                <w:b/>
                <w:bCs/>
              </w:rPr>
            </w:pPr>
            <w:r>
              <w:rPr>
                <w:b/>
                <w:bCs/>
              </w:rPr>
              <w:t>2</w:t>
            </w:r>
          </w:p>
        </w:tc>
        <w:tc>
          <w:tcPr>
            <w:tcW w:w="1272" w:type="dxa"/>
          </w:tcPr>
          <w:p w14:paraId="69B2F4BE" w14:textId="7B4939C8" w:rsidR="0016331B" w:rsidRDefault="005D598E" w:rsidP="00CB06AE">
            <w:pPr>
              <w:pStyle w:val="Tabletext"/>
              <w:jc w:val="center"/>
              <w:rPr>
                <w:lang w:val="en-IE"/>
              </w:rPr>
            </w:pPr>
            <w:r>
              <w:rPr>
                <w:lang w:val="en-IE"/>
              </w:rPr>
              <w:t>6</w:t>
            </w:r>
          </w:p>
        </w:tc>
        <w:tc>
          <w:tcPr>
            <w:tcW w:w="8650" w:type="dxa"/>
          </w:tcPr>
          <w:p w14:paraId="43C3F446" w14:textId="3C5A27BB" w:rsidR="0016331B" w:rsidRDefault="0016331B" w:rsidP="008D0B79">
            <w:pPr>
              <w:pStyle w:val="Tabletext"/>
              <w:rPr>
                <w:lang w:val="en-IE"/>
              </w:rPr>
            </w:pPr>
            <w:r>
              <w:rPr>
                <w:lang w:val="en-IE"/>
              </w:rPr>
              <w:t xml:space="preserve">Known incidences of extreme weather </w:t>
            </w:r>
            <w:hyperlink r:id="rId25" w:history="1">
              <w:r w:rsidRPr="00093A2E">
                <w:rPr>
                  <w:rStyle w:val="Hyperlink"/>
                  <w:color w:val="00353E" w:themeColor="accent2"/>
                  <w:lang w:val="en-IE"/>
                </w:rPr>
                <w:t>https://www.met.ie/climate/weather-extreme-records</w:t>
              </w:r>
            </w:hyperlink>
            <w:r w:rsidRPr="00093A2E">
              <w:rPr>
                <w:color w:val="00353E" w:themeColor="accent2"/>
                <w:lang w:val="en-IE"/>
              </w:rPr>
              <w:t xml:space="preserve"> </w:t>
            </w:r>
          </w:p>
          <w:p w14:paraId="3E9B5A71" w14:textId="77777777" w:rsidR="0016331B" w:rsidRDefault="0016331B" w:rsidP="008D0B79">
            <w:pPr>
              <w:pStyle w:val="Tabletext"/>
              <w:rPr>
                <w:lang w:val="en-IE"/>
              </w:rPr>
            </w:pPr>
            <w:r>
              <w:rPr>
                <w:lang w:val="en-IE"/>
              </w:rPr>
              <w:t>Mitigation is drainage, design, warnings of storms, etc.</w:t>
            </w:r>
          </w:p>
          <w:p w14:paraId="6F152515" w14:textId="1615333C" w:rsidR="00BC14F9" w:rsidRPr="00BC14F9" w:rsidRDefault="00BC14F9" w:rsidP="00BC14F9">
            <w:pPr>
              <w:pStyle w:val="Tabletext"/>
            </w:pPr>
            <w:r>
              <w:lastRenderedPageBreak/>
              <w:t>A</w:t>
            </w:r>
            <w:r w:rsidRPr="00BC14F9">
              <w:t xml:space="preserve"> Stage 2 Flood Risk Assessment </w:t>
            </w:r>
            <w:r w:rsidR="0055639B">
              <w:t xml:space="preserve">(FRA) </w:t>
            </w:r>
            <w:r>
              <w:t>was completed (</w:t>
            </w:r>
            <w:r w:rsidRPr="00BC14F9">
              <w:t>Volume 02; Appendix A8-2</w:t>
            </w:r>
            <w:r>
              <w:t>) which</w:t>
            </w:r>
            <w:r w:rsidRPr="00BC14F9">
              <w:t> concluded that </w:t>
            </w:r>
            <w:r w:rsidRPr="00BC14F9">
              <w:rPr>
                <w:u w:val="single"/>
              </w:rPr>
              <w:t>parts of the </w:t>
            </w:r>
            <w:r w:rsidRPr="00BC14F9">
              <w:t>Site </w:t>
            </w:r>
            <w:r w:rsidRPr="00BC14F9">
              <w:rPr>
                <w:u w:val="single"/>
              </w:rPr>
              <w:t>are</w:t>
            </w:r>
            <w:r w:rsidRPr="00BC14F9">
              <w:t> classified as Flood Zone A (high probability of flooding where the probability of flooding is greatest (greater than 1% or 1 in 100 for river flooding and 0.5% or 1 in 200 for coastal flooding)). </w:t>
            </w:r>
          </w:p>
          <w:p w14:paraId="79B38284" w14:textId="658A40CF" w:rsidR="0010243E" w:rsidRDefault="00BC14F9" w:rsidP="0010243E">
            <w:pPr>
              <w:pStyle w:val="Tabletext"/>
            </w:pPr>
            <w:r w:rsidRPr="00BC14F9">
              <w:t xml:space="preserve">The Site is also noted to be subject to fluvial flooding, primarily along the extents of the </w:t>
            </w:r>
            <w:proofErr w:type="spellStart"/>
            <w:r w:rsidR="0010243E">
              <w:t>Crockshane</w:t>
            </w:r>
            <w:proofErr w:type="spellEnd"/>
            <w:r w:rsidR="0010243E">
              <w:t xml:space="preserve"> (Slade) Stream, located along the southern boundary of the site, and the </w:t>
            </w:r>
            <w:proofErr w:type="gramStart"/>
            <w:r w:rsidR="0010243E">
              <w:t>River</w:t>
            </w:r>
            <w:proofErr w:type="gramEnd"/>
            <w:r w:rsidR="0010243E">
              <w:t xml:space="preserve"> </w:t>
            </w:r>
          </w:p>
          <w:p w14:paraId="53F96646" w14:textId="4781A90D" w:rsidR="0055639B" w:rsidRDefault="0010243E" w:rsidP="00BC14F9">
            <w:pPr>
              <w:pStyle w:val="Tabletext"/>
            </w:pPr>
            <w:r>
              <w:t xml:space="preserve">Camac, running along the eastern boundary of the site. There is also minor flooding within the western portion of the site, along the Coolmine Stream. With regards to flooding along the River Camac, it must be noted that the Camac Flood Alleviation Scheme is currently underway, which is to assess the risk of flooding in key parts of the Camac catchment area which will in turn, inform engineering options to further reduce the risk of flooding in these areas. </w:t>
            </w:r>
            <w:r w:rsidR="00BC14F9" w:rsidRPr="00BC14F9">
              <w:t xml:space="preserve"> </w:t>
            </w:r>
          </w:p>
          <w:p w14:paraId="193C7770" w14:textId="2670B91B" w:rsidR="00BC14F9" w:rsidRPr="00BC14F9" w:rsidRDefault="0055639B" w:rsidP="00BC14F9">
            <w:pPr>
              <w:pStyle w:val="Tabletext"/>
            </w:pPr>
            <w:r>
              <w:t>C</w:t>
            </w:r>
            <w:r w:rsidRPr="0055639B">
              <w:t>hapter</w:t>
            </w:r>
            <w:r>
              <w:t xml:space="preserve"> 8 Water Environment</w:t>
            </w:r>
            <w:r w:rsidRPr="0055639B">
              <w:t xml:space="preserve"> concluded that, subject to the implementation of embedded mitigation measures, effects on the water environment would be </w:t>
            </w:r>
            <w:r w:rsidRPr="0055639B">
              <w:rPr>
                <w:b/>
                <w:bCs/>
              </w:rPr>
              <w:t>not significant</w:t>
            </w:r>
            <w:r w:rsidRPr="0055639B">
              <w:t> during both construction and operation.</w:t>
            </w:r>
          </w:p>
          <w:p w14:paraId="368E5D3A" w14:textId="59F0F4AE" w:rsidR="00BC14F9" w:rsidRDefault="0055639B" w:rsidP="008D0B79">
            <w:pPr>
              <w:pStyle w:val="Tabletext"/>
              <w:rPr>
                <w:lang w:val="en-IE"/>
              </w:rPr>
            </w:pPr>
            <w:r>
              <w:t>Chapter 10 Climate concluded there were n</w:t>
            </w:r>
            <w:r w:rsidRPr="0055639B">
              <w:t>o significant residual effects have been identified</w:t>
            </w:r>
            <w:r>
              <w:t xml:space="preserve"> in</w:t>
            </w:r>
            <w:r w:rsidRPr="0055639B">
              <w:t xml:space="preserve"> the C</w:t>
            </w:r>
            <w:r>
              <w:t xml:space="preserve">limate Change </w:t>
            </w:r>
            <w:r w:rsidRPr="0055639B">
              <w:t>R</w:t>
            </w:r>
            <w:r>
              <w:t xml:space="preserve">isk </w:t>
            </w:r>
            <w:r w:rsidRPr="0055639B">
              <w:t>A</w:t>
            </w:r>
            <w:r>
              <w:t>ssessment (CCCRA)</w:t>
            </w:r>
            <w:r w:rsidRPr="0055639B">
              <w:t>. </w:t>
            </w:r>
            <w:proofErr w:type="gramStart"/>
            <w:r w:rsidRPr="0055639B">
              <w:t>A number of</w:t>
            </w:r>
            <w:proofErr w:type="gramEnd"/>
            <w:r w:rsidRPr="0055639B">
              <w:t> climate resilience measures have been embedded within the design of the Proposed Development. </w:t>
            </w:r>
            <w:r>
              <w:t xml:space="preserve"> </w:t>
            </w:r>
            <w:proofErr w:type="gramStart"/>
            <w:r>
              <w:t>T</w:t>
            </w:r>
            <w:r w:rsidRPr="00A2629F">
              <w:rPr>
                <w:rFonts w:cstheme="minorHAnsi"/>
              </w:rPr>
              <w:t>herefore</w:t>
            </w:r>
            <w:proofErr w:type="gramEnd"/>
            <w:r w:rsidRPr="00A2629F">
              <w:rPr>
                <w:rFonts w:cstheme="minorHAnsi"/>
              </w:rPr>
              <w:t xml:space="preserve"> the risk of a disaster occurring </w:t>
            </w:r>
            <w:proofErr w:type="gramStart"/>
            <w:r w:rsidRPr="00A2629F">
              <w:rPr>
                <w:rFonts w:cstheme="minorHAnsi"/>
              </w:rPr>
              <w:t>is considered to be</w:t>
            </w:r>
            <w:proofErr w:type="gramEnd"/>
            <w:r w:rsidRPr="00A2629F">
              <w:rPr>
                <w:rFonts w:cstheme="minorHAnsi"/>
              </w:rPr>
              <w:t xml:space="preserve"> low and is not considered further.</w:t>
            </w:r>
          </w:p>
        </w:tc>
        <w:tc>
          <w:tcPr>
            <w:tcW w:w="1978" w:type="dxa"/>
          </w:tcPr>
          <w:p w14:paraId="0B9F2C88" w14:textId="71541C85" w:rsidR="0016331B" w:rsidRDefault="0016331B" w:rsidP="00A32642">
            <w:pPr>
              <w:pStyle w:val="Tabletext"/>
              <w:jc w:val="center"/>
              <w:rPr>
                <w:b/>
                <w:bCs/>
              </w:rPr>
            </w:pPr>
            <w:r>
              <w:rPr>
                <w:b/>
                <w:bCs/>
              </w:rPr>
              <w:lastRenderedPageBreak/>
              <w:t>N</w:t>
            </w:r>
          </w:p>
        </w:tc>
      </w:tr>
      <w:tr w:rsidR="0016331B" w:rsidRPr="00F14F19" w14:paraId="224CCED4" w14:textId="77777777" w:rsidTr="00CB06AE">
        <w:trPr>
          <w:trHeight w:val="225"/>
        </w:trPr>
        <w:tc>
          <w:tcPr>
            <w:tcW w:w="0" w:type="auto"/>
          </w:tcPr>
          <w:p w14:paraId="5177BFCB" w14:textId="7A087E5F" w:rsidR="0016331B" w:rsidRPr="000F10ED" w:rsidRDefault="0016331B" w:rsidP="000F10ED">
            <w:pPr>
              <w:pStyle w:val="Tabletext"/>
              <w:rPr>
                <w:b/>
                <w:bCs/>
              </w:rPr>
            </w:pPr>
            <w:r w:rsidRPr="00766246">
              <w:rPr>
                <w:b/>
                <w:bCs/>
              </w:rPr>
              <w:t>Climate Change/ Natural Event – Coastal Flooding</w:t>
            </w:r>
          </w:p>
        </w:tc>
        <w:tc>
          <w:tcPr>
            <w:tcW w:w="5627" w:type="dxa"/>
          </w:tcPr>
          <w:p w14:paraId="5B902902" w14:textId="543F390E" w:rsidR="0016331B" w:rsidRPr="00711CF0" w:rsidRDefault="0016331B">
            <w:pPr>
              <w:pStyle w:val="Tabletext"/>
            </w:pPr>
            <w:r w:rsidRPr="00711CF0">
              <w:t xml:space="preserve">The frequency of storms experienced in the location of the Proposed Development could increase during the lifecycle of the </w:t>
            </w:r>
            <w:r w:rsidR="009E0CB4">
              <w:t>development</w:t>
            </w:r>
            <w:r w:rsidR="009E0CB4" w:rsidRPr="00711CF0">
              <w:t xml:space="preserve"> </w:t>
            </w:r>
            <w:proofErr w:type="gramStart"/>
            <w:r w:rsidRPr="00711CF0">
              <w:t>as a result of</w:t>
            </w:r>
            <w:proofErr w:type="gramEnd"/>
            <w:r w:rsidRPr="00711CF0">
              <w:t xml:space="preserve"> climate change. This could result in storm surges from the Irish Sea, and increased risk of coastal flooding, which could result in damage to site assets</w:t>
            </w:r>
            <w:r>
              <w:t>.</w:t>
            </w:r>
          </w:p>
        </w:tc>
        <w:tc>
          <w:tcPr>
            <w:tcW w:w="1135" w:type="dxa"/>
          </w:tcPr>
          <w:p w14:paraId="228321E2" w14:textId="3D772F07" w:rsidR="0016331B" w:rsidRDefault="0016331B" w:rsidP="00CB06AE">
            <w:pPr>
              <w:pStyle w:val="Tabletext"/>
              <w:jc w:val="center"/>
              <w:rPr>
                <w:b/>
                <w:bCs/>
              </w:rPr>
            </w:pPr>
            <w:r>
              <w:rPr>
                <w:b/>
                <w:bCs/>
              </w:rPr>
              <w:t>No risk</w:t>
            </w:r>
          </w:p>
        </w:tc>
        <w:tc>
          <w:tcPr>
            <w:tcW w:w="978" w:type="dxa"/>
          </w:tcPr>
          <w:p w14:paraId="5E1E7D3B" w14:textId="7DFFE394" w:rsidR="0016331B" w:rsidRDefault="0016331B" w:rsidP="00CB06AE">
            <w:pPr>
              <w:pStyle w:val="Tabletext"/>
              <w:jc w:val="center"/>
              <w:rPr>
                <w:b/>
                <w:bCs/>
              </w:rPr>
            </w:pPr>
            <w:r>
              <w:rPr>
                <w:b/>
                <w:bCs/>
              </w:rPr>
              <w:t>n/a</w:t>
            </w:r>
          </w:p>
        </w:tc>
        <w:tc>
          <w:tcPr>
            <w:tcW w:w="1272" w:type="dxa"/>
          </w:tcPr>
          <w:p w14:paraId="23DE6DDD" w14:textId="720AF8F0" w:rsidR="0016331B" w:rsidRPr="0086485A" w:rsidRDefault="005D598E" w:rsidP="00CB06AE">
            <w:pPr>
              <w:pStyle w:val="Tabletext"/>
              <w:jc w:val="center"/>
            </w:pPr>
            <w:r>
              <w:t>n/a</w:t>
            </w:r>
          </w:p>
        </w:tc>
        <w:tc>
          <w:tcPr>
            <w:tcW w:w="8650" w:type="dxa"/>
          </w:tcPr>
          <w:p w14:paraId="2A766606" w14:textId="4B95108E" w:rsidR="0016331B" w:rsidRDefault="0055639B" w:rsidP="008D0B79">
            <w:pPr>
              <w:pStyle w:val="Tabletext"/>
            </w:pPr>
            <w:r>
              <w:t>A</w:t>
            </w:r>
            <w:r w:rsidRPr="00BC14F9">
              <w:t xml:space="preserve"> Stage 2 </w:t>
            </w:r>
            <w:r>
              <w:t>FRA was completed (</w:t>
            </w:r>
            <w:r w:rsidRPr="00BC14F9">
              <w:t>Volume 02; Appendix A8-2</w:t>
            </w:r>
            <w:r>
              <w:t>) which</w:t>
            </w:r>
            <w:r w:rsidRPr="00BC14F9">
              <w:t> concluded</w:t>
            </w:r>
            <w:r>
              <w:t xml:space="preserve"> t</w:t>
            </w:r>
            <w:r w:rsidR="0016331B" w:rsidRPr="0086485A">
              <w:t>here is no risk from coastal flooding within the Study Area based on both CFRAM</w:t>
            </w:r>
            <w:r w:rsidR="0016331B">
              <w:t xml:space="preserve"> (Catchment Flood Risk Assessment and Management) </w:t>
            </w:r>
            <w:r w:rsidR="0016331B" w:rsidRPr="0086485A">
              <w:t>and NCFHM</w:t>
            </w:r>
            <w:r w:rsidR="0016331B">
              <w:t xml:space="preserve"> (National Coastal Flood. </w:t>
            </w:r>
          </w:p>
          <w:p w14:paraId="7FEFAFAC" w14:textId="0681DD2B" w:rsidR="0016331B" w:rsidRPr="0086485A" w:rsidRDefault="0016331B" w:rsidP="0055639B">
            <w:pPr>
              <w:pStyle w:val="Tabletext"/>
            </w:pPr>
            <w:r>
              <w:t>.</w:t>
            </w:r>
          </w:p>
        </w:tc>
        <w:tc>
          <w:tcPr>
            <w:tcW w:w="1978" w:type="dxa"/>
          </w:tcPr>
          <w:p w14:paraId="2932F0CE" w14:textId="18B27A7B" w:rsidR="0016331B" w:rsidRDefault="0016331B" w:rsidP="00A32642">
            <w:pPr>
              <w:pStyle w:val="Tabletext"/>
              <w:jc w:val="center"/>
              <w:rPr>
                <w:b/>
                <w:bCs/>
              </w:rPr>
            </w:pPr>
            <w:r>
              <w:rPr>
                <w:b/>
                <w:bCs/>
              </w:rPr>
              <w:t>N</w:t>
            </w:r>
          </w:p>
        </w:tc>
      </w:tr>
      <w:tr w:rsidR="0016331B" w:rsidRPr="00F14F19" w14:paraId="3BA4B537" w14:textId="77777777" w:rsidTr="00CB06AE">
        <w:trPr>
          <w:trHeight w:val="225"/>
        </w:trPr>
        <w:tc>
          <w:tcPr>
            <w:tcW w:w="0" w:type="auto"/>
          </w:tcPr>
          <w:p w14:paraId="48502414" w14:textId="77777777" w:rsidR="0016331B" w:rsidRPr="000F10ED" w:rsidRDefault="0016331B" w:rsidP="000F10ED">
            <w:pPr>
              <w:pStyle w:val="Tabletext"/>
              <w:rPr>
                <w:b/>
                <w:bCs/>
              </w:rPr>
            </w:pPr>
            <w:r w:rsidRPr="000F10ED">
              <w:rPr>
                <w:b/>
                <w:bCs/>
              </w:rPr>
              <w:t>Climate Change/ Natural Event –</w:t>
            </w:r>
          </w:p>
          <w:p w14:paraId="3B93EC23" w14:textId="458500E3" w:rsidR="0016331B" w:rsidRPr="00E63D47" w:rsidRDefault="0016331B" w:rsidP="000F10ED">
            <w:pPr>
              <w:pStyle w:val="Tabletext"/>
              <w:rPr>
                <w:b/>
                <w:bCs/>
              </w:rPr>
            </w:pPr>
            <w:r w:rsidRPr="000F10ED">
              <w:rPr>
                <w:b/>
                <w:bCs/>
              </w:rPr>
              <w:t>Increased Ambient Temperatures</w:t>
            </w:r>
          </w:p>
        </w:tc>
        <w:tc>
          <w:tcPr>
            <w:tcW w:w="5627" w:type="dxa"/>
          </w:tcPr>
          <w:p w14:paraId="357D1E0F" w14:textId="187CA60E" w:rsidR="0016331B" w:rsidRDefault="0016331B" w:rsidP="008D0B79">
            <w:pPr>
              <w:pStyle w:val="Tabletext"/>
            </w:pPr>
            <w:r>
              <w:t xml:space="preserve">The ambient temperatures experienced in the location of The Proposed Development could increase during the lifecycle of the </w:t>
            </w:r>
            <w:r w:rsidR="001C42FF">
              <w:t xml:space="preserve">development </w:t>
            </w:r>
            <w:proofErr w:type="gramStart"/>
            <w:r>
              <w:t>as a result of</w:t>
            </w:r>
            <w:proofErr w:type="gramEnd"/>
            <w:r>
              <w:t xml:space="preserve"> climate change.</w:t>
            </w:r>
          </w:p>
          <w:p w14:paraId="1BF6ECA2" w14:textId="00FB2402" w:rsidR="0016331B" w:rsidRDefault="0016331B" w:rsidP="008D0B79">
            <w:pPr>
              <w:pStyle w:val="Tabletext"/>
            </w:pPr>
            <w:r>
              <w:t xml:space="preserve">Increasing atmospheric temperatures could potentially result in the operational instability of equipment such as electrical </w:t>
            </w:r>
            <w:r w:rsidR="000203AC">
              <w:t>and mobile plant during construction</w:t>
            </w:r>
            <w:r>
              <w:t xml:space="preserve">, which are sensitive to temperature and humidity. </w:t>
            </w:r>
          </w:p>
          <w:p w14:paraId="51B4D8F8" w14:textId="65B0D629" w:rsidR="0016331B" w:rsidRDefault="0016331B" w:rsidP="008D0B79">
            <w:pPr>
              <w:pStyle w:val="Tabletext"/>
            </w:pPr>
            <w:r>
              <w:t xml:space="preserve">Failure of these systems due to high temperatures could result in  interruptions </w:t>
            </w:r>
            <w:r w:rsidR="0012341F">
              <w:t xml:space="preserve">during construction of </w:t>
            </w:r>
            <w:r>
              <w:t>the Proposed Development but would be unlikely to result in harm to people or the environment.</w:t>
            </w:r>
          </w:p>
        </w:tc>
        <w:tc>
          <w:tcPr>
            <w:tcW w:w="1135" w:type="dxa"/>
          </w:tcPr>
          <w:p w14:paraId="01AEFF69" w14:textId="71A7C8E6" w:rsidR="0016331B" w:rsidRDefault="0016331B" w:rsidP="00CB06AE">
            <w:pPr>
              <w:pStyle w:val="Tabletext"/>
              <w:jc w:val="center"/>
              <w:rPr>
                <w:b/>
                <w:bCs/>
              </w:rPr>
            </w:pPr>
            <w:r>
              <w:rPr>
                <w:b/>
                <w:bCs/>
              </w:rPr>
              <w:t>3</w:t>
            </w:r>
          </w:p>
        </w:tc>
        <w:tc>
          <w:tcPr>
            <w:tcW w:w="978" w:type="dxa"/>
          </w:tcPr>
          <w:p w14:paraId="752666E4" w14:textId="025EE651" w:rsidR="0016331B" w:rsidRDefault="0016331B" w:rsidP="00CB06AE">
            <w:pPr>
              <w:pStyle w:val="Tabletext"/>
              <w:jc w:val="center"/>
              <w:rPr>
                <w:b/>
                <w:bCs/>
              </w:rPr>
            </w:pPr>
            <w:r>
              <w:rPr>
                <w:b/>
                <w:bCs/>
              </w:rPr>
              <w:t>2</w:t>
            </w:r>
          </w:p>
        </w:tc>
        <w:tc>
          <w:tcPr>
            <w:tcW w:w="1272" w:type="dxa"/>
          </w:tcPr>
          <w:p w14:paraId="36E1B289" w14:textId="4E47A115" w:rsidR="0016331B" w:rsidRPr="005468BF" w:rsidRDefault="005D598E" w:rsidP="00CB06AE">
            <w:pPr>
              <w:pStyle w:val="Tabletext"/>
              <w:jc w:val="center"/>
            </w:pPr>
            <w:r>
              <w:t>6</w:t>
            </w:r>
          </w:p>
        </w:tc>
        <w:tc>
          <w:tcPr>
            <w:tcW w:w="8650" w:type="dxa"/>
          </w:tcPr>
          <w:p w14:paraId="70D5F735" w14:textId="559F83CD" w:rsidR="0016331B" w:rsidRPr="007275DD" w:rsidRDefault="0016331B" w:rsidP="00CB06AE">
            <w:pPr>
              <w:pStyle w:val="Tabletext"/>
            </w:pPr>
            <w:r w:rsidRPr="005468BF">
              <w:t xml:space="preserve">A </w:t>
            </w:r>
            <w:r w:rsidR="0055639B">
              <w:t>CCRA</w:t>
            </w:r>
            <w:r w:rsidR="00B44680">
              <w:t xml:space="preserve"> </w:t>
            </w:r>
            <w:r w:rsidRPr="005468BF">
              <w:t xml:space="preserve">has been completed </w:t>
            </w:r>
            <w:r w:rsidR="003B5B9A">
              <w:t>(Chapter 10 – Climate)</w:t>
            </w:r>
            <w:r>
              <w:t xml:space="preserve"> </w:t>
            </w:r>
            <w:r w:rsidRPr="005468BF">
              <w:t>which confirmed that</w:t>
            </w:r>
            <w:r>
              <w:t xml:space="preserve"> a</w:t>
            </w:r>
            <w:r w:rsidRPr="007275DD">
              <w:t xml:space="preserve"> CEMP has been prepared to set out the standard measures being taken to govern the activities on the construction site and management of environmental impacts. This will include mitigation measures to reduce the risk of damage to construction equipment and heat impact on employees during high temperatures/ heatwaves, such changing work schedules to avoid highest temperatures if necessary.</w:t>
            </w:r>
          </w:p>
          <w:p w14:paraId="27D54D68" w14:textId="5A3E578C" w:rsidR="0016331B" w:rsidRPr="005468BF" w:rsidRDefault="0016331B">
            <w:pPr>
              <w:pStyle w:val="Tabletext"/>
            </w:pPr>
            <w:r w:rsidRPr="001B6BCA">
              <w:t xml:space="preserve">The design of the </w:t>
            </w:r>
            <w:r w:rsidR="0055639B">
              <w:t>residential properties and engineering measures</w:t>
            </w:r>
            <w:r w:rsidRPr="001B6BCA">
              <w:t xml:space="preserve"> will take operation at future climatic conditions into account; therefore, this scenario is not considered further within this chapter.</w:t>
            </w:r>
          </w:p>
        </w:tc>
        <w:tc>
          <w:tcPr>
            <w:tcW w:w="1978" w:type="dxa"/>
          </w:tcPr>
          <w:p w14:paraId="513A10D6" w14:textId="14337F5F" w:rsidR="0016331B" w:rsidRDefault="0016331B" w:rsidP="00A32642">
            <w:pPr>
              <w:pStyle w:val="Tabletext"/>
              <w:jc w:val="center"/>
              <w:rPr>
                <w:b/>
                <w:bCs/>
              </w:rPr>
            </w:pPr>
            <w:r>
              <w:rPr>
                <w:b/>
                <w:bCs/>
              </w:rPr>
              <w:t>N</w:t>
            </w:r>
          </w:p>
        </w:tc>
      </w:tr>
      <w:tr w:rsidR="0016331B" w:rsidRPr="00F14F19" w14:paraId="7E67D300" w14:textId="77777777" w:rsidTr="00CB06AE">
        <w:trPr>
          <w:trHeight w:val="225"/>
        </w:trPr>
        <w:tc>
          <w:tcPr>
            <w:tcW w:w="0" w:type="auto"/>
          </w:tcPr>
          <w:p w14:paraId="7EB180D9" w14:textId="77777777" w:rsidR="0016331B" w:rsidRPr="00D73FAA" w:rsidRDefault="0016331B" w:rsidP="00D73FAA">
            <w:pPr>
              <w:pStyle w:val="Tabletext"/>
              <w:rPr>
                <w:b/>
                <w:bCs/>
              </w:rPr>
            </w:pPr>
            <w:r w:rsidRPr="00D73FAA">
              <w:rPr>
                <w:b/>
                <w:bCs/>
              </w:rPr>
              <w:t>Climate Change/ Natural Event –</w:t>
            </w:r>
          </w:p>
          <w:p w14:paraId="6C4EEED2" w14:textId="7AA8F333" w:rsidR="0016331B" w:rsidRPr="000F10ED" w:rsidRDefault="0016331B" w:rsidP="00D73FAA">
            <w:pPr>
              <w:pStyle w:val="Tabletext"/>
              <w:rPr>
                <w:b/>
                <w:bCs/>
              </w:rPr>
            </w:pPr>
            <w:r w:rsidRPr="00D73FAA">
              <w:rPr>
                <w:b/>
                <w:bCs/>
              </w:rPr>
              <w:t>Extreme Cold Weather Conditions</w:t>
            </w:r>
          </w:p>
        </w:tc>
        <w:tc>
          <w:tcPr>
            <w:tcW w:w="5627" w:type="dxa"/>
          </w:tcPr>
          <w:p w14:paraId="4C73F25D" w14:textId="2B939EFD" w:rsidR="0016331B" w:rsidRDefault="0016331B" w:rsidP="008D0B79">
            <w:pPr>
              <w:pStyle w:val="Tabletext"/>
            </w:pPr>
            <w:r>
              <w:t xml:space="preserve">The weather conditions experienced in the location of </w:t>
            </w:r>
            <w:r w:rsidR="00926808">
              <w:t>t</w:t>
            </w:r>
            <w:r>
              <w:t xml:space="preserve">he Proposed Development could drastically change during the lifecycle of the </w:t>
            </w:r>
            <w:r w:rsidR="001C42FF">
              <w:t xml:space="preserve">development </w:t>
            </w:r>
            <w:proofErr w:type="gramStart"/>
            <w:r>
              <w:t>as a result of</w:t>
            </w:r>
            <w:proofErr w:type="gramEnd"/>
            <w:r>
              <w:t xml:space="preserve"> climate change.</w:t>
            </w:r>
          </w:p>
          <w:p w14:paraId="285402FE" w14:textId="1725C742" w:rsidR="0016331B" w:rsidRDefault="0016331B" w:rsidP="008D0B79">
            <w:pPr>
              <w:pStyle w:val="Tabletext"/>
            </w:pPr>
            <w:r>
              <w:t>Extreme weather conditions such as ice storms can result in the freezing and subsequent damage within the Site.</w:t>
            </w:r>
          </w:p>
        </w:tc>
        <w:tc>
          <w:tcPr>
            <w:tcW w:w="1135" w:type="dxa"/>
          </w:tcPr>
          <w:p w14:paraId="288078D7" w14:textId="11FDD291" w:rsidR="0016331B" w:rsidRDefault="0016331B" w:rsidP="00CB06AE">
            <w:pPr>
              <w:pStyle w:val="Tabletext"/>
              <w:jc w:val="center"/>
              <w:rPr>
                <w:b/>
                <w:bCs/>
              </w:rPr>
            </w:pPr>
            <w:r>
              <w:rPr>
                <w:b/>
                <w:bCs/>
              </w:rPr>
              <w:t>3</w:t>
            </w:r>
          </w:p>
        </w:tc>
        <w:tc>
          <w:tcPr>
            <w:tcW w:w="978" w:type="dxa"/>
          </w:tcPr>
          <w:p w14:paraId="04910DF8" w14:textId="1148B7D1" w:rsidR="0016331B" w:rsidRDefault="0016331B" w:rsidP="00CB06AE">
            <w:pPr>
              <w:pStyle w:val="Tabletext"/>
              <w:jc w:val="center"/>
              <w:rPr>
                <w:b/>
                <w:bCs/>
              </w:rPr>
            </w:pPr>
            <w:r>
              <w:rPr>
                <w:b/>
                <w:bCs/>
              </w:rPr>
              <w:t>2</w:t>
            </w:r>
          </w:p>
        </w:tc>
        <w:tc>
          <w:tcPr>
            <w:tcW w:w="1272" w:type="dxa"/>
          </w:tcPr>
          <w:p w14:paraId="663E9A88" w14:textId="0C7CDA29" w:rsidR="0016331B" w:rsidRPr="00DD794F" w:rsidRDefault="005D598E" w:rsidP="00CB06AE">
            <w:pPr>
              <w:pStyle w:val="Tabletext"/>
              <w:jc w:val="center"/>
            </w:pPr>
            <w:r>
              <w:t>6</w:t>
            </w:r>
          </w:p>
        </w:tc>
        <w:tc>
          <w:tcPr>
            <w:tcW w:w="8650" w:type="dxa"/>
          </w:tcPr>
          <w:p w14:paraId="37179B00" w14:textId="5B0C806F" w:rsidR="0016331B" w:rsidRPr="00DD794F" w:rsidRDefault="0016331B">
            <w:pPr>
              <w:pStyle w:val="Tabletext"/>
            </w:pPr>
            <w:r w:rsidRPr="00DD794F">
              <w:t xml:space="preserve">The Proposed Development will be designed to </w:t>
            </w:r>
            <w:r>
              <w:t>building</w:t>
            </w:r>
            <w:r w:rsidRPr="00DD794F">
              <w:t xml:space="preserve"> standards which account for changing climatic conditions,</w:t>
            </w:r>
            <w:r w:rsidR="0055639B">
              <w:t xml:space="preserve"> Chapter 10 Climate concluded there were n</w:t>
            </w:r>
            <w:r w:rsidR="0055639B" w:rsidRPr="0055639B">
              <w:t>o significant residual effects have been identified</w:t>
            </w:r>
            <w:r w:rsidR="0055639B">
              <w:t xml:space="preserve"> in</w:t>
            </w:r>
            <w:r w:rsidR="0055639B" w:rsidRPr="0055639B">
              <w:t xml:space="preserve"> the C</w:t>
            </w:r>
            <w:r w:rsidR="0055639B">
              <w:t xml:space="preserve">limate Change </w:t>
            </w:r>
            <w:r w:rsidR="0055639B" w:rsidRPr="0055639B">
              <w:t>R</w:t>
            </w:r>
            <w:r w:rsidR="0055639B">
              <w:t xml:space="preserve">isk </w:t>
            </w:r>
            <w:r w:rsidR="0055639B" w:rsidRPr="0055639B">
              <w:t>A</w:t>
            </w:r>
            <w:r w:rsidR="0055639B">
              <w:t>ssessment (CCCRA)</w:t>
            </w:r>
            <w:r w:rsidR="0055639B" w:rsidRPr="0055639B">
              <w:t>. </w:t>
            </w:r>
            <w:proofErr w:type="gramStart"/>
            <w:r w:rsidR="0055639B" w:rsidRPr="0055639B">
              <w:t>A number of</w:t>
            </w:r>
            <w:proofErr w:type="gramEnd"/>
            <w:r w:rsidR="0055639B" w:rsidRPr="0055639B">
              <w:t> climate resilience measures have been embedded within the design of the Proposed Development. </w:t>
            </w:r>
            <w:r w:rsidR="0055639B">
              <w:t xml:space="preserve"> </w:t>
            </w:r>
            <w:proofErr w:type="gramStart"/>
            <w:r w:rsidR="0055639B">
              <w:t>T</w:t>
            </w:r>
            <w:r w:rsidR="0055639B" w:rsidRPr="00A2629F">
              <w:rPr>
                <w:rFonts w:cstheme="minorHAnsi"/>
              </w:rPr>
              <w:t>herefore</w:t>
            </w:r>
            <w:proofErr w:type="gramEnd"/>
            <w:r w:rsidR="0055639B" w:rsidRPr="00A2629F">
              <w:rPr>
                <w:rFonts w:cstheme="minorHAnsi"/>
              </w:rPr>
              <w:t xml:space="preserve"> the risk of a disaster occurring </w:t>
            </w:r>
            <w:proofErr w:type="gramStart"/>
            <w:r w:rsidR="0055639B" w:rsidRPr="00A2629F">
              <w:rPr>
                <w:rFonts w:cstheme="minorHAnsi"/>
              </w:rPr>
              <w:t>is considered to be</w:t>
            </w:r>
            <w:proofErr w:type="gramEnd"/>
            <w:r w:rsidR="0055639B" w:rsidRPr="00A2629F">
              <w:rPr>
                <w:rFonts w:cstheme="minorHAnsi"/>
              </w:rPr>
              <w:t xml:space="preserve"> low and is not considered further.</w:t>
            </w:r>
          </w:p>
        </w:tc>
        <w:tc>
          <w:tcPr>
            <w:tcW w:w="1978" w:type="dxa"/>
          </w:tcPr>
          <w:p w14:paraId="0B595D95" w14:textId="6D34D445" w:rsidR="0016331B" w:rsidRDefault="0016331B" w:rsidP="00A32642">
            <w:pPr>
              <w:pStyle w:val="Tabletext"/>
              <w:jc w:val="center"/>
              <w:rPr>
                <w:b/>
                <w:bCs/>
              </w:rPr>
            </w:pPr>
            <w:r>
              <w:rPr>
                <w:b/>
                <w:bCs/>
              </w:rPr>
              <w:t>N</w:t>
            </w:r>
          </w:p>
        </w:tc>
      </w:tr>
      <w:tr w:rsidR="0016331B" w:rsidRPr="00F14F19" w14:paraId="543E5C90" w14:textId="77777777" w:rsidTr="00CB06AE">
        <w:trPr>
          <w:trHeight w:val="225"/>
        </w:trPr>
        <w:tc>
          <w:tcPr>
            <w:tcW w:w="0" w:type="auto"/>
          </w:tcPr>
          <w:p w14:paraId="151B053E" w14:textId="77777777" w:rsidR="0016331B" w:rsidRPr="00C45A3B" w:rsidRDefault="0016331B" w:rsidP="00C45A3B">
            <w:pPr>
              <w:pStyle w:val="Tabletext"/>
              <w:rPr>
                <w:b/>
                <w:bCs/>
              </w:rPr>
            </w:pPr>
            <w:r w:rsidRPr="00C45A3B">
              <w:rPr>
                <w:b/>
                <w:bCs/>
              </w:rPr>
              <w:t>Climate Change/ Natural Event –</w:t>
            </w:r>
          </w:p>
          <w:p w14:paraId="0B7E936F" w14:textId="48A4D78A" w:rsidR="0016331B" w:rsidRPr="00D73FAA" w:rsidRDefault="0016331B" w:rsidP="00C45A3B">
            <w:pPr>
              <w:pStyle w:val="Tabletext"/>
              <w:rPr>
                <w:b/>
                <w:bCs/>
              </w:rPr>
            </w:pPr>
            <w:r w:rsidRPr="00C45A3B">
              <w:rPr>
                <w:b/>
                <w:bCs/>
              </w:rPr>
              <w:t>Increased Wind Speeds</w:t>
            </w:r>
          </w:p>
        </w:tc>
        <w:tc>
          <w:tcPr>
            <w:tcW w:w="5627" w:type="dxa"/>
          </w:tcPr>
          <w:p w14:paraId="4E2778AC" w14:textId="5C5D4A57" w:rsidR="0016331B" w:rsidRPr="00711CF0" w:rsidRDefault="0016331B" w:rsidP="008D0B79">
            <w:pPr>
              <w:pStyle w:val="Tabletext"/>
            </w:pPr>
            <w:r w:rsidRPr="00711CF0">
              <w:t>A potential increase in the maximum wind speeds caused by climate change which are experienced at the Proposed Development has the potential to cause damage to assets and harm to people</w:t>
            </w:r>
            <w:r>
              <w:t xml:space="preserve"> </w:t>
            </w:r>
            <w:r w:rsidRPr="00711CF0">
              <w:t xml:space="preserve">and an interruption to operation. </w:t>
            </w:r>
          </w:p>
          <w:p w14:paraId="6167C39C" w14:textId="77777777" w:rsidR="0016331B" w:rsidRPr="00711CF0" w:rsidRDefault="0016331B" w:rsidP="008D0B79">
            <w:pPr>
              <w:pStyle w:val="Tabletext"/>
            </w:pPr>
          </w:p>
        </w:tc>
        <w:tc>
          <w:tcPr>
            <w:tcW w:w="1135" w:type="dxa"/>
          </w:tcPr>
          <w:p w14:paraId="3B40C286" w14:textId="24B1849B" w:rsidR="0016331B" w:rsidRDefault="005D598E" w:rsidP="00CB06AE">
            <w:pPr>
              <w:pStyle w:val="Tabletext"/>
              <w:jc w:val="center"/>
              <w:rPr>
                <w:b/>
                <w:bCs/>
              </w:rPr>
            </w:pPr>
            <w:r>
              <w:rPr>
                <w:b/>
                <w:bCs/>
              </w:rPr>
              <w:t>2</w:t>
            </w:r>
          </w:p>
        </w:tc>
        <w:tc>
          <w:tcPr>
            <w:tcW w:w="978" w:type="dxa"/>
          </w:tcPr>
          <w:p w14:paraId="0B222D10" w14:textId="353BF4E3" w:rsidR="0016331B" w:rsidRDefault="0016331B" w:rsidP="00CB06AE">
            <w:pPr>
              <w:pStyle w:val="Tabletext"/>
              <w:jc w:val="center"/>
              <w:rPr>
                <w:b/>
                <w:bCs/>
              </w:rPr>
            </w:pPr>
            <w:r>
              <w:rPr>
                <w:b/>
                <w:bCs/>
              </w:rPr>
              <w:t>3</w:t>
            </w:r>
          </w:p>
        </w:tc>
        <w:tc>
          <w:tcPr>
            <w:tcW w:w="1272" w:type="dxa"/>
          </w:tcPr>
          <w:p w14:paraId="323BD849" w14:textId="7D59F823" w:rsidR="0016331B" w:rsidRPr="00711CF0" w:rsidRDefault="005D598E" w:rsidP="00CB06AE">
            <w:pPr>
              <w:pStyle w:val="Tabletext"/>
              <w:jc w:val="center"/>
            </w:pPr>
            <w:r>
              <w:t>6</w:t>
            </w:r>
          </w:p>
        </w:tc>
        <w:tc>
          <w:tcPr>
            <w:tcW w:w="8650" w:type="dxa"/>
          </w:tcPr>
          <w:p w14:paraId="5A65BFF7" w14:textId="5E401E44" w:rsidR="0055639B" w:rsidRDefault="0055639B" w:rsidP="008D0B79">
            <w:pPr>
              <w:pStyle w:val="Tabletext"/>
            </w:pPr>
            <w:r>
              <w:t>Chapter 10 Climate concluded there were n</w:t>
            </w:r>
            <w:r w:rsidRPr="0055639B">
              <w:t>o significant residual effects have been identified</w:t>
            </w:r>
            <w:r>
              <w:t xml:space="preserve"> in</w:t>
            </w:r>
            <w:r w:rsidRPr="0055639B">
              <w:t xml:space="preserve"> the C</w:t>
            </w:r>
            <w:r>
              <w:t xml:space="preserve">limate Change </w:t>
            </w:r>
            <w:r w:rsidRPr="0055639B">
              <w:t>R</w:t>
            </w:r>
            <w:r>
              <w:t xml:space="preserve">isk </w:t>
            </w:r>
            <w:r w:rsidRPr="0055639B">
              <w:t>A</w:t>
            </w:r>
            <w:r>
              <w:t>ssessment (CCCRA)</w:t>
            </w:r>
            <w:r w:rsidRPr="0055639B">
              <w:t>. </w:t>
            </w:r>
            <w:proofErr w:type="gramStart"/>
            <w:r w:rsidRPr="0055639B">
              <w:t>A number of</w:t>
            </w:r>
            <w:proofErr w:type="gramEnd"/>
            <w:r w:rsidRPr="0055639B">
              <w:t> climate resilience measures have been embedded within the design of the Proposed Development</w:t>
            </w:r>
            <w:r>
              <w:t xml:space="preserve"> including</w:t>
            </w:r>
            <w:r w:rsidRPr="0055639B">
              <w:t> </w:t>
            </w:r>
            <w:r>
              <w:t xml:space="preserve"> </w:t>
            </w:r>
          </w:p>
          <w:p w14:paraId="6953881F" w14:textId="77777777" w:rsidR="0016331B" w:rsidRPr="00711CF0" w:rsidRDefault="0016331B" w:rsidP="008D0B79">
            <w:pPr>
              <w:pStyle w:val="TableListBullet"/>
            </w:pPr>
            <w:r w:rsidRPr="00711CF0">
              <w:t>The CEMP has been prepared to set out the standard measures being taken to govern the activities on the construction site and management of environmental impacts. This will include monitoring weather forecasts and adjusting work schedules during extreme weather events if necessary.</w:t>
            </w:r>
          </w:p>
          <w:p w14:paraId="4499FBC8" w14:textId="77777777" w:rsidR="0016331B" w:rsidRPr="00711CF0" w:rsidRDefault="0016331B" w:rsidP="008D0B79">
            <w:pPr>
              <w:pStyle w:val="TableListBullet"/>
            </w:pPr>
            <w:r w:rsidRPr="00711CF0">
              <w:t xml:space="preserve">For operational considerations the structural engineering design of the facilities will calculate wind loading and other requirements based on building standards, industry standard guidance and methods. </w:t>
            </w:r>
          </w:p>
          <w:p w14:paraId="625CFE6C" w14:textId="77777777" w:rsidR="0016331B" w:rsidRDefault="0016331B" w:rsidP="008D0B79">
            <w:pPr>
              <w:pStyle w:val="TableListBullet"/>
            </w:pPr>
            <w:r w:rsidRPr="00711CF0">
              <w:t>Structural design standards incorporate factors to account for uncertainty, therefore operation at future conditions which include higher wind speeds will be considered.</w:t>
            </w:r>
            <w:r>
              <w:t xml:space="preserve"> </w:t>
            </w:r>
          </w:p>
          <w:p w14:paraId="26B7940F" w14:textId="37E2DEBC" w:rsidR="0016331B" w:rsidRPr="00711CF0" w:rsidRDefault="0055639B" w:rsidP="008D0B79">
            <w:pPr>
              <w:pStyle w:val="Tabletext"/>
            </w:pPr>
            <w:proofErr w:type="gramStart"/>
            <w:r>
              <w:t>T</w:t>
            </w:r>
            <w:r w:rsidRPr="00A2629F">
              <w:rPr>
                <w:rFonts w:cstheme="minorHAnsi"/>
              </w:rPr>
              <w:t>herefore</w:t>
            </w:r>
            <w:proofErr w:type="gramEnd"/>
            <w:r w:rsidRPr="00A2629F">
              <w:rPr>
                <w:rFonts w:cstheme="minorHAnsi"/>
              </w:rPr>
              <w:t xml:space="preserve"> the risk of a disaster occurring </w:t>
            </w:r>
            <w:proofErr w:type="gramStart"/>
            <w:r w:rsidRPr="00A2629F">
              <w:rPr>
                <w:rFonts w:cstheme="minorHAnsi"/>
              </w:rPr>
              <w:t>is considered to be</w:t>
            </w:r>
            <w:proofErr w:type="gramEnd"/>
            <w:r w:rsidRPr="00A2629F">
              <w:rPr>
                <w:rFonts w:cstheme="minorHAnsi"/>
              </w:rPr>
              <w:t xml:space="preserve"> low and is not considered further.</w:t>
            </w:r>
          </w:p>
        </w:tc>
        <w:tc>
          <w:tcPr>
            <w:tcW w:w="1978" w:type="dxa"/>
          </w:tcPr>
          <w:p w14:paraId="771DFB4B" w14:textId="505248E9" w:rsidR="0016331B" w:rsidRDefault="0016331B" w:rsidP="00A32642">
            <w:pPr>
              <w:pStyle w:val="Tabletext"/>
              <w:jc w:val="center"/>
              <w:rPr>
                <w:b/>
                <w:bCs/>
              </w:rPr>
            </w:pPr>
            <w:r>
              <w:rPr>
                <w:b/>
                <w:bCs/>
              </w:rPr>
              <w:t>N</w:t>
            </w:r>
          </w:p>
        </w:tc>
      </w:tr>
      <w:tr w:rsidR="0016331B" w:rsidRPr="00F14F19" w14:paraId="532343EA" w14:textId="77777777" w:rsidTr="00CB06AE">
        <w:trPr>
          <w:trHeight w:val="225"/>
        </w:trPr>
        <w:tc>
          <w:tcPr>
            <w:tcW w:w="0" w:type="auto"/>
          </w:tcPr>
          <w:p w14:paraId="45BF9F08" w14:textId="77777777" w:rsidR="0016331B" w:rsidRPr="00F27636" w:rsidRDefault="0016331B" w:rsidP="00F27636">
            <w:pPr>
              <w:pStyle w:val="Tabletext"/>
              <w:rPr>
                <w:b/>
                <w:bCs/>
              </w:rPr>
            </w:pPr>
            <w:r w:rsidRPr="00F27636">
              <w:rPr>
                <w:b/>
                <w:bCs/>
              </w:rPr>
              <w:t>Natural Event –</w:t>
            </w:r>
          </w:p>
          <w:p w14:paraId="19A2CA57" w14:textId="6344C627" w:rsidR="0016331B" w:rsidRPr="00C45A3B" w:rsidRDefault="0016331B" w:rsidP="00F27636">
            <w:pPr>
              <w:pStyle w:val="Tabletext"/>
              <w:rPr>
                <w:b/>
                <w:bCs/>
              </w:rPr>
            </w:pPr>
            <w:r w:rsidRPr="00F27636">
              <w:rPr>
                <w:b/>
                <w:bCs/>
              </w:rPr>
              <w:t>Earthquakes and seismic events</w:t>
            </w:r>
          </w:p>
        </w:tc>
        <w:tc>
          <w:tcPr>
            <w:tcW w:w="5627" w:type="dxa"/>
          </w:tcPr>
          <w:p w14:paraId="41F6677D" w14:textId="77777777" w:rsidR="0016331B" w:rsidRDefault="0016331B" w:rsidP="00E228BB">
            <w:pPr>
              <w:pStyle w:val="Tabletext"/>
            </w:pPr>
            <w:r>
              <w:t xml:space="preserve">Low magnitude seismic events which are not perceptible to humans occur quite regularly throughout the island of Ireland. The probability for a major event with the potential to cause significant harm however is very low. </w:t>
            </w:r>
          </w:p>
          <w:p w14:paraId="7D44381D" w14:textId="59471033" w:rsidR="0016331B" w:rsidRDefault="0016331B" w:rsidP="00E228BB">
            <w:pPr>
              <w:pStyle w:val="Tabletext"/>
            </w:pPr>
            <w:r>
              <w:t>If a major seismic event were to occur at The Proposed Development, there is the potential to cause harm to people, damage to assets and infrastructure.</w:t>
            </w:r>
          </w:p>
        </w:tc>
        <w:tc>
          <w:tcPr>
            <w:tcW w:w="1135" w:type="dxa"/>
          </w:tcPr>
          <w:p w14:paraId="4675E8A2" w14:textId="08DFEC73" w:rsidR="0016331B" w:rsidRDefault="0016331B" w:rsidP="00CB06AE">
            <w:pPr>
              <w:pStyle w:val="Tabletext"/>
              <w:jc w:val="center"/>
              <w:rPr>
                <w:b/>
                <w:bCs/>
              </w:rPr>
            </w:pPr>
            <w:r>
              <w:rPr>
                <w:b/>
                <w:bCs/>
              </w:rPr>
              <w:t>No risk</w:t>
            </w:r>
          </w:p>
        </w:tc>
        <w:tc>
          <w:tcPr>
            <w:tcW w:w="978" w:type="dxa"/>
          </w:tcPr>
          <w:p w14:paraId="4BC79C27" w14:textId="117EA02B" w:rsidR="0016331B" w:rsidRDefault="0016331B" w:rsidP="00CB06AE">
            <w:pPr>
              <w:pStyle w:val="Tabletext"/>
              <w:jc w:val="center"/>
              <w:rPr>
                <w:b/>
                <w:bCs/>
              </w:rPr>
            </w:pPr>
            <w:r>
              <w:rPr>
                <w:b/>
                <w:bCs/>
              </w:rPr>
              <w:t>n/a</w:t>
            </w:r>
          </w:p>
        </w:tc>
        <w:tc>
          <w:tcPr>
            <w:tcW w:w="1272" w:type="dxa"/>
          </w:tcPr>
          <w:p w14:paraId="6353CC93" w14:textId="09EB2245" w:rsidR="0016331B" w:rsidRDefault="005D598E" w:rsidP="00CB06AE">
            <w:pPr>
              <w:pStyle w:val="Tabletext"/>
              <w:jc w:val="center"/>
            </w:pPr>
            <w:r>
              <w:t>n/a</w:t>
            </w:r>
          </w:p>
        </w:tc>
        <w:tc>
          <w:tcPr>
            <w:tcW w:w="8650" w:type="dxa"/>
          </w:tcPr>
          <w:p w14:paraId="2CEC86DA" w14:textId="42F8F174" w:rsidR="0016331B" w:rsidRDefault="0016331B" w:rsidP="00E228BB">
            <w:pPr>
              <w:pStyle w:val="Tabletext"/>
            </w:pPr>
            <w:r>
              <w:t xml:space="preserve">The Irish National Seismic Network records earthquakes on the island of Ireland, however these are predominantly low magnitude events. For example, within the past 20 years the highest magnitude earthquake in the Irish Sea was 2.8, approximately 60km southeast of Dublin Airport. This event would not have been particularly noticeable on land. </w:t>
            </w:r>
          </w:p>
          <w:p w14:paraId="7FA3EF4B" w14:textId="260F843B" w:rsidR="0016331B" w:rsidRDefault="0016331B" w:rsidP="00E228BB">
            <w:pPr>
              <w:pStyle w:val="Tabletext"/>
            </w:pPr>
            <w:r w:rsidRPr="00D47B14">
              <w:t xml:space="preserve">The structural engineering design of the Proposed Development will calculate the appropriate loading requirements for seismic factors. </w:t>
            </w:r>
          </w:p>
        </w:tc>
        <w:tc>
          <w:tcPr>
            <w:tcW w:w="1978" w:type="dxa"/>
          </w:tcPr>
          <w:p w14:paraId="2B5ABD77" w14:textId="20F4A941" w:rsidR="0016331B" w:rsidRDefault="0016331B" w:rsidP="00A32642">
            <w:pPr>
              <w:pStyle w:val="Tabletext"/>
              <w:jc w:val="center"/>
              <w:rPr>
                <w:b/>
                <w:bCs/>
              </w:rPr>
            </w:pPr>
            <w:r>
              <w:rPr>
                <w:b/>
                <w:bCs/>
              </w:rPr>
              <w:t>N</w:t>
            </w:r>
          </w:p>
        </w:tc>
      </w:tr>
      <w:tr w:rsidR="0016331B" w:rsidRPr="00F14F19" w14:paraId="4ECA65E0" w14:textId="77777777" w:rsidTr="00CB06AE">
        <w:trPr>
          <w:trHeight w:val="225"/>
        </w:trPr>
        <w:tc>
          <w:tcPr>
            <w:tcW w:w="0" w:type="auto"/>
          </w:tcPr>
          <w:p w14:paraId="01B77C3B" w14:textId="4A4C3CC9" w:rsidR="0016331B" w:rsidRPr="00F27636" w:rsidRDefault="0016331B" w:rsidP="00F27636">
            <w:pPr>
              <w:pStyle w:val="Tabletext"/>
              <w:rPr>
                <w:b/>
                <w:bCs/>
              </w:rPr>
            </w:pPr>
            <w:r w:rsidRPr="00512475">
              <w:rPr>
                <w:b/>
                <w:bCs/>
              </w:rPr>
              <w:t xml:space="preserve">Natural Event </w:t>
            </w:r>
            <w:r w:rsidR="005D598E">
              <w:rPr>
                <w:b/>
                <w:bCs/>
              </w:rPr>
              <w:t>–</w:t>
            </w:r>
            <w:r w:rsidRPr="00512475">
              <w:rPr>
                <w:b/>
                <w:bCs/>
              </w:rPr>
              <w:t xml:space="preserve"> Lightning strike</w:t>
            </w:r>
          </w:p>
        </w:tc>
        <w:tc>
          <w:tcPr>
            <w:tcW w:w="5627" w:type="dxa"/>
          </w:tcPr>
          <w:p w14:paraId="3255E84E" w14:textId="741EBC1E" w:rsidR="0016331B" w:rsidRPr="0049063F" w:rsidRDefault="0016331B">
            <w:pPr>
              <w:pStyle w:val="Tabletext"/>
            </w:pPr>
            <w:r w:rsidRPr="0049063F">
              <w:t>A direct lightning strike to the Proposed Development could cause damage to assets and equipment and has the potential to cause harm to people struck by falling objects.</w:t>
            </w:r>
          </w:p>
        </w:tc>
        <w:tc>
          <w:tcPr>
            <w:tcW w:w="1135" w:type="dxa"/>
          </w:tcPr>
          <w:p w14:paraId="4ABF72B0" w14:textId="23F18069" w:rsidR="0016331B" w:rsidRDefault="0016331B" w:rsidP="00CB06AE">
            <w:pPr>
              <w:pStyle w:val="Tabletext"/>
              <w:jc w:val="center"/>
              <w:rPr>
                <w:b/>
                <w:bCs/>
              </w:rPr>
            </w:pPr>
            <w:r>
              <w:rPr>
                <w:b/>
                <w:bCs/>
              </w:rPr>
              <w:t>2</w:t>
            </w:r>
          </w:p>
        </w:tc>
        <w:tc>
          <w:tcPr>
            <w:tcW w:w="978" w:type="dxa"/>
          </w:tcPr>
          <w:p w14:paraId="5DA60067" w14:textId="6F31429B" w:rsidR="0016331B" w:rsidRDefault="0016331B" w:rsidP="00CB06AE">
            <w:pPr>
              <w:pStyle w:val="Tabletext"/>
              <w:jc w:val="center"/>
              <w:rPr>
                <w:b/>
                <w:bCs/>
              </w:rPr>
            </w:pPr>
            <w:r>
              <w:rPr>
                <w:b/>
                <w:bCs/>
              </w:rPr>
              <w:t>2</w:t>
            </w:r>
          </w:p>
        </w:tc>
        <w:tc>
          <w:tcPr>
            <w:tcW w:w="1272" w:type="dxa"/>
          </w:tcPr>
          <w:p w14:paraId="50A0C254" w14:textId="6AF9DA54" w:rsidR="0016331B" w:rsidRDefault="005D598E" w:rsidP="00CB06AE">
            <w:pPr>
              <w:pStyle w:val="Tabletext"/>
              <w:jc w:val="center"/>
            </w:pPr>
            <w:r>
              <w:t>4</w:t>
            </w:r>
          </w:p>
        </w:tc>
        <w:tc>
          <w:tcPr>
            <w:tcW w:w="8650" w:type="dxa"/>
          </w:tcPr>
          <w:p w14:paraId="528AFDCA" w14:textId="54549A32" w:rsidR="00CB0F75" w:rsidRDefault="00CB0F75" w:rsidP="00E228BB">
            <w:pPr>
              <w:pStyle w:val="Tabletext"/>
            </w:pPr>
            <w:r>
              <w:t>Chapter 10 Climate concluded there were n</w:t>
            </w:r>
            <w:r w:rsidRPr="0055639B">
              <w:t>o significant residual effects have been identified</w:t>
            </w:r>
            <w:r>
              <w:t xml:space="preserve"> in</w:t>
            </w:r>
            <w:r w:rsidRPr="0055639B">
              <w:t xml:space="preserve"> the C</w:t>
            </w:r>
            <w:r>
              <w:t xml:space="preserve">limate Change </w:t>
            </w:r>
            <w:r w:rsidRPr="0055639B">
              <w:t>R</w:t>
            </w:r>
            <w:r>
              <w:t xml:space="preserve">isk </w:t>
            </w:r>
            <w:r w:rsidRPr="0055639B">
              <w:t>A</w:t>
            </w:r>
            <w:r>
              <w:t>ssessment (CCCRA)</w:t>
            </w:r>
            <w:r w:rsidRPr="0055639B">
              <w:t>. </w:t>
            </w:r>
            <w:proofErr w:type="gramStart"/>
            <w:r w:rsidRPr="0055639B">
              <w:t>A number of</w:t>
            </w:r>
            <w:proofErr w:type="gramEnd"/>
            <w:r w:rsidRPr="0055639B">
              <w:t> climate resilience measures have been embedded within the design of the Proposed Development</w:t>
            </w:r>
            <w:r>
              <w:t xml:space="preserve"> including: </w:t>
            </w:r>
          </w:p>
          <w:p w14:paraId="29470F55" w14:textId="17A93CB7" w:rsidR="0016331B" w:rsidRDefault="0016331B" w:rsidP="00CB0F75">
            <w:pPr>
              <w:pStyle w:val="Tabletext"/>
              <w:numPr>
                <w:ilvl w:val="0"/>
                <w:numId w:val="45"/>
              </w:numPr>
            </w:pPr>
            <w:r>
              <w:t xml:space="preserve">The CEMP has been prepared to set out the standard measures being taken to govern the activities on the construction site and management of environmental impacts. This will include monitoring weather </w:t>
            </w:r>
            <w:r>
              <w:lastRenderedPageBreak/>
              <w:t>forecasts and adjusting work schedules during extreme weather events including lighting storms if necessary</w:t>
            </w:r>
          </w:p>
          <w:p w14:paraId="26240945" w14:textId="51E9F96B" w:rsidR="0016331B" w:rsidRDefault="0016331B" w:rsidP="00CB0F75">
            <w:pPr>
              <w:pStyle w:val="Tabletext"/>
              <w:numPr>
                <w:ilvl w:val="0"/>
                <w:numId w:val="45"/>
              </w:numPr>
            </w:pPr>
            <w:r>
              <w:t xml:space="preserve">For the operational phase the engineering design of the Proposed Development will incorporate lightning mitigation. This will be assessed in accordance with recognised industry standards such as EN/IEC 62305. </w:t>
            </w:r>
            <w:r w:rsidR="00CB0F75">
              <w:t xml:space="preserve"> </w:t>
            </w:r>
          </w:p>
          <w:p w14:paraId="4F846A4A" w14:textId="77777777" w:rsidR="0016331B" w:rsidRPr="00CB0F75" w:rsidRDefault="0016331B" w:rsidP="00CB0F75">
            <w:pPr>
              <w:pStyle w:val="TableListBullet"/>
              <w:rPr>
                <w:sz w:val="18"/>
              </w:rPr>
            </w:pPr>
            <w:r w:rsidRPr="00CB0F75">
              <w:rPr>
                <w:sz w:val="18"/>
              </w:rPr>
              <w:t>It is expected that appropriate measures such as the installation of an appropriate lightning arrestor at the highest point on buildings will be fitted, such that electrical currents are safely conducted to earth in the event of a storm.</w:t>
            </w:r>
          </w:p>
          <w:p w14:paraId="5CBCD7E2" w14:textId="47DE7749" w:rsidR="0016331B" w:rsidRDefault="00CB0F75" w:rsidP="00E228BB">
            <w:pPr>
              <w:pStyle w:val="Tabletext"/>
            </w:pPr>
            <w:proofErr w:type="gramStart"/>
            <w:r>
              <w:t>T</w:t>
            </w:r>
            <w:r w:rsidRPr="00A2629F">
              <w:rPr>
                <w:rFonts w:cstheme="minorHAnsi"/>
              </w:rPr>
              <w:t>herefore</w:t>
            </w:r>
            <w:proofErr w:type="gramEnd"/>
            <w:r w:rsidRPr="00A2629F">
              <w:rPr>
                <w:rFonts w:cstheme="minorHAnsi"/>
              </w:rPr>
              <w:t xml:space="preserve"> the risk of a disaster occurring </w:t>
            </w:r>
            <w:proofErr w:type="gramStart"/>
            <w:r w:rsidRPr="00A2629F">
              <w:rPr>
                <w:rFonts w:cstheme="minorHAnsi"/>
              </w:rPr>
              <w:t>is considered to be</w:t>
            </w:r>
            <w:proofErr w:type="gramEnd"/>
            <w:r w:rsidRPr="00A2629F">
              <w:rPr>
                <w:rFonts w:cstheme="minorHAnsi"/>
              </w:rPr>
              <w:t xml:space="preserve"> low and is not considered further.</w:t>
            </w:r>
          </w:p>
        </w:tc>
        <w:tc>
          <w:tcPr>
            <w:tcW w:w="1978" w:type="dxa"/>
          </w:tcPr>
          <w:p w14:paraId="300BC67D" w14:textId="507D57A8" w:rsidR="0016331B" w:rsidRDefault="0016331B" w:rsidP="00A32642">
            <w:pPr>
              <w:pStyle w:val="Tabletext"/>
              <w:jc w:val="center"/>
              <w:rPr>
                <w:b/>
                <w:bCs/>
              </w:rPr>
            </w:pPr>
            <w:r>
              <w:rPr>
                <w:b/>
                <w:bCs/>
              </w:rPr>
              <w:lastRenderedPageBreak/>
              <w:t>N</w:t>
            </w:r>
          </w:p>
        </w:tc>
      </w:tr>
      <w:tr w:rsidR="0016331B" w:rsidRPr="00443AFE" w14:paraId="586F51A6" w14:textId="77777777" w:rsidTr="00CB06AE">
        <w:trPr>
          <w:gridAfter w:val="3"/>
          <w:wAfter w:w="11900" w:type="dxa"/>
          <w:trHeight w:val="224"/>
        </w:trPr>
        <w:tc>
          <w:tcPr>
            <w:tcW w:w="0" w:type="auto"/>
            <w:tcBorders>
              <w:top w:val="single" w:sz="4" w:space="0" w:color="auto"/>
              <w:bottom w:val="nil"/>
            </w:tcBorders>
          </w:tcPr>
          <w:p w14:paraId="2ABC6538" w14:textId="77777777" w:rsidR="0016331B" w:rsidRPr="00F14F19" w:rsidRDefault="0016331B" w:rsidP="00E228BB">
            <w:pPr>
              <w:pStyle w:val="Tabletext"/>
              <w:rPr>
                <w:i/>
                <w:iCs/>
              </w:rPr>
            </w:pPr>
          </w:p>
        </w:tc>
        <w:tc>
          <w:tcPr>
            <w:tcW w:w="7740" w:type="dxa"/>
            <w:gridSpan w:val="3"/>
            <w:tcBorders>
              <w:top w:val="single" w:sz="4" w:space="0" w:color="auto"/>
              <w:bottom w:val="nil"/>
            </w:tcBorders>
          </w:tcPr>
          <w:p w14:paraId="6CFE0893" w14:textId="77777777" w:rsidR="0016331B" w:rsidRPr="00F14F19" w:rsidRDefault="0016331B">
            <w:pPr>
              <w:pStyle w:val="Tabletext"/>
              <w:rPr>
                <w:i/>
                <w:iCs/>
              </w:rPr>
            </w:pPr>
          </w:p>
        </w:tc>
      </w:tr>
    </w:tbl>
    <w:p w14:paraId="3B186F4A" w14:textId="77777777" w:rsidR="008D7141" w:rsidRDefault="008D7141" w:rsidP="008D7141">
      <w:pPr>
        <w:tabs>
          <w:tab w:val="clear" w:pos="284"/>
        </w:tabs>
        <w:spacing w:line="240" w:lineRule="auto"/>
        <w:jc w:val="left"/>
      </w:pPr>
      <w:r>
        <w:br w:type="page"/>
      </w:r>
    </w:p>
    <w:p w14:paraId="33723171" w14:textId="77777777" w:rsidR="008D7141" w:rsidRDefault="008D7141" w:rsidP="008D7141">
      <w:pPr>
        <w:pStyle w:val="BodyText"/>
        <w:sectPr w:rsidR="008D7141" w:rsidSect="00503561">
          <w:headerReference w:type="default" r:id="rId26"/>
          <w:footerReference w:type="default" r:id="rId27"/>
          <w:pgSz w:w="23808" w:h="16840" w:orient="landscape" w:code="8"/>
          <w:pgMar w:top="1418" w:right="1134" w:bottom="1134" w:left="851" w:header="567" w:footer="284" w:gutter="0"/>
          <w:pgNumType w:chapStyle="1"/>
          <w:cols w:space="284"/>
          <w:docGrid w:linePitch="360"/>
        </w:sectPr>
      </w:pPr>
    </w:p>
    <w:p w14:paraId="56D0CBEE" w14:textId="77777777" w:rsidR="007C5F2F" w:rsidRDefault="007C5F2F" w:rsidP="00624508">
      <w:pPr>
        <w:pStyle w:val="BodyText"/>
      </w:pPr>
    </w:p>
    <w:p w14:paraId="4134336D" w14:textId="5E8E0048" w:rsidR="00DF17B5" w:rsidRDefault="00374CBD" w:rsidP="00DF17B5">
      <w:pPr>
        <w:pStyle w:val="Heading3"/>
      </w:pPr>
      <w:r>
        <w:t xml:space="preserve"> </w:t>
      </w:r>
      <w:bookmarkStart w:id="84" w:name="_Toc238735949"/>
      <w:r w:rsidRPr="00374CBD">
        <w:t>Assessment of Major Accidents and Disasters</w:t>
      </w:r>
      <w:bookmarkEnd w:id="84"/>
    </w:p>
    <w:p w14:paraId="3607F1B9" w14:textId="16454886" w:rsidR="00C324B6" w:rsidRPr="00CB0F75" w:rsidRDefault="00C324B6" w:rsidP="00921D35">
      <w:pPr>
        <w:pStyle w:val="BodyText"/>
      </w:pPr>
      <w:r w:rsidRPr="00CB0F75">
        <w:t>The conclusions of the assessment of substances contained in Section 15.5.</w:t>
      </w:r>
      <w:r w:rsidR="00F33BCB" w:rsidRPr="00CB0F75">
        <w:t xml:space="preserve">1 </w:t>
      </w:r>
      <w:r w:rsidRPr="00CB0F75">
        <w:t>and Table 15-</w:t>
      </w:r>
      <w:r w:rsidR="00D13D60" w:rsidRPr="00CB0F75">
        <w:t xml:space="preserve">3 </w:t>
      </w:r>
      <w:r w:rsidRPr="00CB0F75">
        <w:t xml:space="preserve">is that there are no materials which </w:t>
      </w:r>
      <w:r w:rsidR="00F50B74">
        <w:t>would</w:t>
      </w:r>
      <w:r w:rsidR="00F50B74" w:rsidRPr="00CB0F75">
        <w:t xml:space="preserve"> </w:t>
      </w:r>
      <w:r w:rsidRPr="00CB0F75">
        <w:t>be present at the Proposed Development with the potential to initiate a credible major accident scenario.</w:t>
      </w:r>
    </w:p>
    <w:p w14:paraId="669EB727" w14:textId="7AFC07E8" w:rsidR="00035066" w:rsidRPr="00921D35" w:rsidRDefault="00C324B6" w:rsidP="00921D35">
      <w:pPr>
        <w:pStyle w:val="BodyText"/>
      </w:pPr>
      <w:r w:rsidRPr="00921D35">
        <w:t>The potential disaster scenarios which are credible for the Proposed Development have been identified in</w:t>
      </w:r>
      <w:r w:rsidR="00035066" w:rsidRPr="00921D35">
        <w:t xml:space="preserve"> </w:t>
      </w:r>
      <w:r w:rsidR="00035066" w:rsidRPr="00921D35">
        <w:fldChar w:fldCharType="begin"/>
      </w:r>
      <w:r w:rsidR="00035066" w:rsidRPr="00921D35">
        <w:instrText xml:space="preserve"> REF _Ref221287655 \h </w:instrText>
      </w:r>
      <w:r w:rsidR="00921D35">
        <w:instrText xml:space="preserve"> \* MERGEFORMAT </w:instrText>
      </w:r>
      <w:r w:rsidR="00035066" w:rsidRPr="00921D35">
        <w:fldChar w:fldCharType="separate"/>
      </w:r>
      <w:r w:rsidR="00FE21B5" w:rsidRPr="00F14F19">
        <w:t xml:space="preserve">Table </w:t>
      </w:r>
      <w:r w:rsidR="00FE21B5">
        <w:t>15</w:t>
      </w:r>
      <w:r w:rsidR="00FE21B5" w:rsidRPr="00F14F19">
        <w:t>-</w:t>
      </w:r>
      <w:r w:rsidR="00FE21B5">
        <w:t>5</w:t>
      </w:r>
      <w:r w:rsidR="00035066" w:rsidRPr="00921D35">
        <w:fldChar w:fldCharType="end"/>
      </w:r>
      <w:r w:rsidRPr="00921D35">
        <w:t>.</w:t>
      </w:r>
      <w:r w:rsidR="00035066" w:rsidRPr="00921D35">
        <w:t xml:space="preserve"> This assessment has identified one scenario where an incident such as a fire and/ or explosion occurring at the Dascher Ireland facility</w:t>
      </w:r>
      <w:r w:rsidR="00E576ED" w:rsidRPr="00921D35">
        <w:t xml:space="preserve"> within the study area, which </w:t>
      </w:r>
      <w:r w:rsidR="007E5AAA" w:rsidRPr="00921D35">
        <w:t xml:space="preserve">could escalate and have an impact at the </w:t>
      </w:r>
      <w:r w:rsidR="00F50B74">
        <w:t>Proposed Development</w:t>
      </w:r>
      <w:r w:rsidR="007E5AAA" w:rsidRPr="00921D35">
        <w:t>. This ‘Domino Effect’ scenario has been defined as Risk Event 1</w:t>
      </w:r>
      <w:r w:rsidR="00035066" w:rsidRPr="00921D35">
        <w:t>.</w:t>
      </w:r>
      <w:r w:rsidRPr="00921D35">
        <w:t xml:space="preserve"> </w:t>
      </w:r>
    </w:p>
    <w:p w14:paraId="352DE9B8" w14:textId="68FAC3B1" w:rsidR="00E46636" w:rsidRDefault="008451B6" w:rsidP="00CB0F75">
      <w:pPr>
        <w:pStyle w:val="BodyText"/>
        <w:sectPr w:rsidR="00E46636" w:rsidSect="00E46636">
          <w:headerReference w:type="default" r:id="rId28"/>
          <w:footerReference w:type="default" r:id="rId29"/>
          <w:pgSz w:w="11906" w:h="16838"/>
          <w:pgMar w:top="1134" w:right="1134" w:bottom="851" w:left="1418" w:header="567" w:footer="284" w:gutter="0"/>
          <w:pgNumType w:chapStyle="1"/>
          <w:cols w:space="284"/>
          <w:docGrid w:linePitch="360"/>
        </w:sectPr>
      </w:pPr>
      <w:r w:rsidRPr="00921D35">
        <w:t>Risk Events are assessed in further detail within</w:t>
      </w:r>
      <w:r w:rsidR="00035066" w:rsidRPr="00921D35">
        <w:t xml:space="preserve"> </w:t>
      </w:r>
      <w:r w:rsidR="00035066" w:rsidRPr="00921D35">
        <w:fldChar w:fldCharType="begin"/>
      </w:r>
      <w:r w:rsidR="00035066" w:rsidRPr="00921D35">
        <w:instrText xml:space="preserve"> REF _Ref221702754 \h </w:instrText>
      </w:r>
      <w:r w:rsidR="00921D35">
        <w:instrText xml:space="preserve"> \* MERGEFORMAT </w:instrText>
      </w:r>
      <w:r w:rsidR="00035066" w:rsidRPr="00921D35">
        <w:fldChar w:fldCharType="separate"/>
      </w:r>
      <w:r w:rsidR="00FE21B5" w:rsidRPr="00733E9A">
        <w:t xml:space="preserve">Table </w:t>
      </w:r>
      <w:r w:rsidR="00FE21B5">
        <w:t>15</w:t>
      </w:r>
      <w:r w:rsidR="00FE21B5" w:rsidRPr="00733E9A">
        <w:t>-</w:t>
      </w:r>
      <w:r w:rsidR="00FE21B5">
        <w:t>6</w:t>
      </w:r>
      <w:r w:rsidR="00035066" w:rsidRPr="00921D35">
        <w:fldChar w:fldCharType="end"/>
      </w:r>
      <w:r w:rsidRPr="00921D35">
        <w:t xml:space="preserve">, where measures which </w:t>
      </w:r>
      <w:r w:rsidR="00606067">
        <w:t xml:space="preserve">would </w:t>
      </w:r>
      <w:r w:rsidRPr="00921D35">
        <w:t xml:space="preserve">be taken to prevent and mitigate these </w:t>
      </w:r>
      <w:r w:rsidR="00606067">
        <w:t xml:space="preserve">potential events </w:t>
      </w:r>
      <w:r w:rsidRPr="00921D35">
        <w:t>are considered.</w:t>
      </w:r>
    </w:p>
    <w:p w14:paraId="2199F9CA" w14:textId="217E8DAC" w:rsidR="00A41055" w:rsidRPr="00733E9A" w:rsidRDefault="00A41055" w:rsidP="00A41055">
      <w:pPr>
        <w:pStyle w:val="Caption"/>
      </w:pPr>
      <w:bookmarkStart w:id="85" w:name="_Ref221702754"/>
      <w:bookmarkStart w:id="86" w:name="_Toc238735968"/>
      <w:r w:rsidRPr="00733E9A">
        <w:lastRenderedPageBreak/>
        <w:t xml:space="preserve">Table </w:t>
      </w:r>
      <w:r>
        <w:fldChar w:fldCharType="begin"/>
      </w:r>
      <w:r>
        <w:instrText>STYLEREF 1 \s</w:instrText>
      </w:r>
      <w:r>
        <w:fldChar w:fldCharType="separate"/>
      </w:r>
      <w:r w:rsidR="00FE21B5">
        <w:rPr>
          <w:noProof/>
        </w:rPr>
        <w:t>15</w:t>
      </w:r>
      <w:r>
        <w:fldChar w:fldCharType="end"/>
      </w:r>
      <w:r w:rsidRPr="00733E9A">
        <w:t>-</w:t>
      </w:r>
      <w:r>
        <w:fldChar w:fldCharType="begin"/>
      </w:r>
      <w:r>
        <w:instrText>SEQ Table \* ARABIC \s 1</w:instrText>
      </w:r>
      <w:r>
        <w:fldChar w:fldCharType="separate"/>
      </w:r>
      <w:r w:rsidR="00FE21B5">
        <w:rPr>
          <w:noProof/>
        </w:rPr>
        <w:t>6</w:t>
      </w:r>
      <w:r>
        <w:fldChar w:fldCharType="end"/>
      </w:r>
      <w:bookmarkEnd w:id="85"/>
      <w:r w:rsidRPr="00733E9A">
        <w:t xml:space="preserve">: </w:t>
      </w:r>
      <w:r w:rsidR="002673AA" w:rsidRPr="002673AA">
        <w:t>Assessment of Major Accident and Disaster Scenarios</w:t>
      </w:r>
      <w:bookmarkEnd w:id="86"/>
    </w:p>
    <w:tbl>
      <w:tblPr>
        <w:tblStyle w:val="AECOMtable"/>
        <w:tblW w:w="0" w:type="auto"/>
        <w:tblLook w:val="04A0" w:firstRow="1" w:lastRow="0" w:firstColumn="1" w:lastColumn="0" w:noHBand="0" w:noVBand="1"/>
      </w:tblPr>
      <w:tblGrid>
        <w:gridCol w:w="713"/>
        <w:gridCol w:w="1119"/>
        <w:gridCol w:w="2594"/>
        <w:gridCol w:w="2873"/>
        <w:gridCol w:w="3271"/>
        <w:gridCol w:w="4283"/>
      </w:tblGrid>
      <w:tr w:rsidR="00FE1EE6" w:rsidRPr="00733E9A" w14:paraId="2993D98C" w14:textId="7C49B096" w:rsidTr="00FF4ED6">
        <w:trPr>
          <w:cnfStyle w:val="100000000000" w:firstRow="1" w:lastRow="0" w:firstColumn="0" w:lastColumn="0" w:oddVBand="0" w:evenVBand="0" w:oddHBand="0" w:evenHBand="0" w:firstRowFirstColumn="0" w:firstRowLastColumn="0" w:lastRowFirstColumn="0" w:lastRowLastColumn="0"/>
          <w:tblHeader/>
        </w:trPr>
        <w:tc>
          <w:tcPr>
            <w:tcW w:w="0" w:type="auto"/>
          </w:tcPr>
          <w:p w14:paraId="2B107F2B" w14:textId="66021386" w:rsidR="00FE1EE6" w:rsidRPr="00733E9A" w:rsidRDefault="00FE1EE6" w:rsidP="00FE1EE6">
            <w:pPr>
              <w:pStyle w:val="Tabletext"/>
            </w:pPr>
            <w:r w:rsidRPr="00740B96">
              <w:t>Risk Event Ref.</w:t>
            </w:r>
          </w:p>
        </w:tc>
        <w:tc>
          <w:tcPr>
            <w:tcW w:w="0" w:type="auto"/>
          </w:tcPr>
          <w:p w14:paraId="32EB64B8" w14:textId="2AB08BD6" w:rsidR="00FE1EE6" w:rsidRPr="00733E9A" w:rsidRDefault="00FE1EE6" w:rsidP="00FE1EE6">
            <w:pPr>
              <w:pStyle w:val="Tabletext"/>
            </w:pPr>
            <w:r w:rsidRPr="00740B96">
              <w:t>Substance</w:t>
            </w:r>
          </w:p>
        </w:tc>
        <w:tc>
          <w:tcPr>
            <w:tcW w:w="0" w:type="auto"/>
          </w:tcPr>
          <w:p w14:paraId="0B83C75B" w14:textId="34A6F268" w:rsidR="00FE1EE6" w:rsidRPr="00733E9A" w:rsidRDefault="00FE1EE6" w:rsidP="00FE1EE6">
            <w:pPr>
              <w:pStyle w:val="Tabletext"/>
            </w:pPr>
            <w:r w:rsidRPr="00740B96">
              <w:t>Scenario Description</w:t>
            </w:r>
          </w:p>
        </w:tc>
        <w:tc>
          <w:tcPr>
            <w:tcW w:w="0" w:type="auto"/>
          </w:tcPr>
          <w:p w14:paraId="59839FBC" w14:textId="518607E2" w:rsidR="00FE1EE6" w:rsidRPr="00733E9A" w:rsidRDefault="00FE1EE6" w:rsidP="00FE1EE6">
            <w:pPr>
              <w:pStyle w:val="Tabletext"/>
            </w:pPr>
            <w:r w:rsidRPr="00740B96">
              <w:t>Potential Causes and Impacts</w:t>
            </w:r>
          </w:p>
        </w:tc>
        <w:tc>
          <w:tcPr>
            <w:tcW w:w="0" w:type="auto"/>
          </w:tcPr>
          <w:p w14:paraId="3DEA389B" w14:textId="1DE94916" w:rsidR="00FE1EE6" w:rsidRPr="00733E9A" w:rsidRDefault="00FE1EE6" w:rsidP="00FE1EE6">
            <w:pPr>
              <w:pStyle w:val="Tabletext"/>
            </w:pPr>
            <w:r w:rsidRPr="00740B96">
              <w:t>Mitigation Measures</w:t>
            </w:r>
          </w:p>
        </w:tc>
        <w:tc>
          <w:tcPr>
            <w:tcW w:w="0" w:type="auto"/>
          </w:tcPr>
          <w:p w14:paraId="320856D7" w14:textId="19A59E9F" w:rsidR="00FE1EE6" w:rsidRPr="00733E9A" w:rsidRDefault="00FE1EE6" w:rsidP="00FE1EE6">
            <w:pPr>
              <w:pStyle w:val="Tabletext"/>
            </w:pPr>
            <w:r w:rsidRPr="00740B96">
              <w:t>Residual Effects</w:t>
            </w:r>
          </w:p>
        </w:tc>
      </w:tr>
      <w:tr w:rsidR="00F83F0B" w:rsidRPr="00733E9A" w14:paraId="6B281AEA" w14:textId="1EF62F21" w:rsidTr="00FF4ED6">
        <w:trPr>
          <w:trHeight w:val="225"/>
        </w:trPr>
        <w:tc>
          <w:tcPr>
            <w:tcW w:w="0" w:type="auto"/>
          </w:tcPr>
          <w:p w14:paraId="280D9911" w14:textId="7378D741" w:rsidR="00F83F0B" w:rsidRPr="00733E9A" w:rsidRDefault="00F83F0B" w:rsidP="00F83F0B">
            <w:pPr>
              <w:pStyle w:val="Tabletext"/>
            </w:pPr>
            <w:r>
              <w:t>1</w:t>
            </w:r>
          </w:p>
        </w:tc>
        <w:tc>
          <w:tcPr>
            <w:tcW w:w="0" w:type="auto"/>
          </w:tcPr>
          <w:p w14:paraId="45E9802D" w14:textId="77777777" w:rsidR="00F83F0B" w:rsidRDefault="00F83F0B" w:rsidP="00CB0F75">
            <w:pPr>
              <w:pStyle w:val="Tabletext"/>
              <w:jc w:val="left"/>
            </w:pPr>
            <w:r>
              <w:t>Class 2 gases</w:t>
            </w:r>
          </w:p>
          <w:p w14:paraId="2CB5E669" w14:textId="29E706BB" w:rsidR="00F83F0B" w:rsidRPr="00733E9A" w:rsidRDefault="00F83F0B" w:rsidP="00CB0F75">
            <w:pPr>
              <w:pStyle w:val="Tabletext"/>
              <w:jc w:val="left"/>
            </w:pPr>
            <w:r>
              <w:t>Class 3 flammables</w:t>
            </w:r>
          </w:p>
        </w:tc>
        <w:tc>
          <w:tcPr>
            <w:tcW w:w="0" w:type="auto"/>
          </w:tcPr>
          <w:p w14:paraId="59551DB0" w14:textId="316FA7CF" w:rsidR="00F83F0B" w:rsidRPr="00733E9A" w:rsidRDefault="00F83F0B" w:rsidP="00CB0F75">
            <w:pPr>
              <w:pStyle w:val="Tabletext"/>
              <w:jc w:val="left"/>
            </w:pPr>
            <w:r w:rsidRPr="00B04294">
              <w:rPr>
                <w:rFonts w:cstheme="minorHAnsi"/>
                <w:bCs/>
              </w:rPr>
              <w:t xml:space="preserve">Accident - Industrial accident at </w:t>
            </w:r>
            <w:r>
              <w:rPr>
                <w:rFonts w:cstheme="minorHAnsi"/>
                <w:bCs/>
              </w:rPr>
              <w:t>Dascher Ireland storage facility</w:t>
            </w:r>
            <w:r w:rsidR="003F0AC9">
              <w:rPr>
                <w:rFonts w:cstheme="minorHAnsi"/>
                <w:bCs/>
              </w:rPr>
              <w:t xml:space="preserve"> </w:t>
            </w:r>
            <w:r w:rsidR="004261E8">
              <w:rPr>
                <w:rFonts w:cstheme="minorHAnsi"/>
                <w:bCs/>
              </w:rPr>
              <w:t xml:space="preserve">which could result in damage to the Proposed Development </w:t>
            </w:r>
            <w:r w:rsidR="00733ADC">
              <w:rPr>
                <w:rFonts w:cstheme="minorHAnsi"/>
                <w:bCs/>
              </w:rPr>
              <w:t xml:space="preserve">through a domino </w:t>
            </w:r>
            <w:proofErr w:type="gramStart"/>
            <w:r w:rsidR="00733ADC">
              <w:rPr>
                <w:rFonts w:cstheme="minorHAnsi"/>
                <w:bCs/>
              </w:rPr>
              <w:t>effect.</w:t>
            </w:r>
            <w:r w:rsidR="002740F4">
              <w:rPr>
                <w:rFonts w:cstheme="minorHAnsi"/>
                <w:bCs/>
              </w:rPr>
              <w:t>.</w:t>
            </w:r>
            <w:proofErr w:type="gramEnd"/>
          </w:p>
        </w:tc>
        <w:tc>
          <w:tcPr>
            <w:tcW w:w="0" w:type="auto"/>
          </w:tcPr>
          <w:p w14:paraId="3160D715" w14:textId="75ABA45A" w:rsidR="00F83F0B" w:rsidRPr="00733E9A" w:rsidRDefault="00F83F0B" w:rsidP="00CB0F75">
            <w:pPr>
              <w:pStyle w:val="Tabletext"/>
              <w:jc w:val="left"/>
            </w:pPr>
            <w:r w:rsidRPr="00A36A14">
              <w:t xml:space="preserve">An incident which occurs at the </w:t>
            </w:r>
            <w:r>
              <w:t>Dascher Ireland</w:t>
            </w:r>
            <w:r w:rsidRPr="00A36A14">
              <w:t xml:space="preserve"> facility has been identified as having the potential to escalate and potentially have an impact at </w:t>
            </w:r>
            <w:r w:rsidR="002740F4">
              <w:t>t</w:t>
            </w:r>
            <w:r w:rsidRPr="00A36A14">
              <w:t>he Proposed Development.</w:t>
            </w:r>
          </w:p>
        </w:tc>
        <w:tc>
          <w:tcPr>
            <w:tcW w:w="0" w:type="auto"/>
          </w:tcPr>
          <w:p w14:paraId="12B3F541" w14:textId="77777777" w:rsidR="00F83F0B" w:rsidRPr="008A77D0" w:rsidRDefault="00F83F0B" w:rsidP="00F83F0B">
            <w:pPr>
              <w:pStyle w:val="Tabletext"/>
            </w:pPr>
            <w:r w:rsidRPr="008A77D0">
              <w:t>The mitigation measures to prevent events such as fire and/ or explosion are established systems and controls adopted throughout the storage industry.</w:t>
            </w:r>
          </w:p>
          <w:p w14:paraId="1CD48499" w14:textId="77777777" w:rsidR="00F83F0B" w:rsidRPr="008A77D0" w:rsidRDefault="00F83F0B" w:rsidP="00F83F0B">
            <w:pPr>
              <w:pStyle w:val="Tabletext"/>
            </w:pPr>
            <w:r w:rsidRPr="008A77D0">
              <w:t>Such measures include:</w:t>
            </w:r>
          </w:p>
          <w:p w14:paraId="2ABDBFC3" w14:textId="6EA6E724" w:rsidR="006B0279" w:rsidRPr="00CB0F75" w:rsidRDefault="00F83F0B" w:rsidP="00FF4ED6">
            <w:pPr>
              <w:pStyle w:val="TableListBullet"/>
              <w:numPr>
                <w:ilvl w:val="0"/>
                <w:numId w:val="40"/>
              </w:numPr>
              <w:rPr>
                <w:sz w:val="18"/>
              </w:rPr>
            </w:pPr>
            <w:r w:rsidRPr="00CB0F75">
              <w:rPr>
                <w:sz w:val="18"/>
              </w:rPr>
              <w:t xml:space="preserve">Protective systems during offloading operations in place to prevent a loss of containment such as dry-break hose couplings and vehicle chocks to prevent ‘drive-away’ </w:t>
            </w:r>
          </w:p>
          <w:p w14:paraId="1FEFAE16" w14:textId="58B82058" w:rsidR="00F83F0B" w:rsidRPr="00CB0F75" w:rsidRDefault="00F83F0B" w:rsidP="006B0279">
            <w:pPr>
              <w:pStyle w:val="TableListBullet"/>
              <w:numPr>
                <w:ilvl w:val="0"/>
                <w:numId w:val="40"/>
              </w:numPr>
              <w:rPr>
                <w:sz w:val="18"/>
              </w:rPr>
            </w:pPr>
            <w:r w:rsidRPr="00CB0F75">
              <w:rPr>
                <w:sz w:val="18"/>
              </w:rPr>
              <w:t>A fire protection design basis document containing a fire risk assessment will have been developed by the Contractor to inform the design of the fire system. incidents.</w:t>
            </w:r>
          </w:p>
          <w:p w14:paraId="48F646ED" w14:textId="77777777" w:rsidR="00F83F0B" w:rsidRPr="00CB0F75" w:rsidRDefault="00F83F0B" w:rsidP="006B0279">
            <w:pPr>
              <w:pStyle w:val="TableListBullet"/>
              <w:numPr>
                <w:ilvl w:val="0"/>
                <w:numId w:val="40"/>
              </w:numPr>
              <w:rPr>
                <w:sz w:val="18"/>
              </w:rPr>
            </w:pPr>
            <w:r w:rsidRPr="00CB0F75">
              <w:rPr>
                <w:sz w:val="18"/>
              </w:rPr>
              <w:t>A comprehensive fire detection and firefighting system will have been developed appropriate to the level of fire risk in each part of the Site.</w:t>
            </w:r>
          </w:p>
          <w:p w14:paraId="2B0BD022" w14:textId="77777777" w:rsidR="00F83F0B" w:rsidRPr="00CB0F75" w:rsidRDefault="00F83F0B" w:rsidP="006B0279">
            <w:pPr>
              <w:pStyle w:val="TableListBullet"/>
              <w:numPr>
                <w:ilvl w:val="0"/>
                <w:numId w:val="40"/>
              </w:numPr>
              <w:rPr>
                <w:sz w:val="18"/>
              </w:rPr>
            </w:pPr>
            <w:r w:rsidRPr="00CB0F75">
              <w:rPr>
                <w:sz w:val="18"/>
              </w:rPr>
              <w:t>A fire protection design basis document containing a fire risk assessment will have been developed by the Contractor to inform the design of the fire system.</w:t>
            </w:r>
          </w:p>
          <w:p w14:paraId="7F3C809D" w14:textId="77777777" w:rsidR="00F83F0B" w:rsidRPr="00CB0F75" w:rsidRDefault="00F83F0B" w:rsidP="006B0279">
            <w:pPr>
              <w:pStyle w:val="TableListBullet"/>
              <w:numPr>
                <w:ilvl w:val="0"/>
                <w:numId w:val="40"/>
              </w:numPr>
              <w:rPr>
                <w:sz w:val="18"/>
              </w:rPr>
            </w:pPr>
            <w:r w:rsidRPr="00CB0F75">
              <w:rPr>
                <w:sz w:val="18"/>
              </w:rPr>
              <w:t>In the event of a fire an alarm will be generated to alert operators and fire suppression systems will automatically operate to extinguish the fire.</w:t>
            </w:r>
          </w:p>
          <w:p w14:paraId="6D9CDC42" w14:textId="77777777" w:rsidR="00F83F0B" w:rsidRPr="00733E9A" w:rsidRDefault="00F83F0B" w:rsidP="00F83F0B">
            <w:pPr>
              <w:pStyle w:val="Tabletext"/>
            </w:pPr>
          </w:p>
        </w:tc>
        <w:tc>
          <w:tcPr>
            <w:tcW w:w="0" w:type="auto"/>
          </w:tcPr>
          <w:p w14:paraId="64D4E126" w14:textId="1ABF8A24" w:rsidR="00F83F0B" w:rsidRDefault="00F83F0B" w:rsidP="00F83F0B">
            <w:pPr>
              <w:pStyle w:val="Tabletext"/>
            </w:pPr>
            <w:r>
              <w:t xml:space="preserve">COMAH Installations </w:t>
            </w:r>
            <w:r w:rsidR="00332CA7">
              <w:t xml:space="preserve">are </w:t>
            </w:r>
            <w:r>
              <w:t xml:space="preserve">required by law to take ‘all measures necessary’ to prevent major accidents. These principles have been in place at these facilities since operation commenced. </w:t>
            </w:r>
          </w:p>
          <w:p w14:paraId="657AB7A3" w14:textId="55CE6052" w:rsidR="00F83F0B" w:rsidRPr="00733E9A" w:rsidRDefault="00F83F0B" w:rsidP="00F83F0B">
            <w:pPr>
              <w:pStyle w:val="Tabletext"/>
            </w:pPr>
            <w:r>
              <w:t>The mitigation measures to reduce the risk of a fire and/ or explosion which originates within the fuel storage facility will reduce the residual risk to a low level and will be managed by standard operating procedures, safety and environmental management measures to level commensurate with ALARP.</w:t>
            </w:r>
          </w:p>
        </w:tc>
      </w:tr>
    </w:tbl>
    <w:p w14:paraId="74C5ED44" w14:textId="77777777" w:rsidR="00D511EA" w:rsidRDefault="00040514">
      <w:pPr>
        <w:tabs>
          <w:tab w:val="clear" w:pos="284"/>
        </w:tabs>
        <w:spacing w:line="240" w:lineRule="auto"/>
        <w:jc w:val="left"/>
        <w:sectPr w:rsidR="00D511EA" w:rsidSect="006362C3">
          <w:pgSz w:w="16838" w:h="11906" w:orient="landscape"/>
          <w:pgMar w:top="1418" w:right="1134" w:bottom="1134" w:left="851" w:header="567" w:footer="284" w:gutter="0"/>
          <w:pgNumType w:chapStyle="1"/>
          <w:cols w:space="284"/>
          <w:docGrid w:linePitch="360"/>
        </w:sectPr>
      </w:pPr>
      <w:r>
        <w:br w:type="page"/>
      </w:r>
    </w:p>
    <w:p w14:paraId="0891EA1F" w14:textId="61ADAA91" w:rsidR="00374CBD" w:rsidRPr="00374CBD" w:rsidRDefault="00374CBD" w:rsidP="00C324B6">
      <w:pPr>
        <w:pStyle w:val="BodyText"/>
      </w:pPr>
    </w:p>
    <w:p w14:paraId="3597B848" w14:textId="537454E9" w:rsidR="004745EA" w:rsidRDefault="004745EA" w:rsidP="00743568">
      <w:pPr>
        <w:pStyle w:val="Heading2"/>
      </w:pPr>
      <w:bookmarkStart w:id="87" w:name="_Toc238735950"/>
      <w:r>
        <w:t>Mitigation Measures</w:t>
      </w:r>
      <w:bookmarkEnd w:id="87"/>
    </w:p>
    <w:p w14:paraId="04210D2A" w14:textId="58702BEC" w:rsidR="004745EA" w:rsidRPr="00CE1E45" w:rsidRDefault="00740905" w:rsidP="00CE1E45">
      <w:pPr>
        <w:pStyle w:val="BodyText"/>
      </w:pPr>
      <w:r w:rsidRPr="00CE1E45">
        <w:t xml:space="preserve">The following section contains a summary of the key general measures which </w:t>
      </w:r>
      <w:r w:rsidR="005C3373">
        <w:t>would</w:t>
      </w:r>
      <w:r w:rsidR="005C3373" w:rsidRPr="00CE1E45">
        <w:t xml:space="preserve"> </w:t>
      </w:r>
      <w:r w:rsidRPr="00CE1E45">
        <w:t xml:space="preserve">be taken to prevent </w:t>
      </w:r>
      <w:r w:rsidR="005C3373">
        <w:t xml:space="preserve">MA&amp;Ds </w:t>
      </w:r>
      <w:r w:rsidRPr="00CE1E45">
        <w:t>at the Proposed Development.</w:t>
      </w:r>
    </w:p>
    <w:p w14:paraId="0894B40C" w14:textId="0339174C" w:rsidR="00DC7936" w:rsidRDefault="00DC7936" w:rsidP="00DC7936">
      <w:pPr>
        <w:pStyle w:val="Heading3"/>
      </w:pPr>
      <w:bookmarkStart w:id="88" w:name="_Toc238735951"/>
      <w:r>
        <w:t>Construction Phase</w:t>
      </w:r>
      <w:bookmarkEnd w:id="88"/>
    </w:p>
    <w:p w14:paraId="1AA725EB" w14:textId="6251EF13" w:rsidR="00C721F9" w:rsidRPr="00CE1E45" w:rsidRDefault="00C721F9" w:rsidP="00A97F70">
      <w:pPr>
        <w:pStyle w:val="BodyText"/>
      </w:pPr>
      <w:r w:rsidRPr="00CE1E45">
        <w:t>The design</w:t>
      </w:r>
      <w:r w:rsidR="00D57986" w:rsidRPr="00CE1E45">
        <w:t xml:space="preserve"> and</w:t>
      </w:r>
      <w:r w:rsidRPr="00CE1E45">
        <w:t xml:space="preserve"> construction of </w:t>
      </w:r>
      <w:r w:rsidR="00084A58" w:rsidRPr="00CE1E45">
        <w:t>t</w:t>
      </w:r>
      <w:r w:rsidRPr="00CE1E45">
        <w:t xml:space="preserve">he Proposed Development </w:t>
      </w:r>
      <w:r w:rsidR="005C3373">
        <w:t>would</w:t>
      </w:r>
      <w:r w:rsidR="005C3373" w:rsidRPr="00CE1E45">
        <w:t xml:space="preserve"> </w:t>
      </w:r>
      <w:r w:rsidRPr="00CE1E45">
        <w:t>be in accordance with relevant international, national and established industry codes, standards and practice, such as:</w:t>
      </w:r>
    </w:p>
    <w:p w14:paraId="64BBB82B" w14:textId="493E6A51" w:rsidR="00C721F9" w:rsidRDefault="006B630E" w:rsidP="006B0279">
      <w:pPr>
        <w:pStyle w:val="ListBullet"/>
        <w:numPr>
          <w:ilvl w:val="0"/>
          <w:numId w:val="41"/>
        </w:numPr>
      </w:pPr>
      <w:r w:rsidRPr="006B630E">
        <w:t>Designing and building any structure to the appropriate EN design standards</w:t>
      </w:r>
      <w:r w:rsidR="00A47F77">
        <w:t xml:space="preserve"> such as </w:t>
      </w:r>
      <w:r w:rsidR="006B3C03">
        <w:t xml:space="preserve">the relevant </w:t>
      </w:r>
      <w:r w:rsidR="004344A4">
        <w:t xml:space="preserve">Building Regulation Technical and </w:t>
      </w:r>
      <w:r w:rsidR="00C070BC">
        <w:t>Safety standards</w:t>
      </w:r>
      <w:r w:rsidRPr="006B630E">
        <w:t>;</w:t>
      </w:r>
      <w:r w:rsidR="00D57986">
        <w:t xml:space="preserve"> and</w:t>
      </w:r>
    </w:p>
    <w:p w14:paraId="426617ED" w14:textId="784871F9" w:rsidR="006B630E" w:rsidRDefault="00C719E2" w:rsidP="006B0279">
      <w:pPr>
        <w:pStyle w:val="ListBullet"/>
        <w:numPr>
          <w:ilvl w:val="0"/>
          <w:numId w:val="41"/>
        </w:numPr>
      </w:pPr>
      <w:r w:rsidRPr="00C719E2">
        <w:t>Compliance with material specification standards</w:t>
      </w:r>
      <w:r w:rsidR="00F052B6">
        <w:t xml:space="preserve"> for buildings materials such as concrete, blockwork</w:t>
      </w:r>
      <w:r w:rsidR="0044322A">
        <w:t xml:space="preserve"> and timber</w:t>
      </w:r>
      <w:r w:rsidR="00A97F70">
        <w:t>.</w:t>
      </w:r>
      <w:r w:rsidRPr="00C719E2">
        <w:t xml:space="preserve"> </w:t>
      </w:r>
    </w:p>
    <w:p w14:paraId="7D52B99C" w14:textId="0DB14985" w:rsidR="00DC7936" w:rsidRDefault="00DC7936" w:rsidP="00DC7936">
      <w:pPr>
        <w:pStyle w:val="Heading3"/>
      </w:pPr>
      <w:bookmarkStart w:id="89" w:name="_Toc238735952"/>
      <w:r>
        <w:t>Operational Phase</w:t>
      </w:r>
      <w:bookmarkEnd w:id="89"/>
    </w:p>
    <w:p w14:paraId="453C40AF" w14:textId="461ECF8A" w:rsidR="006657FB" w:rsidRPr="00CE1E45" w:rsidRDefault="006657FB" w:rsidP="00CE1E45">
      <w:pPr>
        <w:pStyle w:val="BodyText"/>
      </w:pPr>
      <w:r w:rsidRPr="00CE1E45">
        <w:t xml:space="preserve">The design </w:t>
      </w:r>
      <w:r w:rsidR="008566A7">
        <w:t>and construction</w:t>
      </w:r>
      <w:r w:rsidRPr="00CE1E45">
        <w:t xml:space="preserve"> of </w:t>
      </w:r>
      <w:r w:rsidR="00084A58" w:rsidRPr="00CE1E45">
        <w:t>t</w:t>
      </w:r>
      <w:r w:rsidRPr="00CE1E45">
        <w:t xml:space="preserve">he Proposed Development </w:t>
      </w:r>
      <w:r w:rsidR="005C3373">
        <w:t>would</w:t>
      </w:r>
      <w:r w:rsidR="005C3373" w:rsidRPr="00CE1E45">
        <w:t xml:space="preserve"> </w:t>
      </w:r>
      <w:r w:rsidRPr="00CE1E45">
        <w:t>be in accordance with relevant international, national and established industry codes, standards and practice</w:t>
      </w:r>
      <w:r w:rsidR="00901DA5">
        <w:t xml:space="preserve"> for residential buildings</w:t>
      </w:r>
      <w:r w:rsidRPr="00CE1E45">
        <w:t>, such as</w:t>
      </w:r>
      <w:r w:rsidR="00B61CF4">
        <w:t xml:space="preserve"> the </w:t>
      </w:r>
      <w:r w:rsidR="00B61CF4" w:rsidRPr="00B61CF4">
        <w:t>National Wiring Rules: I.S. 10101:2020</w:t>
      </w:r>
      <w:r w:rsidRPr="00CE1E45">
        <w:t>:</w:t>
      </w:r>
      <w:r w:rsidR="00901DA5">
        <w:t xml:space="preserve"> which </w:t>
      </w:r>
      <w:r w:rsidR="006C73CC">
        <w:t>mandates the specific safety, sizing and hardware requirements to pro</w:t>
      </w:r>
      <w:r w:rsidR="003C0ABB">
        <w:t>tect modern homes (e.g. plugs and sockets</w:t>
      </w:r>
      <w:r w:rsidR="00CB42DA">
        <w:t xml:space="preserve">, circuit boards, </w:t>
      </w:r>
      <w:r w:rsidR="001907CF">
        <w:t>residual current devices</w:t>
      </w:r>
      <w:r w:rsidR="003C0ABB">
        <w:t>.</w:t>
      </w:r>
      <w:r w:rsidR="00C17574">
        <w:t xml:space="preserve"> </w:t>
      </w:r>
      <w:r w:rsidR="007664B2">
        <w:t xml:space="preserve">surge protection devices, </w:t>
      </w:r>
      <w:r w:rsidR="00936DD0">
        <w:t>arc fault detection devices</w:t>
      </w:r>
      <w:r w:rsidR="00F970BB">
        <w:t>, lighting, and circuit breakers)&gt;</w:t>
      </w:r>
    </w:p>
    <w:p w14:paraId="586D1AEE" w14:textId="555346C3" w:rsidR="006657FB" w:rsidRDefault="006657FB" w:rsidP="005442C3">
      <w:pPr>
        <w:pStyle w:val="BodyText"/>
      </w:pPr>
    </w:p>
    <w:p w14:paraId="17739F7B" w14:textId="4574D955" w:rsidR="00737383" w:rsidRDefault="00737383" w:rsidP="00737383">
      <w:pPr>
        <w:pStyle w:val="Heading3"/>
      </w:pPr>
      <w:r>
        <w:t xml:space="preserve"> </w:t>
      </w:r>
      <w:bookmarkStart w:id="90" w:name="_Toc238735953"/>
      <w:r>
        <w:t>Plans and Procedures</w:t>
      </w:r>
      <w:bookmarkEnd w:id="90"/>
    </w:p>
    <w:p w14:paraId="76CC74BC" w14:textId="0E0D2E59" w:rsidR="00737383" w:rsidRPr="00CE1E45" w:rsidRDefault="00C67F99" w:rsidP="00CE1E45">
      <w:pPr>
        <w:pStyle w:val="BodyText"/>
      </w:pPr>
      <w:proofErr w:type="gramStart"/>
      <w:r w:rsidRPr="00CE1E45">
        <w:t>A number of</w:t>
      </w:r>
      <w:proofErr w:type="gramEnd"/>
      <w:r w:rsidRPr="00CE1E45">
        <w:t xml:space="preserve"> plans and procedures </w:t>
      </w:r>
      <w:r w:rsidR="005C3373">
        <w:t>would</w:t>
      </w:r>
      <w:r w:rsidR="005C3373" w:rsidRPr="00CE1E45">
        <w:t xml:space="preserve"> </w:t>
      </w:r>
      <w:r w:rsidRPr="00CE1E45">
        <w:t>be in place to effectively manage and minimise risk</w:t>
      </w:r>
      <w:r w:rsidR="005C3373">
        <w:t>s</w:t>
      </w:r>
      <w:r w:rsidRPr="00CE1E45">
        <w:t xml:space="preserve"> by ensuring that every reasonable effort </w:t>
      </w:r>
      <w:r w:rsidR="005C3373">
        <w:t xml:space="preserve">would </w:t>
      </w:r>
      <w:r w:rsidRPr="00CE1E45">
        <w:t xml:space="preserve">be made to ensure that environmental impacts during construction and operation </w:t>
      </w:r>
      <w:r w:rsidR="005C3373">
        <w:t xml:space="preserve">would </w:t>
      </w:r>
      <w:r w:rsidRPr="00CE1E45">
        <w:t>be avoided or reduced, where possible. These include:</w:t>
      </w:r>
    </w:p>
    <w:p w14:paraId="2A9D1024" w14:textId="28E1ECF8" w:rsidR="00C67F99" w:rsidRDefault="008E5D5D" w:rsidP="00EA08E0">
      <w:pPr>
        <w:pStyle w:val="ListBullet"/>
        <w:numPr>
          <w:ilvl w:val="0"/>
          <w:numId w:val="43"/>
        </w:numPr>
      </w:pPr>
      <w:r w:rsidRPr="008E5D5D">
        <w:t xml:space="preserve">A Contractor’s CEMP </w:t>
      </w:r>
      <w:r w:rsidR="005C3373">
        <w:t xml:space="preserve">would </w:t>
      </w:r>
      <w:r w:rsidRPr="008E5D5D">
        <w:t xml:space="preserve">be prepared, along with supporting method statements and risk assessments to support construction activities. These </w:t>
      </w:r>
      <w:r w:rsidR="005C3373" w:rsidRPr="000517CF">
        <w:t>would</w:t>
      </w:r>
      <w:r w:rsidRPr="000517CF">
        <w:t xml:space="preserve"> ensure such works can be undertaken in a logical and safe sequence with appropriate consultation with </w:t>
      </w:r>
      <w:r w:rsidR="009E1084" w:rsidRPr="000517CF">
        <w:t>key stakeholders</w:t>
      </w:r>
      <w:r w:rsidRPr="000517CF">
        <w:t xml:space="preserve"> to ensure relevant standards are met. An outline CEMP has been provided as </w:t>
      </w:r>
      <w:r w:rsidR="00913787" w:rsidRPr="005442C3">
        <w:t>in this Planning Application</w:t>
      </w:r>
      <w:r w:rsidRPr="000517CF">
        <w:t xml:space="preserve"> and this </w:t>
      </w:r>
      <w:r w:rsidR="005C3373" w:rsidRPr="000517CF">
        <w:t xml:space="preserve">would </w:t>
      </w:r>
      <w:r w:rsidRPr="000517CF">
        <w:t>be developed further by the Contractor.</w:t>
      </w:r>
    </w:p>
    <w:p w14:paraId="1E6F9057" w14:textId="6E6D27D7" w:rsidR="00C27CC8" w:rsidRPr="000517CF" w:rsidRDefault="00C27CC8" w:rsidP="00EA08E0">
      <w:pPr>
        <w:pStyle w:val="ListBullet"/>
        <w:numPr>
          <w:ilvl w:val="0"/>
          <w:numId w:val="43"/>
        </w:numPr>
      </w:pPr>
      <w:r w:rsidRPr="00C27CC8">
        <w:t>A CT</w:t>
      </w:r>
      <w:r w:rsidR="00654A24">
        <w:t>M</w:t>
      </w:r>
      <w:r w:rsidRPr="00C27CC8">
        <w:t>P</w:t>
      </w:r>
      <w:r w:rsidR="00990C3F">
        <w:t xml:space="preserve"> (Construction Traffic</w:t>
      </w:r>
      <w:r w:rsidR="00654A24">
        <w:t xml:space="preserve"> Management</w:t>
      </w:r>
      <w:r w:rsidR="00990C3F">
        <w:t xml:space="preserve"> Plan)</w:t>
      </w:r>
      <w:r w:rsidRPr="00C27CC8">
        <w:t xml:space="preserve"> </w:t>
      </w:r>
      <w:r w:rsidR="005C3373">
        <w:t xml:space="preserve">would </w:t>
      </w:r>
      <w:r w:rsidRPr="00C27CC8">
        <w:t xml:space="preserve">be developed to demonstrate how the interface between public and construction related traffic </w:t>
      </w:r>
      <w:r w:rsidR="005C3373">
        <w:t xml:space="preserve">would </w:t>
      </w:r>
      <w:r w:rsidRPr="00C27CC8">
        <w:t>be managed, where practicable, and to control vehicular movements associated with the construction of the Proposed Development. The CT</w:t>
      </w:r>
      <w:r w:rsidR="00654A24">
        <w:t>M</w:t>
      </w:r>
      <w:r w:rsidRPr="00C27CC8">
        <w:t xml:space="preserve">P </w:t>
      </w:r>
      <w:r w:rsidR="005C3373">
        <w:t>would</w:t>
      </w:r>
      <w:r w:rsidRPr="00C27CC8">
        <w:t xml:space="preserve"> be developed by the Contractor so that construction traffic </w:t>
      </w:r>
      <w:r w:rsidR="005C3373">
        <w:t xml:space="preserve">would </w:t>
      </w:r>
      <w:r w:rsidRPr="00C27CC8">
        <w:t xml:space="preserve">be managed and monitored safely and </w:t>
      </w:r>
      <w:r w:rsidRPr="000517CF">
        <w:t xml:space="preserve">efficiently throughout the duration of the </w:t>
      </w:r>
      <w:r w:rsidR="005C3373" w:rsidRPr="000517CF">
        <w:t>c</w:t>
      </w:r>
      <w:r w:rsidRPr="000517CF">
        <w:t xml:space="preserve">onstruction </w:t>
      </w:r>
      <w:r w:rsidR="005C3373" w:rsidRPr="000517CF">
        <w:t>p</w:t>
      </w:r>
      <w:r w:rsidRPr="000517CF">
        <w:t xml:space="preserve">hase. </w:t>
      </w:r>
    </w:p>
    <w:p w14:paraId="5D4295D7" w14:textId="6B764479" w:rsidR="001E0EFD" w:rsidRPr="001E0EFD" w:rsidRDefault="001E0EFD" w:rsidP="00EA08E0">
      <w:pPr>
        <w:pStyle w:val="ListBullet"/>
        <w:numPr>
          <w:ilvl w:val="0"/>
          <w:numId w:val="43"/>
        </w:numPr>
      </w:pPr>
      <w:r w:rsidRPr="000517CF">
        <w:t>Other specific mitigation measures are also included in the relevant chapters of this EIAR. All fuels and chemicals stored on-site both during construction of the Proposed</w:t>
      </w:r>
      <w:r w:rsidRPr="001E0EFD">
        <w:t xml:space="preserve"> Development </w:t>
      </w:r>
      <w:r w:rsidR="005C3373">
        <w:t xml:space="preserve">would </w:t>
      </w:r>
      <w:r w:rsidRPr="001E0EFD">
        <w:t>be subject to an assessment in accordance with the Safety, Health and Welfare at Work (Chemical Agents) Regulations and compliance with the requirements of REACH</w:t>
      </w:r>
      <w:r w:rsidR="005920B2">
        <w:t xml:space="preserve"> (Registration, Evaluation, Authorisation and Restriction of Chemicals).</w:t>
      </w:r>
    </w:p>
    <w:p w14:paraId="46749E48" w14:textId="6AD7DF58" w:rsidR="008E5D5D" w:rsidRDefault="00A63D50" w:rsidP="00EA08E0">
      <w:pPr>
        <w:pStyle w:val="ListBullet"/>
        <w:numPr>
          <w:ilvl w:val="0"/>
          <w:numId w:val="43"/>
        </w:numPr>
      </w:pPr>
      <w:r w:rsidRPr="00A63D50">
        <w:t xml:space="preserve">The Proposed Development </w:t>
      </w:r>
      <w:r w:rsidR="005C3373">
        <w:t xml:space="preserve">would </w:t>
      </w:r>
      <w:r w:rsidRPr="00A63D50">
        <w:t xml:space="preserve">comply with the requirements of all relevant health, safety and environmental legislation such that measures are taken to prevent major accidents. </w:t>
      </w:r>
    </w:p>
    <w:p w14:paraId="7BAC1480" w14:textId="2E402606" w:rsidR="000365FF" w:rsidRDefault="000365FF" w:rsidP="00EA08E0">
      <w:pPr>
        <w:pStyle w:val="ListBullet"/>
        <w:numPr>
          <w:ilvl w:val="0"/>
          <w:numId w:val="43"/>
        </w:numPr>
      </w:pPr>
      <w:r w:rsidRPr="000365FF">
        <w:t xml:space="preserve">Environmental Incident Response is addressed in the </w:t>
      </w:r>
      <w:r w:rsidR="005C3373" w:rsidRPr="008E5D5D">
        <w:t xml:space="preserve">outline </w:t>
      </w:r>
      <w:r w:rsidRPr="000365FF">
        <w:t xml:space="preserve">CEMP, demonstrating how in the unlikely event of an incident, response efforts </w:t>
      </w:r>
      <w:r w:rsidR="005C3373">
        <w:t>would</w:t>
      </w:r>
      <w:r w:rsidR="005C3373" w:rsidRPr="000365FF">
        <w:t xml:space="preserve"> </w:t>
      </w:r>
      <w:r w:rsidRPr="000365FF">
        <w:t xml:space="preserve">take place promptly, efficiently, and suitably for the </w:t>
      </w:r>
      <w:proofErr w:type="gramStart"/>
      <w:r w:rsidRPr="000365FF">
        <w:t>particular circumstances</w:t>
      </w:r>
      <w:proofErr w:type="gramEnd"/>
      <w:r w:rsidRPr="000365FF">
        <w:t xml:space="preserve">. These </w:t>
      </w:r>
      <w:r w:rsidR="005C3373">
        <w:t>would</w:t>
      </w:r>
      <w:r w:rsidRPr="000365FF">
        <w:t xml:space="preserve"> be developed by the Contractor and are likely to include significant spillage of chemical, fuel or other hazardous substances (e.g. concrete), non-compliance incident with any permit or licence, or other such risks that could lead to a major pollution incident, including flooding.</w:t>
      </w:r>
    </w:p>
    <w:p w14:paraId="4BACADFF" w14:textId="2EF13F35" w:rsidR="00321A11" w:rsidRDefault="001F2A00" w:rsidP="00321A11">
      <w:pPr>
        <w:pStyle w:val="Heading3"/>
      </w:pPr>
      <w:r>
        <w:lastRenderedPageBreak/>
        <w:t xml:space="preserve"> </w:t>
      </w:r>
      <w:bookmarkStart w:id="91" w:name="_Toc238735954"/>
      <w:r w:rsidRPr="001F2A00">
        <w:t>Maintenance of Plant and Equipment</w:t>
      </w:r>
      <w:bookmarkEnd w:id="91"/>
    </w:p>
    <w:p w14:paraId="4982094F" w14:textId="389C1AC5" w:rsidR="001F2A00" w:rsidRPr="00CE1E45" w:rsidRDefault="00525496" w:rsidP="00CE1E45">
      <w:pPr>
        <w:pStyle w:val="BodyText"/>
      </w:pPr>
      <w:r w:rsidRPr="00CE1E45">
        <w:t xml:space="preserve">Regular maintenance and inspection of all facilities </w:t>
      </w:r>
      <w:r w:rsidR="005C3373">
        <w:t>would</w:t>
      </w:r>
      <w:r w:rsidR="005C3373" w:rsidRPr="00CE1E45" w:rsidDel="005C3373">
        <w:t xml:space="preserve"> </w:t>
      </w:r>
      <w:r w:rsidRPr="00CE1E45">
        <w:t xml:space="preserve">be carried out during </w:t>
      </w:r>
      <w:r w:rsidR="00B62753">
        <w:t xml:space="preserve">the </w:t>
      </w:r>
      <w:r w:rsidRPr="00CE1E45">
        <w:t xml:space="preserve">construction phase to reduce the potential for equipment failures which could contribute to </w:t>
      </w:r>
      <w:r w:rsidR="005C3373">
        <w:t>MA&amp;Ds</w:t>
      </w:r>
      <w:r w:rsidRPr="00CE1E45">
        <w:t xml:space="preserve">. All such maintenance </w:t>
      </w:r>
      <w:r w:rsidR="008802E2" w:rsidRPr="008802E2">
        <w:t>would</w:t>
      </w:r>
      <w:r w:rsidR="008802E2" w:rsidRPr="008802E2" w:rsidDel="008802E2">
        <w:t xml:space="preserve"> </w:t>
      </w:r>
      <w:r w:rsidRPr="00CE1E45">
        <w:t xml:space="preserve">be in accordance with </w:t>
      </w:r>
      <w:r w:rsidR="008802E2">
        <w:t xml:space="preserve">the </w:t>
      </w:r>
      <w:r w:rsidRPr="00CE1E45">
        <w:t>manufacturer’s requirements as a minimum.</w:t>
      </w:r>
    </w:p>
    <w:p w14:paraId="39CE87FD" w14:textId="164C4BA5" w:rsidR="004745EA" w:rsidRDefault="004745EA" w:rsidP="00743568">
      <w:pPr>
        <w:pStyle w:val="Heading2"/>
      </w:pPr>
      <w:bookmarkStart w:id="92" w:name="_Toc238735955"/>
      <w:r>
        <w:t>Residual Impacts</w:t>
      </w:r>
      <w:bookmarkEnd w:id="92"/>
    </w:p>
    <w:p w14:paraId="6BE88E26" w14:textId="57BBD9DF" w:rsidR="001F0526" w:rsidRDefault="00047F34" w:rsidP="00CE1E45">
      <w:pPr>
        <w:pStyle w:val="BodyText"/>
      </w:pPr>
      <w:r w:rsidRPr="00CE1E45">
        <w:t xml:space="preserve">Residual effects are defined as those impacts that remain following the implementation of mitigation measures. As per the EPA draft guidelines, the effects from the residual impacts that remain after all assessment and mitigation are referred to as ‘Residual Effects’ (EPA, 2022). This assessment of MA&amp;Ds has identified the potential for major hazards to occur at sensitive receptors, such as a fire caused by damage or failure of containment systems. These events have significant consequences; however, the likelihood </w:t>
      </w:r>
      <w:r w:rsidR="008802E2">
        <w:t>would</w:t>
      </w:r>
      <w:r w:rsidR="008802E2" w:rsidRPr="00CE1E45" w:rsidDel="008802E2">
        <w:t xml:space="preserve"> </w:t>
      </w:r>
      <w:r w:rsidRPr="00CE1E45">
        <w:t>be extremely low due to measures such as the engineering design of assets and protective systems. These measures are considered sufficient such that all risks are at a manageable level, therefore no additional mitigation measures are proposed.</w:t>
      </w:r>
    </w:p>
    <w:p w14:paraId="562787D8" w14:textId="6EE08434" w:rsidR="00813DCE" w:rsidRDefault="00A42F7B">
      <w:pPr>
        <w:tabs>
          <w:tab w:val="clear" w:pos="284"/>
        </w:tabs>
        <w:spacing w:line="240" w:lineRule="auto"/>
        <w:jc w:val="left"/>
        <w:sectPr w:rsidR="00813DCE" w:rsidSect="006362C3">
          <w:headerReference w:type="default" r:id="rId30"/>
          <w:footerReference w:type="default" r:id="rId31"/>
          <w:pgSz w:w="11906" w:h="16838"/>
          <w:pgMar w:top="1134" w:right="1134" w:bottom="851" w:left="1418" w:header="567" w:footer="284" w:gutter="0"/>
          <w:pgNumType w:chapStyle="1"/>
          <w:cols w:space="284"/>
          <w:docGrid w:linePitch="360"/>
        </w:sectPr>
      </w:pPr>
      <w:r>
        <w:br w:type="page"/>
      </w:r>
    </w:p>
    <w:p w14:paraId="03DA1FE7" w14:textId="5F55C3D1" w:rsidR="00220C64" w:rsidRPr="008E7D8B" w:rsidRDefault="00220C64" w:rsidP="00220C64">
      <w:pPr>
        <w:pStyle w:val="Caption"/>
      </w:pPr>
      <w:bookmarkStart w:id="93" w:name="_Ref221287672"/>
      <w:bookmarkStart w:id="94" w:name="_Toc238735969"/>
      <w:r w:rsidRPr="008E7D8B">
        <w:lastRenderedPageBreak/>
        <w:t xml:space="preserve">Table </w:t>
      </w:r>
      <w:r>
        <w:fldChar w:fldCharType="begin"/>
      </w:r>
      <w:r>
        <w:instrText>STYLEREF 1 \s</w:instrText>
      </w:r>
      <w:r>
        <w:fldChar w:fldCharType="separate"/>
      </w:r>
      <w:r w:rsidR="00CB0F75">
        <w:rPr>
          <w:noProof/>
        </w:rPr>
        <w:t>15</w:t>
      </w:r>
      <w:r>
        <w:fldChar w:fldCharType="end"/>
      </w:r>
      <w:r w:rsidRPr="008E7D8B">
        <w:t>-</w:t>
      </w:r>
      <w:r>
        <w:fldChar w:fldCharType="begin"/>
      </w:r>
      <w:r>
        <w:instrText>SEQ Table \* ARABIC \s 1</w:instrText>
      </w:r>
      <w:r>
        <w:fldChar w:fldCharType="separate"/>
      </w:r>
      <w:r w:rsidR="00CB0F75">
        <w:rPr>
          <w:noProof/>
        </w:rPr>
        <w:t>8</w:t>
      </w:r>
      <w:r>
        <w:fldChar w:fldCharType="end"/>
      </w:r>
      <w:bookmarkEnd w:id="93"/>
      <w:r w:rsidRPr="008E7D8B">
        <w:t>:</w:t>
      </w:r>
      <w:r w:rsidR="00B61708">
        <w:t xml:space="preserve"> </w:t>
      </w:r>
      <w:r w:rsidR="0088717A">
        <w:t>Summary</w:t>
      </w:r>
      <w:r w:rsidRPr="008E7D8B">
        <w:t xml:space="preserve"> of C</w:t>
      </w:r>
      <w:r w:rsidR="0088717A">
        <w:t>onstruction Residual Effects</w:t>
      </w:r>
      <w:bookmarkEnd w:id="94"/>
    </w:p>
    <w:tbl>
      <w:tblPr>
        <w:tblStyle w:val="AECOMtable"/>
        <w:tblW w:w="0" w:type="auto"/>
        <w:tblLook w:val="04A0" w:firstRow="1" w:lastRow="0" w:firstColumn="1" w:lastColumn="0" w:noHBand="0" w:noVBand="1"/>
      </w:tblPr>
      <w:tblGrid>
        <w:gridCol w:w="2186"/>
        <w:gridCol w:w="3528"/>
        <w:gridCol w:w="1758"/>
        <w:gridCol w:w="5790"/>
        <w:gridCol w:w="1591"/>
      </w:tblGrid>
      <w:tr w:rsidR="00220C64" w:rsidRPr="008E7D8B" w14:paraId="1030A029" w14:textId="77777777" w:rsidTr="00E604D9">
        <w:trPr>
          <w:cnfStyle w:val="100000000000" w:firstRow="1" w:lastRow="0" w:firstColumn="0" w:lastColumn="0" w:oddVBand="0" w:evenVBand="0" w:oddHBand="0" w:evenHBand="0" w:firstRowFirstColumn="0" w:firstRowLastColumn="0" w:lastRowFirstColumn="0" w:lastRowLastColumn="0"/>
        </w:trPr>
        <w:tc>
          <w:tcPr>
            <w:tcW w:w="0" w:type="auto"/>
          </w:tcPr>
          <w:p w14:paraId="620684A8" w14:textId="36B91E86" w:rsidR="00220C64" w:rsidRPr="00B327F4" w:rsidRDefault="0088717A">
            <w:pPr>
              <w:pStyle w:val="Tabletext"/>
            </w:pPr>
            <w:r w:rsidRPr="00B327F4">
              <w:t>Receptor</w:t>
            </w:r>
            <w:r w:rsidR="00220C64" w:rsidRPr="00B327F4">
              <w:t xml:space="preserve"> </w:t>
            </w:r>
          </w:p>
        </w:tc>
        <w:tc>
          <w:tcPr>
            <w:tcW w:w="0" w:type="auto"/>
          </w:tcPr>
          <w:p w14:paraId="2F1C1386" w14:textId="26797287" w:rsidR="00220C64" w:rsidRPr="00B327F4" w:rsidRDefault="00220C64">
            <w:pPr>
              <w:pStyle w:val="Tabletext"/>
            </w:pPr>
            <w:r w:rsidRPr="00B327F4">
              <w:t xml:space="preserve">Description of </w:t>
            </w:r>
            <w:r w:rsidR="0088717A" w:rsidRPr="00B327F4">
              <w:t>Effect(s)</w:t>
            </w:r>
          </w:p>
        </w:tc>
        <w:tc>
          <w:tcPr>
            <w:tcW w:w="0" w:type="auto"/>
          </w:tcPr>
          <w:p w14:paraId="6325C422" w14:textId="24E43676" w:rsidR="00220C64" w:rsidRPr="00B327F4" w:rsidRDefault="0088717A" w:rsidP="00CB0F75">
            <w:pPr>
              <w:pStyle w:val="Tabletext"/>
              <w:jc w:val="left"/>
            </w:pPr>
            <w:r w:rsidRPr="00B327F4">
              <w:t>Significance of Effect(s) Prior to Mitigation</w:t>
            </w:r>
          </w:p>
        </w:tc>
        <w:tc>
          <w:tcPr>
            <w:tcW w:w="0" w:type="auto"/>
          </w:tcPr>
          <w:p w14:paraId="3AE23EFE" w14:textId="7888A5EF" w:rsidR="00220C64" w:rsidRPr="00B327F4" w:rsidRDefault="00C95FCF" w:rsidP="00C95FCF">
            <w:pPr>
              <w:pStyle w:val="Tabletext"/>
            </w:pPr>
            <w:r w:rsidRPr="00B327F4">
              <w:t>Proposed Mitigation</w:t>
            </w:r>
          </w:p>
        </w:tc>
        <w:tc>
          <w:tcPr>
            <w:tcW w:w="0" w:type="auto"/>
          </w:tcPr>
          <w:p w14:paraId="14976CAB" w14:textId="4615E4DA" w:rsidR="00220C64" w:rsidRPr="00B327F4" w:rsidRDefault="00C95FCF" w:rsidP="00CB0F75">
            <w:pPr>
              <w:pStyle w:val="Tabletext"/>
              <w:jc w:val="left"/>
            </w:pPr>
            <w:r w:rsidRPr="00B327F4">
              <w:t>Residual Significance of Effect (s)</w:t>
            </w:r>
          </w:p>
        </w:tc>
      </w:tr>
      <w:tr w:rsidR="00220C64" w:rsidRPr="008E7D8B" w14:paraId="2BB9831A" w14:textId="77777777" w:rsidTr="00E604D9">
        <w:trPr>
          <w:trHeight w:val="225"/>
        </w:trPr>
        <w:tc>
          <w:tcPr>
            <w:tcW w:w="0" w:type="auto"/>
          </w:tcPr>
          <w:p w14:paraId="347CF5AD" w14:textId="584CD0C6" w:rsidR="00220C64" w:rsidRPr="00B327F4" w:rsidRDefault="00CD4C08" w:rsidP="00CB0F75">
            <w:pPr>
              <w:pStyle w:val="Tabletext"/>
              <w:jc w:val="left"/>
              <w:rPr>
                <w:b/>
                <w:bCs/>
              </w:rPr>
            </w:pPr>
            <w:r w:rsidRPr="00B327F4">
              <w:rPr>
                <w:b/>
                <w:bCs/>
              </w:rPr>
              <w:t>Population &amp; Human Health</w:t>
            </w:r>
          </w:p>
        </w:tc>
        <w:tc>
          <w:tcPr>
            <w:tcW w:w="0" w:type="auto"/>
          </w:tcPr>
          <w:p w14:paraId="38E9AAD7" w14:textId="72B3A0CF" w:rsidR="00220C64" w:rsidRPr="00B327F4" w:rsidRDefault="004A59AF">
            <w:pPr>
              <w:pStyle w:val="Tabletext"/>
            </w:pPr>
            <w:r w:rsidRPr="00B327F4">
              <w:t>Potential exposure to construction-related hazards (diesel, gases, HV works, vehicle movements). No credible major accident scenario identified.</w:t>
            </w:r>
          </w:p>
        </w:tc>
        <w:tc>
          <w:tcPr>
            <w:tcW w:w="0" w:type="auto"/>
          </w:tcPr>
          <w:p w14:paraId="774BCE66" w14:textId="2FF17E7A" w:rsidR="00220C64" w:rsidRPr="00B327F4" w:rsidRDefault="00D825FD">
            <w:pPr>
              <w:pStyle w:val="Tabletext"/>
            </w:pPr>
            <w:r w:rsidRPr="00B327F4">
              <w:t>Not Significant</w:t>
            </w:r>
          </w:p>
        </w:tc>
        <w:tc>
          <w:tcPr>
            <w:tcW w:w="0" w:type="auto"/>
          </w:tcPr>
          <w:p w14:paraId="4444741D" w14:textId="602E4128" w:rsidR="00220C64" w:rsidRPr="00CB0F75" w:rsidRDefault="00C56B32" w:rsidP="00555A69">
            <w:pPr>
              <w:pStyle w:val="TableListBullet"/>
              <w:rPr>
                <w:sz w:val="18"/>
              </w:rPr>
            </w:pPr>
            <w:r w:rsidRPr="00CB0F75">
              <w:rPr>
                <w:sz w:val="18"/>
              </w:rPr>
              <w:t>Embedded controls within the CEMP, hazardous-materials handling, segregation and traffic management.</w:t>
            </w:r>
          </w:p>
        </w:tc>
        <w:tc>
          <w:tcPr>
            <w:tcW w:w="0" w:type="auto"/>
          </w:tcPr>
          <w:p w14:paraId="11274CC9" w14:textId="233F262A" w:rsidR="00220C64" w:rsidRPr="00B327F4" w:rsidRDefault="00734367" w:rsidP="006B4C23">
            <w:pPr>
              <w:pStyle w:val="Tabletext"/>
              <w:jc w:val="left"/>
            </w:pPr>
            <w:r w:rsidRPr="00B327F4">
              <w:t>Not Significant</w:t>
            </w:r>
          </w:p>
        </w:tc>
      </w:tr>
      <w:tr w:rsidR="00220C64" w:rsidRPr="008E7D8B" w14:paraId="1BF0A9FF" w14:textId="77777777" w:rsidTr="00E604D9">
        <w:trPr>
          <w:trHeight w:val="225"/>
        </w:trPr>
        <w:tc>
          <w:tcPr>
            <w:tcW w:w="0" w:type="auto"/>
          </w:tcPr>
          <w:p w14:paraId="06E74C3F" w14:textId="23A41EA1" w:rsidR="00220C64" w:rsidRPr="00B327F4" w:rsidRDefault="004B5053" w:rsidP="00CB0F75">
            <w:pPr>
              <w:pStyle w:val="Tabletext"/>
              <w:rPr>
                <w:b/>
                <w:bCs/>
              </w:rPr>
            </w:pPr>
            <w:r w:rsidRPr="00B327F4">
              <w:rPr>
                <w:b/>
                <w:bCs/>
              </w:rPr>
              <w:t>Environmental Receptors (Land, Soil, Water, Air, Climate)</w:t>
            </w:r>
          </w:p>
        </w:tc>
        <w:tc>
          <w:tcPr>
            <w:tcW w:w="0" w:type="auto"/>
          </w:tcPr>
          <w:p w14:paraId="7264D185" w14:textId="761838E2" w:rsidR="00220C64" w:rsidRPr="00B327F4" w:rsidRDefault="00701D4D">
            <w:pPr>
              <w:pStyle w:val="Tabletext"/>
            </w:pPr>
            <w:r w:rsidRPr="00B327F4">
              <w:t>Potential accidental releases of diesel, concrete, or gases during construction; no credible major accident pathway once controls are applied.</w:t>
            </w:r>
          </w:p>
        </w:tc>
        <w:tc>
          <w:tcPr>
            <w:tcW w:w="0" w:type="auto"/>
          </w:tcPr>
          <w:p w14:paraId="4B3986C5" w14:textId="247C45A8" w:rsidR="00220C64" w:rsidRPr="00B327F4" w:rsidRDefault="00EA0692">
            <w:pPr>
              <w:pStyle w:val="Tabletext"/>
            </w:pPr>
            <w:r w:rsidRPr="00B327F4">
              <w:t>Not Significant</w:t>
            </w:r>
          </w:p>
        </w:tc>
        <w:tc>
          <w:tcPr>
            <w:tcW w:w="0" w:type="auto"/>
          </w:tcPr>
          <w:p w14:paraId="4B103230" w14:textId="5415C27D" w:rsidR="00220C64" w:rsidRPr="00CB0F75" w:rsidRDefault="00EA0692" w:rsidP="00555A69">
            <w:pPr>
              <w:pStyle w:val="TableListBullet"/>
              <w:rPr>
                <w:sz w:val="18"/>
              </w:rPr>
            </w:pPr>
            <w:r w:rsidRPr="00CB0F75">
              <w:rPr>
                <w:sz w:val="18"/>
              </w:rPr>
              <w:t xml:space="preserve">Bunded fuel storage, spill prevention, concrete-washout controls, </w:t>
            </w:r>
            <w:r w:rsidR="0028381C" w:rsidRPr="00CB0F75">
              <w:rPr>
                <w:sz w:val="18"/>
              </w:rPr>
              <w:t>CAL</w:t>
            </w:r>
            <w:r w:rsidR="0084272F" w:rsidRPr="00CB0F75">
              <w:rPr>
                <w:sz w:val="18"/>
              </w:rPr>
              <w:t xml:space="preserve"> (Chemical Agents Legislation)</w:t>
            </w:r>
            <w:r w:rsidR="0028381C" w:rsidRPr="00CB0F75">
              <w:rPr>
                <w:sz w:val="18"/>
              </w:rPr>
              <w:t xml:space="preserve"> compliance</w:t>
            </w:r>
            <w:r w:rsidR="0084272F" w:rsidRPr="00CB0F75">
              <w:rPr>
                <w:sz w:val="18"/>
              </w:rPr>
              <w:t xml:space="preserve"> (ISB, 2001; 2015c; 2021)</w:t>
            </w:r>
            <w:r w:rsidR="0028381C" w:rsidRPr="00CB0F75">
              <w:rPr>
                <w:sz w:val="18"/>
              </w:rPr>
              <w:t xml:space="preserve">, </w:t>
            </w:r>
            <w:r w:rsidRPr="00CB0F75">
              <w:rPr>
                <w:sz w:val="18"/>
              </w:rPr>
              <w:t>COSHH</w:t>
            </w:r>
            <w:r w:rsidR="00BC7656" w:rsidRPr="00CB0F75">
              <w:rPr>
                <w:sz w:val="18"/>
              </w:rPr>
              <w:t xml:space="preserve"> (Control of Substances Hazardous to Health)</w:t>
            </w:r>
            <w:r w:rsidRPr="00CB0F75">
              <w:rPr>
                <w:sz w:val="18"/>
              </w:rPr>
              <w:t xml:space="preserve"> compliance, and emergency response measures (CEMP).</w:t>
            </w:r>
          </w:p>
        </w:tc>
        <w:tc>
          <w:tcPr>
            <w:tcW w:w="0" w:type="auto"/>
          </w:tcPr>
          <w:p w14:paraId="476229F6" w14:textId="0FB0480E" w:rsidR="00220C64" w:rsidRPr="00B327F4" w:rsidRDefault="00EA0692" w:rsidP="00EA0692">
            <w:pPr>
              <w:pStyle w:val="Tabletext"/>
              <w:jc w:val="left"/>
            </w:pPr>
            <w:r w:rsidRPr="00B327F4">
              <w:t>Not Significant</w:t>
            </w:r>
          </w:p>
        </w:tc>
      </w:tr>
      <w:tr w:rsidR="003700D4" w:rsidRPr="008E7D8B" w14:paraId="536B4C1C" w14:textId="77777777" w:rsidTr="00E604D9">
        <w:trPr>
          <w:trHeight w:val="225"/>
        </w:trPr>
        <w:tc>
          <w:tcPr>
            <w:tcW w:w="0" w:type="auto"/>
          </w:tcPr>
          <w:p w14:paraId="2C05EBE3" w14:textId="3DAEA919" w:rsidR="003700D4" w:rsidRPr="00B327F4" w:rsidRDefault="00847DD2" w:rsidP="00CB0F75">
            <w:pPr>
              <w:pStyle w:val="Tabletext"/>
              <w:jc w:val="left"/>
              <w:rPr>
                <w:b/>
                <w:bCs/>
              </w:rPr>
            </w:pPr>
            <w:r w:rsidRPr="00B327F4">
              <w:rPr>
                <w:b/>
                <w:bCs/>
              </w:rPr>
              <w:t>Property &amp; Material Assets</w:t>
            </w:r>
          </w:p>
        </w:tc>
        <w:tc>
          <w:tcPr>
            <w:tcW w:w="0" w:type="auto"/>
          </w:tcPr>
          <w:p w14:paraId="7A373DE6" w14:textId="05B3F7BB" w:rsidR="003700D4" w:rsidRPr="00B327F4" w:rsidRDefault="00FE4765">
            <w:pPr>
              <w:pStyle w:val="Tabletext"/>
            </w:pPr>
            <w:r w:rsidRPr="00B327F4">
              <w:t>Potential for localised construction incidents (vehicle collision, equipment failure); no major-accident-level impacts identified.</w:t>
            </w:r>
          </w:p>
        </w:tc>
        <w:tc>
          <w:tcPr>
            <w:tcW w:w="0" w:type="auto"/>
          </w:tcPr>
          <w:p w14:paraId="344EA9F9" w14:textId="464E65BF" w:rsidR="003700D4" w:rsidRPr="00B327F4" w:rsidRDefault="00DA20FF">
            <w:pPr>
              <w:pStyle w:val="Tabletext"/>
            </w:pPr>
            <w:r w:rsidRPr="00B327F4">
              <w:t>Not Significant</w:t>
            </w:r>
          </w:p>
        </w:tc>
        <w:tc>
          <w:tcPr>
            <w:tcW w:w="0" w:type="auto"/>
          </w:tcPr>
          <w:p w14:paraId="48DB9464" w14:textId="3D3F3A4B" w:rsidR="003700D4" w:rsidRPr="00CB0F75" w:rsidRDefault="00BE72C1" w:rsidP="00555A69">
            <w:pPr>
              <w:pStyle w:val="TableListBullet"/>
              <w:rPr>
                <w:sz w:val="18"/>
              </w:rPr>
            </w:pPr>
            <w:r w:rsidRPr="00CB0F75">
              <w:rPr>
                <w:sz w:val="18"/>
              </w:rPr>
              <w:t>CEMP procedures, CTMP, exclusion zones, specialist contractor method statements.</w:t>
            </w:r>
          </w:p>
        </w:tc>
        <w:tc>
          <w:tcPr>
            <w:tcW w:w="0" w:type="auto"/>
          </w:tcPr>
          <w:p w14:paraId="2AD89F7D" w14:textId="1731F665" w:rsidR="003700D4" w:rsidRPr="00B327F4" w:rsidRDefault="00DA20FF" w:rsidP="00EA0692">
            <w:pPr>
              <w:pStyle w:val="Tabletext"/>
              <w:jc w:val="left"/>
            </w:pPr>
            <w:r w:rsidRPr="00B327F4">
              <w:t>Not Significant</w:t>
            </w:r>
          </w:p>
        </w:tc>
      </w:tr>
      <w:tr w:rsidR="00220C64" w:rsidRPr="008E7D8B" w14:paraId="4131D369" w14:textId="77777777" w:rsidTr="00CB0F75">
        <w:trPr>
          <w:trHeight w:val="42"/>
        </w:trPr>
        <w:tc>
          <w:tcPr>
            <w:tcW w:w="0" w:type="auto"/>
          </w:tcPr>
          <w:p w14:paraId="1B5AD4BC" w14:textId="6CA90470" w:rsidR="00220C64" w:rsidRDefault="00220C64">
            <w:pPr>
              <w:pStyle w:val="Tabletext"/>
              <w:rPr>
                <w:b/>
                <w:bCs/>
              </w:rPr>
            </w:pPr>
          </w:p>
        </w:tc>
        <w:tc>
          <w:tcPr>
            <w:tcW w:w="0" w:type="auto"/>
          </w:tcPr>
          <w:p w14:paraId="069FFEC0" w14:textId="3D3CF247" w:rsidR="00220C64" w:rsidRPr="00840ECD" w:rsidRDefault="00220C64">
            <w:pPr>
              <w:pStyle w:val="Tabletext"/>
            </w:pPr>
          </w:p>
        </w:tc>
        <w:tc>
          <w:tcPr>
            <w:tcW w:w="0" w:type="auto"/>
          </w:tcPr>
          <w:p w14:paraId="764679F8" w14:textId="2AA2A912" w:rsidR="00220C64" w:rsidRDefault="00220C64">
            <w:pPr>
              <w:pStyle w:val="Tabletext"/>
            </w:pPr>
          </w:p>
        </w:tc>
        <w:tc>
          <w:tcPr>
            <w:tcW w:w="0" w:type="auto"/>
          </w:tcPr>
          <w:p w14:paraId="6D413B2A" w14:textId="596C1915" w:rsidR="00220C64" w:rsidRPr="00682E08" w:rsidRDefault="00220C64">
            <w:pPr>
              <w:pStyle w:val="Tabletext"/>
            </w:pPr>
          </w:p>
        </w:tc>
        <w:tc>
          <w:tcPr>
            <w:tcW w:w="0" w:type="auto"/>
          </w:tcPr>
          <w:p w14:paraId="7A87A780" w14:textId="6B77CAAF" w:rsidR="00220C64" w:rsidRDefault="00220C64">
            <w:pPr>
              <w:pStyle w:val="Tabletext"/>
              <w:jc w:val="center"/>
              <w:rPr>
                <w:b/>
                <w:bCs/>
              </w:rPr>
            </w:pPr>
          </w:p>
        </w:tc>
      </w:tr>
    </w:tbl>
    <w:p w14:paraId="6B186CEA" w14:textId="7846089B" w:rsidR="00C84031" w:rsidRPr="008E7D8B" w:rsidRDefault="00C84031" w:rsidP="00C84031">
      <w:pPr>
        <w:pStyle w:val="Caption"/>
      </w:pPr>
      <w:bookmarkStart w:id="95" w:name="_Toc238735970"/>
      <w:r w:rsidRPr="008E7D8B">
        <w:t xml:space="preserve">Table </w:t>
      </w:r>
      <w:r>
        <w:fldChar w:fldCharType="begin"/>
      </w:r>
      <w:r>
        <w:instrText>STYLEREF 1 \s</w:instrText>
      </w:r>
      <w:r>
        <w:fldChar w:fldCharType="separate"/>
      </w:r>
      <w:r w:rsidR="00FE21B5">
        <w:rPr>
          <w:noProof/>
        </w:rPr>
        <w:t>15</w:t>
      </w:r>
      <w:r>
        <w:fldChar w:fldCharType="end"/>
      </w:r>
      <w:r w:rsidRPr="008E7D8B">
        <w:t>-</w:t>
      </w:r>
      <w:r>
        <w:fldChar w:fldCharType="begin"/>
      </w:r>
      <w:r>
        <w:instrText>SEQ Table \* ARABIC \s 1</w:instrText>
      </w:r>
      <w:r>
        <w:fldChar w:fldCharType="separate"/>
      </w:r>
      <w:r w:rsidR="00CB0F75">
        <w:rPr>
          <w:noProof/>
        </w:rPr>
        <w:t>9</w:t>
      </w:r>
      <w:r>
        <w:fldChar w:fldCharType="end"/>
      </w:r>
      <w:r w:rsidRPr="008E7D8B">
        <w:t>:</w:t>
      </w:r>
      <w:r w:rsidR="00B61708">
        <w:t xml:space="preserve"> </w:t>
      </w:r>
      <w:r>
        <w:t>Summary</w:t>
      </w:r>
      <w:r w:rsidRPr="008E7D8B">
        <w:t xml:space="preserve"> of </w:t>
      </w:r>
      <w:r>
        <w:t>Operation Residual Effects</w:t>
      </w:r>
      <w:bookmarkEnd w:id="95"/>
    </w:p>
    <w:tbl>
      <w:tblPr>
        <w:tblStyle w:val="AECOMtable"/>
        <w:tblW w:w="0" w:type="auto"/>
        <w:tblLook w:val="04A0" w:firstRow="1" w:lastRow="0" w:firstColumn="1" w:lastColumn="0" w:noHBand="0" w:noVBand="1"/>
      </w:tblPr>
      <w:tblGrid>
        <w:gridCol w:w="2268"/>
        <w:gridCol w:w="3402"/>
        <w:gridCol w:w="1701"/>
        <w:gridCol w:w="5954"/>
        <w:gridCol w:w="1528"/>
      </w:tblGrid>
      <w:tr w:rsidR="00C84031" w:rsidRPr="008E7D8B" w14:paraId="1F8A6F40" w14:textId="77777777" w:rsidTr="00CB0F75">
        <w:trPr>
          <w:cnfStyle w:val="100000000000" w:firstRow="1" w:lastRow="0" w:firstColumn="0" w:lastColumn="0" w:oddVBand="0" w:evenVBand="0" w:oddHBand="0" w:evenHBand="0" w:firstRowFirstColumn="0" w:firstRowLastColumn="0" w:lastRowFirstColumn="0" w:lastRowLastColumn="0"/>
        </w:trPr>
        <w:tc>
          <w:tcPr>
            <w:tcW w:w="2268" w:type="dxa"/>
          </w:tcPr>
          <w:p w14:paraId="23175082" w14:textId="77777777" w:rsidR="00C84031" w:rsidRPr="00B327F4" w:rsidRDefault="00C84031">
            <w:pPr>
              <w:pStyle w:val="Tabletext"/>
            </w:pPr>
            <w:r w:rsidRPr="00B327F4">
              <w:t xml:space="preserve">Receptor </w:t>
            </w:r>
          </w:p>
        </w:tc>
        <w:tc>
          <w:tcPr>
            <w:tcW w:w="3402" w:type="dxa"/>
          </w:tcPr>
          <w:p w14:paraId="50785CAC" w14:textId="77777777" w:rsidR="00C84031" w:rsidRPr="00B327F4" w:rsidRDefault="00C84031">
            <w:pPr>
              <w:pStyle w:val="Tabletext"/>
            </w:pPr>
            <w:r w:rsidRPr="00B327F4">
              <w:t>Description of Effect(s)</w:t>
            </w:r>
          </w:p>
        </w:tc>
        <w:tc>
          <w:tcPr>
            <w:tcW w:w="1701" w:type="dxa"/>
          </w:tcPr>
          <w:p w14:paraId="34881D55" w14:textId="77777777" w:rsidR="00C84031" w:rsidRPr="00B327F4" w:rsidRDefault="00C84031" w:rsidP="00CB0F75">
            <w:pPr>
              <w:pStyle w:val="Tabletext"/>
              <w:jc w:val="left"/>
            </w:pPr>
            <w:r w:rsidRPr="00B327F4">
              <w:t>Significance of Effect(s) Prior to Mitigation</w:t>
            </w:r>
          </w:p>
        </w:tc>
        <w:tc>
          <w:tcPr>
            <w:tcW w:w="5954" w:type="dxa"/>
          </w:tcPr>
          <w:p w14:paraId="64DA2077" w14:textId="77777777" w:rsidR="00C84031" w:rsidRPr="00B327F4" w:rsidRDefault="00C84031">
            <w:pPr>
              <w:pStyle w:val="Tabletext"/>
            </w:pPr>
            <w:r w:rsidRPr="00B327F4">
              <w:t>Proposed Mitigation</w:t>
            </w:r>
          </w:p>
        </w:tc>
        <w:tc>
          <w:tcPr>
            <w:tcW w:w="1528" w:type="dxa"/>
          </w:tcPr>
          <w:p w14:paraId="1F1C663A" w14:textId="77777777" w:rsidR="00C84031" w:rsidRPr="00B327F4" w:rsidRDefault="00C84031" w:rsidP="00CB0F75">
            <w:pPr>
              <w:pStyle w:val="Tabletext"/>
              <w:jc w:val="left"/>
            </w:pPr>
            <w:r w:rsidRPr="00B327F4">
              <w:t>Residual Significance of Effect (s)</w:t>
            </w:r>
          </w:p>
        </w:tc>
      </w:tr>
      <w:tr w:rsidR="00C84031" w:rsidRPr="008E7D8B" w14:paraId="2894F120" w14:textId="77777777" w:rsidTr="00CB0F75">
        <w:trPr>
          <w:trHeight w:val="225"/>
        </w:trPr>
        <w:tc>
          <w:tcPr>
            <w:tcW w:w="2268" w:type="dxa"/>
          </w:tcPr>
          <w:p w14:paraId="1CDABC39" w14:textId="77777777" w:rsidR="00C84031" w:rsidRPr="006D2B7E" w:rsidRDefault="00C84031" w:rsidP="00CB0F75">
            <w:pPr>
              <w:pStyle w:val="Tabletext"/>
              <w:jc w:val="left"/>
              <w:rPr>
                <w:b/>
                <w:bCs/>
              </w:rPr>
            </w:pPr>
            <w:r w:rsidRPr="006D2B7E">
              <w:rPr>
                <w:b/>
                <w:bCs/>
              </w:rPr>
              <w:t>Population &amp; Human Health</w:t>
            </w:r>
          </w:p>
        </w:tc>
        <w:tc>
          <w:tcPr>
            <w:tcW w:w="3402" w:type="dxa"/>
          </w:tcPr>
          <w:p w14:paraId="0E73A59C" w14:textId="53927D2D" w:rsidR="00C84031" w:rsidRPr="005442C3" w:rsidRDefault="005B72CB">
            <w:pPr>
              <w:pStyle w:val="Tabletext"/>
            </w:pPr>
            <w:r w:rsidRPr="005442C3">
              <w:t>Primarily residential properties and GAA pitches</w:t>
            </w:r>
            <w:r w:rsidR="00C74471" w:rsidRPr="005442C3">
              <w:t xml:space="preserve">, and associated parking and infrastructure. </w:t>
            </w:r>
            <w:proofErr w:type="gramStart"/>
            <w:r w:rsidR="00C74471" w:rsidRPr="005442C3">
              <w:t>Therefore</w:t>
            </w:r>
            <w:proofErr w:type="gramEnd"/>
            <w:r w:rsidR="00C74471" w:rsidRPr="005442C3">
              <w:t xml:space="preserve"> n</w:t>
            </w:r>
            <w:r w:rsidR="009E1478" w:rsidRPr="005442C3">
              <w:t xml:space="preserve">o hazardous substances </w:t>
            </w:r>
            <w:r w:rsidR="008D58D3" w:rsidRPr="005442C3">
              <w:t xml:space="preserve">will be </w:t>
            </w:r>
            <w:r w:rsidR="009E1478" w:rsidRPr="005442C3">
              <w:t xml:space="preserve"> stored</w:t>
            </w:r>
            <w:r w:rsidR="00087D13" w:rsidRPr="005442C3">
              <w:t xml:space="preserve"> or used</w:t>
            </w:r>
            <w:r w:rsidR="008D58D3" w:rsidRPr="005442C3">
              <w:t xml:space="preserve"> in significant quantities</w:t>
            </w:r>
            <w:r w:rsidR="009E1478" w:rsidRPr="005442C3">
              <w:t>.</w:t>
            </w:r>
            <w:r w:rsidR="00B6390B" w:rsidRPr="005442C3">
              <w:t xml:space="preserve"> Individual residents may use and store lo</w:t>
            </w:r>
            <w:r w:rsidR="000102F4" w:rsidRPr="005442C3">
              <w:t>w</w:t>
            </w:r>
            <w:r w:rsidR="00B6390B" w:rsidRPr="005442C3">
              <w:t xml:space="preserve"> volumes of cleaning and </w:t>
            </w:r>
            <w:r w:rsidR="00764BC9" w:rsidRPr="005442C3">
              <w:t>other</w:t>
            </w:r>
            <w:r w:rsidR="00B6390B" w:rsidRPr="005442C3">
              <w:t xml:space="preserve"> household agents</w:t>
            </w:r>
            <w:r w:rsidR="00764BC9" w:rsidRPr="005442C3">
              <w:t>.</w:t>
            </w:r>
          </w:p>
        </w:tc>
        <w:tc>
          <w:tcPr>
            <w:tcW w:w="1701" w:type="dxa"/>
          </w:tcPr>
          <w:p w14:paraId="05A50F6B" w14:textId="77777777" w:rsidR="00C84031" w:rsidRPr="006D2B7E" w:rsidRDefault="00C84031">
            <w:pPr>
              <w:pStyle w:val="Tabletext"/>
            </w:pPr>
            <w:r w:rsidRPr="006D2B7E">
              <w:t>Not Significant</w:t>
            </w:r>
          </w:p>
        </w:tc>
        <w:tc>
          <w:tcPr>
            <w:tcW w:w="5954" w:type="dxa"/>
          </w:tcPr>
          <w:p w14:paraId="284D22C3" w14:textId="5FEA2D4D" w:rsidR="00C84031" w:rsidRPr="00CB0F75" w:rsidRDefault="00A23E79" w:rsidP="002E1C31">
            <w:pPr>
              <w:pStyle w:val="TableListBullet"/>
              <w:rPr>
                <w:sz w:val="18"/>
              </w:rPr>
            </w:pPr>
            <w:r>
              <w:rPr>
                <w:sz w:val="18"/>
              </w:rPr>
              <w:t>Pro</w:t>
            </w:r>
            <w:r w:rsidR="001A183E">
              <w:rPr>
                <w:sz w:val="18"/>
              </w:rPr>
              <w:t xml:space="preserve">posed Development </w:t>
            </w:r>
            <w:r>
              <w:rPr>
                <w:sz w:val="18"/>
              </w:rPr>
              <w:t xml:space="preserve">will be constructed to relevant </w:t>
            </w:r>
            <w:r w:rsidR="002E6974">
              <w:rPr>
                <w:sz w:val="18"/>
              </w:rPr>
              <w:t>building standards</w:t>
            </w:r>
            <w:r w:rsidR="001A183E">
              <w:rPr>
                <w:sz w:val="18"/>
              </w:rPr>
              <w:t xml:space="preserve"> and codes.</w:t>
            </w:r>
          </w:p>
        </w:tc>
        <w:tc>
          <w:tcPr>
            <w:tcW w:w="1528" w:type="dxa"/>
          </w:tcPr>
          <w:p w14:paraId="323B50BB" w14:textId="77777777" w:rsidR="00C84031" w:rsidRPr="00B327F4" w:rsidRDefault="00C84031">
            <w:pPr>
              <w:pStyle w:val="Tabletext"/>
              <w:jc w:val="left"/>
            </w:pPr>
            <w:r w:rsidRPr="00B327F4">
              <w:t>Not Significant</w:t>
            </w:r>
          </w:p>
        </w:tc>
      </w:tr>
      <w:tr w:rsidR="00C84031" w:rsidRPr="008E7D8B" w14:paraId="29CF2591" w14:textId="77777777" w:rsidTr="00CB0F75">
        <w:trPr>
          <w:trHeight w:val="225"/>
        </w:trPr>
        <w:tc>
          <w:tcPr>
            <w:tcW w:w="2268" w:type="dxa"/>
          </w:tcPr>
          <w:p w14:paraId="74F30E45" w14:textId="77777777" w:rsidR="00C84031" w:rsidRPr="006D2B7E" w:rsidRDefault="00C84031" w:rsidP="00CB0F75">
            <w:pPr>
              <w:pStyle w:val="Tabletext"/>
              <w:jc w:val="left"/>
              <w:rPr>
                <w:b/>
                <w:bCs/>
              </w:rPr>
            </w:pPr>
            <w:r w:rsidRPr="006D2B7E">
              <w:rPr>
                <w:b/>
                <w:bCs/>
              </w:rPr>
              <w:t>Environmental Receptors (Land, Soil, Water, Air, Climate)</w:t>
            </w:r>
          </w:p>
        </w:tc>
        <w:tc>
          <w:tcPr>
            <w:tcW w:w="3402" w:type="dxa"/>
          </w:tcPr>
          <w:p w14:paraId="2B776F5E" w14:textId="35D8BAB7" w:rsidR="00C84031" w:rsidRPr="005442C3" w:rsidRDefault="00392A26">
            <w:pPr>
              <w:pStyle w:val="Tabletext"/>
            </w:pPr>
            <w:r w:rsidRPr="005442C3">
              <w:t xml:space="preserve">Primarily residential properties and GAA pitches, and associated parking and infrastructure. </w:t>
            </w:r>
            <w:proofErr w:type="gramStart"/>
            <w:r w:rsidRPr="005442C3">
              <w:t>Ther</w:t>
            </w:r>
            <w:r w:rsidR="00AD4A80" w:rsidRPr="005442C3">
              <w:t>efore</w:t>
            </w:r>
            <w:proofErr w:type="gramEnd"/>
            <w:r w:rsidR="00AD4A80" w:rsidRPr="005442C3">
              <w:t xml:space="preserve"> n</w:t>
            </w:r>
            <w:r w:rsidR="0000740C" w:rsidRPr="005442C3">
              <w:t xml:space="preserve">o on-site </w:t>
            </w:r>
            <w:r w:rsidR="00AD4A80" w:rsidRPr="005442C3">
              <w:t xml:space="preserve">storage of </w:t>
            </w:r>
            <w:r w:rsidR="0000740C" w:rsidRPr="005442C3">
              <w:t>dangerous substances; no credible operational MA&amp;D scenario. External domino event extremely unlikely.</w:t>
            </w:r>
          </w:p>
        </w:tc>
        <w:tc>
          <w:tcPr>
            <w:tcW w:w="1701" w:type="dxa"/>
          </w:tcPr>
          <w:p w14:paraId="1FF83E32" w14:textId="77777777" w:rsidR="00C84031" w:rsidRPr="006D2B7E" w:rsidRDefault="00C84031">
            <w:pPr>
              <w:pStyle w:val="Tabletext"/>
            </w:pPr>
            <w:r w:rsidRPr="006D2B7E">
              <w:t>Not Significant</w:t>
            </w:r>
          </w:p>
        </w:tc>
        <w:tc>
          <w:tcPr>
            <w:tcW w:w="5954" w:type="dxa"/>
          </w:tcPr>
          <w:p w14:paraId="529D5598" w14:textId="567FCCDB" w:rsidR="00C84031" w:rsidRDefault="00392A26" w:rsidP="00555A69">
            <w:pPr>
              <w:pStyle w:val="TableListBullet"/>
              <w:rPr>
                <w:sz w:val="18"/>
              </w:rPr>
            </w:pPr>
            <w:r>
              <w:rPr>
                <w:sz w:val="18"/>
              </w:rPr>
              <w:t>Proposed Development will be constructed to relevant building standards and codes</w:t>
            </w:r>
            <w:r w:rsidR="00792520" w:rsidRPr="00CB0F75">
              <w:rPr>
                <w:sz w:val="18"/>
              </w:rPr>
              <w:t>.</w:t>
            </w:r>
          </w:p>
          <w:p w14:paraId="1176BDDD" w14:textId="765D18B4" w:rsidR="00C84031" w:rsidRPr="00CB0F75" w:rsidRDefault="00D23D82" w:rsidP="00555A69">
            <w:pPr>
              <w:pStyle w:val="TableListBullet"/>
              <w:rPr>
                <w:sz w:val="18"/>
              </w:rPr>
            </w:pPr>
            <w:r>
              <w:rPr>
                <w:sz w:val="18"/>
              </w:rPr>
              <w:t>External COMA</w:t>
            </w:r>
            <w:r w:rsidR="00355CD3">
              <w:rPr>
                <w:sz w:val="18"/>
              </w:rPr>
              <w:t xml:space="preserve">H sites will be required to maintain appropriate </w:t>
            </w:r>
            <w:r w:rsidR="00A77C94">
              <w:rPr>
                <w:sz w:val="18"/>
              </w:rPr>
              <w:t>safety management systems, controls and mitigations</w:t>
            </w:r>
            <w:r w:rsidR="00754DAE">
              <w:rPr>
                <w:sz w:val="18"/>
              </w:rPr>
              <w:t xml:space="preserve"> and emergency planning.</w:t>
            </w:r>
          </w:p>
        </w:tc>
        <w:tc>
          <w:tcPr>
            <w:tcW w:w="1528" w:type="dxa"/>
          </w:tcPr>
          <w:p w14:paraId="135E7585" w14:textId="77777777" w:rsidR="00C84031" w:rsidRPr="00B327F4" w:rsidRDefault="00C84031">
            <w:pPr>
              <w:pStyle w:val="Tabletext"/>
              <w:jc w:val="left"/>
            </w:pPr>
            <w:r w:rsidRPr="00B327F4">
              <w:t>Not Significant</w:t>
            </w:r>
          </w:p>
        </w:tc>
      </w:tr>
      <w:tr w:rsidR="00C84031" w:rsidRPr="008E7D8B" w14:paraId="1D0F8DAE" w14:textId="77777777" w:rsidTr="00CB0F75">
        <w:trPr>
          <w:trHeight w:val="225"/>
        </w:trPr>
        <w:tc>
          <w:tcPr>
            <w:tcW w:w="2268" w:type="dxa"/>
          </w:tcPr>
          <w:p w14:paraId="0AE0F2A3" w14:textId="77777777" w:rsidR="00C84031" w:rsidRPr="00B327F4" w:rsidRDefault="00C84031" w:rsidP="00CB0F75">
            <w:pPr>
              <w:pStyle w:val="Tabletext"/>
              <w:jc w:val="left"/>
              <w:rPr>
                <w:b/>
                <w:bCs/>
              </w:rPr>
            </w:pPr>
            <w:r w:rsidRPr="00B327F4">
              <w:rPr>
                <w:b/>
                <w:bCs/>
              </w:rPr>
              <w:t>Property &amp; Material Assets</w:t>
            </w:r>
          </w:p>
        </w:tc>
        <w:tc>
          <w:tcPr>
            <w:tcW w:w="3402" w:type="dxa"/>
          </w:tcPr>
          <w:p w14:paraId="72C90B36" w14:textId="7FE2C73F" w:rsidR="00C84031" w:rsidRPr="00B327F4" w:rsidRDefault="00EE58AD">
            <w:pPr>
              <w:pStyle w:val="Tabletext"/>
            </w:pPr>
            <w:r w:rsidRPr="00B327F4">
              <w:t>Operational infrastructure exposed only to typical a</w:t>
            </w:r>
            <w:r w:rsidR="00E63FF4">
              <w:t>erodrome</w:t>
            </w:r>
            <w:r w:rsidRPr="00B327F4">
              <w:t xml:space="preserve">-adjacent risks; no </w:t>
            </w:r>
            <w:r w:rsidRPr="00B327F4">
              <w:lastRenderedPageBreak/>
              <w:t>credible major accident scenario internally.</w:t>
            </w:r>
          </w:p>
        </w:tc>
        <w:tc>
          <w:tcPr>
            <w:tcW w:w="1701" w:type="dxa"/>
          </w:tcPr>
          <w:p w14:paraId="25C01912" w14:textId="77777777" w:rsidR="00C84031" w:rsidRPr="00B327F4" w:rsidRDefault="00C84031">
            <w:pPr>
              <w:pStyle w:val="Tabletext"/>
            </w:pPr>
            <w:r w:rsidRPr="00B327F4">
              <w:lastRenderedPageBreak/>
              <w:t>Not Significant</w:t>
            </w:r>
          </w:p>
        </w:tc>
        <w:tc>
          <w:tcPr>
            <w:tcW w:w="5954" w:type="dxa"/>
          </w:tcPr>
          <w:p w14:paraId="558E8428" w14:textId="12A6962E" w:rsidR="00C84031" w:rsidRPr="00CB0F75" w:rsidRDefault="00D016FE" w:rsidP="00555A69">
            <w:pPr>
              <w:pStyle w:val="TableListBullet"/>
              <w:rPr>
                <w:sz w:val="18"/>
              </w:rPr>
            </w:pPr>
            <w:r>
              <w:rPr>
                <w:sz w:val="18"/>
              </w:rPr>
              <w:t>Proposed Development will be constructed to relevant building standards and codes.</w:t>
            </w:r>
          </w:p>
        </w:tc>
        <w:tc>
          <w:tcPr>
            <w:tcW w:w="1528" w:type="dxa"/>
          </w:tcPr>
          <w:p w14:paraId="5770CA59" w14:textId="77777777" w:rsidR="00C84031" w:rsidRPr="00B327F4" w:rsidRDefault="00C84031">
            <w:pPr>
              <w:pStyle w:val="Tabletext"/>
              <w:jc w:val="left"/>
            </w:pPr>
            <w:r w:rsidRPr="00B327F4">
              <w:t>Not Significant</w:t>
            </w:r>
          </w:p>
        </w:tc>
      </w:tr>
      <w:tr w:rsidR="00EE58AD" w:rsidRPr="008E7D8B" w14:paraId="35DC2FD2" w14:textId="77777777" w:rsidTr="00CB0F75">
        <w:trPr>
          <w:trHeight w:val="225"/>
        </w:trPr>
        <w:tc>
          <w:tcPr>
            <w:tcW w:w="2268" w:type="dxa"/>
          </w:tcPr>
          <w:p w14:paraId="2EB1E6F9" w14:textId="33565DF3" w:rsidR="00EE58AD" w:rsidRPr="00B327F4" w:rsidRDefault="00E878A3" w:rsidP="00CB0F75">
            <w:pPr>
              <w:pStyle w:val="Tabletext"/>
              <w:jc w:val="left"/>
              <w:rPr>
                <w:b/>
                <w:bCs/>
              </w:rPr>
            </w:pPr>
            <w:r w:rsidRPr="00B327F4">
              <w:rPr>
                <w:b/>
                <w:bCs/>
              </w:rPr>
              <w:t>Biodiversity</w:t>
            </w:r>
          </w:p>
        </w:tc>
        <w:tc>
          <w:tcPr>
            <w:tcW w:w="3402" w:type="dxa"/>
          </w:tcPr>
          <w:p w14:paraId="79F6AE2D" w14:textId="4B12BB12" w:rsidR="00EE58AD" w:rsidRPr="00B327F4" w:rsidRDefault="006A453B">
            <w:pPr>
              <w:pStyle w:val="Tabletext"/>
            </w:pPr>
            <w:r w:rsidRPr="00B327F4">
              <w:t>No operational MA&amp;D pathways; no hazardous materials on-site; external domino event unlikely to reach ecological receptors.</w:t>
            </w:r>
          </w:p>
        </w:tc>
        <w:tc>
          <w:tcPr>
            <w:tcW w:w="1701" w:type="dxa"/>
          </w:tcPr>
          <w:p w14:paraId="0784FEBE" w14:textId="078FC7D1" w:rsidR="00EE58AD" w:rsidRPr="00B327F4" w:rsidRDefault="006A453B">
            <w:pPr>
              <w:pStyle w:val="Tabletext"/>
            </w:pPr>
            <w:r w:rsidRPr="00B327F4">
              <w:t>Not Significant</w:t>
            </w:r>
          </w:p>
        </w:tc>
        <w:tc>
          <w:tcPr>
            <w:tcW w:w="5954" w:type="dxa"/>
          </w:tcPr>
          <w:p w14:paraId="1ABADD7D" w14:textId="1BDC3030" w:rsidR="00EE58AD" w:rsidRDefault="00D016FE" w:rsidP="00A3699B">
            <w:pPr>
              <w:pStyle w:val="TableListBullet"/>
              <w:rPr>
                <w:sz w:val="18"/>
              </w:rPr>
            </w:pPr>
            <w:r>
              <w:rPr>
                <w:sz w:val="18"/>
              </w:rPr>
              <w:t>Proposed Development will be constructed to relevant building standards and codes.</w:t>
            </w:r>
          </w:p>
          <w:p w14:paraId="142D8562" w14:textId="268BE4A3" w:rsidR="00EE58AD" w:rsidRPr="00B857D5" w:rsidRDefault="0020041C" w:rsidP="00A3699B">
            <w:pPr>
              <w:pStyle w:val="TableListBullet"/>
              <w:rPr>
                <w:sz w:val="18"/>
              </w:rPr>
            </w:pPr>
            <w:r>
              <w:rPr>
                <w:sz w:val="18"/>
              </w:rPr>
              <w:t xml:space="preserve">Appropriate consideration of landscape and biodiversity </w:t>
            </w:r>
            <w:r w:rsidR="00B26E97">
              <w:rPr>
                <w:sz w:val="18"/>
              </w:rPr>
              <w:t>requirements considered during the design of the Proposed Development.</w:t>
            </w:r>
          </w:p>
        </w:tc>
        <w:tc>
          <w:tcPr>
            <w:tcW w:w="1528" w:type="dxa"/>
          </w:tcPr>
          <w:p w14:paraId="3162C995" w14:textId="0C6FA257" w:rsidR="00EE58AD" w:rsidRPr="00B327F4" w:rsidRDefault="002A6FD0">
            <w:pPr>
              <w:pStyle w:val="Tabletext"/>
              <w:jc w:val="left"/>
            </w:pPr>
            <w:r w:rsidRPr="00B327F4">
              <w:t>Not Significant</w:t>
            </w:r>
          </w:p>
        </w:tc>
      </w:tr>
      <w:tr w:rsidR="00C84031" w:rsidRPr="008E7D8B" w14:paraId="5467557A" w14:textId="77777777" w:rsidTr="00CB0F75">
        <w:trPr>
          <w:trHeight w:val="225"/>
        </w:trPr>
        <w:tc>
          <w:tcPr>
            <w:tcW w:w="2268" w:type="dxa"/>
          </w:tcPr>
          <w:p w14:paraId="78BAFB6A" w14:textId="77777777" w:rsidR="00C84031" w:rsidRDefault="00C84031">
            <w:pPr>
              <w:pStyle w:val="Tabletext"/>
              <w:rPr>
                <w:b/>
                <w:bCs/>
              </w:rPr>
            </w:pPr>
          </w:p>
        </w:tc>
        <w:tc>
          <w:tcPr>
            <w:tcW w:w="3402" w:type="dxa"/>
          </w:tcPr>
          <w:p w14:paraId="384BFBFB" w14:textId="77777777" w:rsidR="00C84031" w:rsidRPr="00840ECD" w:rsidRDefault="00C84031">
            <w:pPr>
              <w:pStyle w:val="Tabletext"/>
            </w:pPr>
          </w:p>
        </w:tc>
        <w:tc>
          <w:tcPr>
            <w:tcW w:w="1701" w:type="dxa"/>
          </w:tcPr>
          <w:p w14:paraId="560EAA5E" w14:textId="77777777" w:rsidR="00C84031" w:rsidRDefault="00C84031">
            <w:pPr>
              <w:pStyle w:val="Tabletext"/>
            </w:pPr>
          </w:p>
        </w:tc>
        <w:tc>
          <w:tcPr>
            <w:tcW w:w="5954" w:type="dxa"/>
          </w:tcPr>
          <w:p w14:paraId="0BAABE5B" w14:textId="77777777" w:rsidR="00C84031" w:rsidRPr="00682E08" w:rsidRDefault="00C84031">
            <w:pPr>
              <w:pStyle w:val="Tabletext"/>
            </w:pPr>
          </w:p>
        </w:tc>
        <w:tc>
          <w:tcPr>
            <w:tcW w:w="1528" w:type="dxa"/>
          </w:tcPr>
          <w:p w14:paraId="3055533F" w14:textId="77777777" w:rsidR="00C84031" w:rsidRDefault="00C84031">
            <w:pPr>
              <w:pStyle w:val="Tabletext"/>
              <w:jc w:val="center"/>
              <w:rPr>
                <w:b/>
                <w:bCs/>
              </w:rPr>
            </w:pPr>
          </w:p>
        </w:tc>
      </w:tr>
    </w:tbl>
    <w:p w14:paraId="14547A95" w14:textId="77777777" w:rsidR="00A42F7B" w:rsidRDefault="00A42F7B">
      <w:pPr>
        <w:tabs>
          <w:tab w:val="clear" w:pos="284"/>
        </w:tabs>
        <w:spacing w:line="240" w:lineRule="auto"/>
        <w:jc w:val="left"/>
        <w:sectPr w:rsidR="00A42F7B" w:rsidSect="006362C3">
          <w:headerReference w:type="default" r:id="rId32"/>
          <w:footerReference w:type="default" r:id="rId33"/>
          <w:pgSz w:w="16838" w:h="11906" w:orient="landscape"/>
          <w:pgMar w:top="1418" w:right="1134" w:bottom="1134" w:left="851" w:header="567" w:footer="284" w:gutter="0"/>
          <w:pgNumType w:chapStyle="1"/>
          <w:cols w:space="284"/>
          <w:docGrid w:linePitch="360"/>
        </w:sectPr>
      </w:pPr>
      <w:r>
        <w:br w:type="page"/>
      </w:r>
    </w:p>
    <w:p w14:paraId="19928A11" w14:textId="3F03A287" w:rsidR="004745EA" w:rsidRDefault="004745EA" w:rsidP="00743568">
      <w:pPr>
        <w:pStyle w:val="Heading2"/>
      </w:pPr>
      <w:bookmarkStart w:id="96" w:name="_Toc238735956"/>
      <w:r>
        <w:lastRenderedPageBreak/>
        <w:t>Cumulative Impacts</w:t>
      </w:r>
      <w:bookmarkEnd w:id="96"/>
    </w:p>
    <w:p w14:paraId="14A2732C" w14:textId="7F3E6A8A" w:rsidR="004745EA" w:rsidRPr="00CE1E45" w:rsidRDefault="00865A4C" w:rsidP="00CE1E45">
      <w:pPr>
        <w:pStyle w:val="BodyText"/>
      </w:pPr>
      <w:r w:rsidRPr="00CE1E45">
        <w:t>Cumulative effects relate to the potential effects of the Proposed Development in combination of the potential effects of other developments (referred to as ‘cumulative developments’) within the surrounding area.</w:t>
      </w:r>
    </w:p>
    <w:p w14:paraId="2DE1BB7D" w14:textId="71B6D7D0" w:rsidR="00865A4C" w:rsidRDefault="00D62C00" w:rsidP="00D62C00">
      <w:pPr>
        <w:pStyle w:val="Heading3"/>
      </w:pPr>
      <w:bookmarkStart w:id="97" w:name="_Toc238735957"/>
      <w:r>
        <w:t xml:space="preserve">Construction </w:t>
      </w:r>
      <w:r w:rsidR="000D3B96">
        <w:t>Phase C</w:t>
      </w:r>
      <w:r>
        <w:t>umulative</w:t>
      </w:r>
      <w:r w:rsidR="000D3B96">
        <w:t xml:space="preserve"> Effects</w:t>
      </w:r>
      <w:bookmarkEnd w:id="97"/>
    </w:p>
    <w:p w14:paraId="61DD9395" w14:textId="45F3A8ED" w:rsidR="00D62C00" w:rsidRPr="00CE1E45" w:rsidRDefault="00D62C00" w:rsidP="00CE1E45">
      <w:pPr>
        <w:pStyle w:val="BodyText"/>
      </w:pPr>
      <w:r w:rsidRPr="00CE1E45">
        <w:t>In combination with other infrastructure developments (including nearby COMAH sites), the potential for domino MA&amp;D</w:t>
      </w:r>
      <w:r w:rsidRPr="00CE1E45">
        <w:rPr>
          <w:rFonts w:ascii="Cambria Math" w:hAnsi="Cambria Math" w:cs="Cambria Math"/>
        </w:rPr>
        <w:t>‐</w:t>
      </w:r>
      <w:r w:rsidRPr="00CE1E45">
        <w:t>type events has been considered</w:t>
      </w:r>
      <w:r w:rsidR="00AC7C20">
        <w:t>. G</w:t>
      </w:r>
      <w:r w:rsidRPr="00CE1E45">
        <w:t xml:space="preserve">iven the embedded safety systems of those sites and the lack of hazardous substance storage </w:t>
      </w:r>
      <w:r w:rsidR="00AC7C20">
        <w:t>at</w:t>
      </w:r>
      <w:r w:rsidRPr="00CE1E45">
        <w:t xml:space="preserve"> the Proposed Development, no </w:t>
      </w:r>
      <w:r w:rsidR="00AC7C20">
        <w:t xml:space="preserve">additional </w:t>
      </w:r>
      <w:r w:rsidRPr="00CE1E45">
        <w:t>credible cumulative MA&amp;D scenario</w:t>
      </w:r>
      <w:r w:rsidR="00AC7C20">
        <w:t>s</w:t>
      </w:r>
      <w:r w:rsidRPr="00CE1E45">
        <w:t xml:space="preserve"> ha</w:t>
      </w:r>
      <w:r w:rsidR="00AC7C20">
        <w:t>ve</w:t>
      </w:r>
      <w:r w:rsidRPr="00CE1E45">
        <w:t xml:space="preserve"> been identified.</w:t>
      </w:r>
    </w:p>
    <w:p w14:paraId="41919D8C" w14:textId="22F6C074" w:rsidR="000D3B96" w:rsidRDefault="000D3B96" w:rsidP="000D3B96">
      <w:pPr>
        <w:pStyle w:val="Heading3"/>
      </w:pPr>
      <w:r>
        <w:t xml:space="preserve"> </w:t>
      </w:r>
      <w:bookmarkStart w:id="98" w:name="_Toc238735958"/>
      <w:r>
        <w:t>Operation Phase Cumulative Effects</w:t>
      </w:r>
      <w:bookmarkEnd w:id="98"/>
    </w:p>
    <w:p w14:paraId="38A41244" w14:textId="67032AA3" w:rsidR="000D3B96" w:rsidRPr="00CE1E45" w:rsidRDefault="000D3B96" w:rsidP="00CE1E45">
      <w:pPr>
        <w:pStyle w:val="BodyText"/>
      </w:pPr>
      <w:proofErr w:type="gramStart"/>
      <w:r w:rsidRPr="00CE1E45">
        <w:t>Assuming that</w:t>
      </w:r>
      <w:proofErr w:type="gramEnd"/>
      <w:r w:rsidRPr="00CE1E45">
        <w:t xml:space="preserve"> the mitigation measures detailed in Section 15.6 for the Proposed Development are implemented, no additional effects due to cumulative developments during operation are anticipated.</w:t>
      </w:r>
    </w:p>
    <w:p w14:paraId="76DAAC39" w14:textId="6DB7554A" w:rsidR="00DE17E0" w:rsidRDefault="00DE17E0" w:rsidP="00743568">
      <w:pPr>
        <w:pStyle w:val="Heading2"/>
      </w:pPr>
      <w:bookmarkStart w:id="99" w:name="_Toc238735959"/>
      <w:r>
        <w:t>‘Do Nothing’ Scenario</w:t>
      </w:r>
      <w:bookmarkEnd w:id="99"/>
    </w:p>
    <w:p w14:paraId="0CCEC35C" w14:textId="4016831A" w:rsidR="00147694" w:rsidRPr="00CE1E45" w:rsidRDefault="00147694" w:rsidP="00CE1E45">
      <w:pPr>
        <w:pStyle w:val="BodyText"/>
      </w:pPr>
      <w:r w:rsidRPr="00CE1E45">
        <w:t>In a Do-Nothing Scenario, the Site would remain undeveloped and would not introduce new hazardous substances, processes or receptors. No MA&amp;D sources would be present; therefore, no new major accident pathways arise. The effects would be ‘Not Significant’.</w:t>
      </w:r>
    </w:p>
    <w:p w14:paraId="71D72F33" w14:textId="09E1F3B5" w:rsidR="004745EA" w:rsidRDefault="00BE1C50" w:rsidP="00743568">
      <w:pPr>
        <w:pStyle w:val="Heading2"/>
      </w:pPr>
      <w:bookmarkStart w:id="100" w:name="_Toc238735960"/>
      <w:r>
        <w:t>Summary</w:t>
      </w:r>
      <w:bookmarkEnd w:id="100"/>
    </w:p>
    <w:p w14:paraId="296713F8" w14:textId="58495B66" w:rsidR="0002785C" w:rsidRPr="00BE1C50" w:rsidRDefault="0002785C" w:rsidP="00CE1E45">
      <w:pPr>
        <w:pStyle w:val="BodyText"/>
      </w:pPr>
      <w:r w:rsidRPr="00CE1E45">
        <w:t>The assessment outlined in this chapter identifies the credible MA</w:t>
      </w:r>
      <w:r w:rsidR="009A29CB">
        <w:t>&amp;</w:t>
      </w:r>
      <w:r w:rsidRPr="00CE1E45">
        <w:t>D scenarios relevant to the Proposed Development.</w:t>
      </w:r>
      <w:r w:rsidR="009A29CB">
        <w:t xml:space="preserve"> </w:t>
      </w:r>
      <w:r w:rsidR="001014F4" w:rsidRPr="00CE1E45">
        <w:t xml:space="preserve">Overall, </w:t>
      </w:r>
      <w:r w:rsidR="005B0FC4">
        <w:t xml:space="preserve">the assessment indicates that </w:t>
      </w:r>
      <w:r w:rsidR="005B0FC4" w:rsidRPr="00CE1E45">
        <w:t xml:space="preserve">all credible risks can be mitigated </w:t>
      </w:r>
      <w:r w:rsidR="005B0FC4">
        <w:t xml:space="preserve">to be </w:t>
      </w:r>
      <w:r w:rsidR="005B0FC4" w:rsidRPr="00CE1E45">
        <w:t xml:space="preserve">ALARP </w:t>
      </w:r>
      <w:proofErr w:type="gramStart"/>
      <w:r w:rsidR="005B0FC4" w:rsidRPr="00CE1E45">
        <w:t xml:space="preserve">through </w:t>
      </w:r>
      <w:r w:rsidR="005B0FC4">
        <w:t>the use of</w:t>
      </w:r>
      <w:proofErr w:type="gramEnd"/>
      <w:r w:rsidR="005B0FC4">
        <w:t xml:space="preserve"> </w:t>
      </w:r>
      <w:r w:rsidR="005B0FC4" w:rsidRPr="00CE1E45">
        <w:t>established controls and procedures</w:t>
      </w:r>
      <w:r w:rsidR="005B0FC4">
        <w:t>.</w:t>
      </w:r>
    </w:p>
    <w:p w14:paraId="0326CA68" w14:textId="4C6DEC5D" w:rsidR="00B3542E" w:rsidRDefault="00CD67AC" w:rsidP="00743568">
      <w:pPr>
        <w:pStyle w:val="Heading2"/>
      </w:pPr>
      <w:bookmarkStart w:id="101" w:name="_Toc238735961"/>
      <w:r>
        <w:t>References</w:t>
      </w:r>
      <w:bookmarkEnd w:id="101"/>
    </w:p>
    <w:p w14:paraId="1C5FB0B0" w14:textId="621C960C" w:rsidR="00001168" w:rsidRDefault="00001168" w:rsidP="00D4221D">
      <w:pPr>
        <w:pStyle w:val="BodyText"/>
        <w:jc w:val="left"/>
      </w:pPr>
      <w:r w:rsidRPr="00001168">
        <w:t xml:space="preserve">CDOIF (2017). Guideline – Environmental Risk Tolerability for COMAH Establishments v2.0. Available at: </w:t>
      </w:r>
      <w:hyperlink r:id="rId34" w:history="1">
        <w:r w:rsidRPr="00C60710">
          <w:rPr>
            <w:rStyle w:val="Hyperlink"/>
          </w:rPr>
          <w:t>https://www.sepa.org.uk/media/219154/cdoif_guideline__environmental_risk_assessment_v2.pdf</w:t>
        </w:r>
      </w:hyperlink>
      <w:r>
        <w:t xml:space="preserve"> </w:t>
      </w:r>
    </w:p>
    <w:p w14:paraId="60B73875" w14:textId="1144368B" w:rsidR="00D77593" w:rsidRDefault="00D77593" w:rsidP="00D4221D">
      <w:pPr>
        <w:pStyle w:val="BodyText"/>
        <w:jc w:val="left"/>
      </w:pPr>
      <w:r>
        <w:t>DHLGH (</w:t>
      </w:r>
      <w:r w:rsidR="005A0CB6">
        <w:t>20</w:t>
      </w:r>
      <w:r w:rsidR="00405701">
        <w:t>25</w:t>
      </w:r>
      <w:r>
        <w:t>)</w:t>
      </w:r>
      <w:r w:rsidR="004963EB">
        <w:t>.</w:t>
      </w:r>
      <w:r>
        <w:t xml:space="preserve"> A Framework for Major Emergency Management – Guide to Risk Assessment in Emergency Management.</w:t>
      </w:r>
      <w:r w:rsidR="0073474C">
        <w:t xml:space="preserve"> Available at: </w:t>
      </w:r>
      <w:hyperlink r:id="rId35" w:history="1">
        <w:r w:rsidR="0073474C" w:rsidRPr="00C60710">
          <w:rPr>
            <w:rStyle w:val="Hyperlink"/>
          </w:rPr>
          <w:t>https://www.gov.ie/en/department-of-housing-local-government-and-heritage/collections/a-framework-for-major-emergency-management/</w:t>
        </w:r>
      </w:hyperlink>
      <w:r w:rsidR="0073474C">
        <w:t xml:space="preserve"> </w:t>
      </w:r>
    </w:p>
    <w:p w14:paraId="7CA944EB" w14:textId="502B0494" w:rsidR="00C87B9C" w:rsidRDefault="00C87B9C" w:rsidP="00D4221D">
      <w:pPr>
        <w:pStyle w:val="BodyText"/>
        <w:jc w:val="left"/>
      </w:pPr>
      <w:r>
        <w:t>EMRA (20</w:t>
      </w:r>
      <w:r w:rsidR="00F850A9">
        <w:t xml:space="preserve">18). </w:t>
      </w:r>
      <w:r w:rsidR="000175D2">
        <w:t>Regional Spatial &amp; Economic Strategy. Available at:</w:t>
      </w:r>
      <w:r w:rsidR="00F850A9">
        <w:t xml:space="preserve"> </w:t>
      </w:r>
      <w:hyperlink r:id="rId36" w:history="1">
        <w:r w:rsidR="000175D2" w:rsidRPr="00B77BFD">
          <w:rPr>
            <w:rStyle w:val="Hyperlink"/>
          </w:rPr>
          <w:t>https://www.emra.ie/rses-download/EMRA-RSES.pdf</w:t>
        </w:r>
      </w:hyperlink>
      <w:r w:rsidR="000175D2">
        <w:t xml:space="preserve"> </w:t>
      </w:r>
    </w:p>
    <w:p w14:paraId="6C3D720C" w14:textId="65DA7C41" w:rsidR="00F1667C" w:rsidRDefault="00F2642A" w:rsidP="00D4221D">
      <w:pPr>
        <w:pStyle w:val="BodyText"/>
        <w:jc w:val="left"/>
      </w:pPr>
      <w:r w:rsidRPr="00F2642A">
        <w:t>Environmental Protection Agency (EPA) (2014). Guidance on assessing and costing environmental liabilities.</w:t>
      </w:r>
      <w:r w:rsidR="0070438B">
        <w:t xml:space="preserve"> Available at: </w:t>
      </w:r>
      <w:hyperlink r:id="rId37" w:history="1">
        <w:r w:rsidR="008B48BF" w:rsidRPr="004E1AFE">
          <w:rPr>
            <w:rStyle w:val="Hyperlink"/>
          </w:rPr>
          <w:t>https://www.epa.ie/publications/compliance--enforcement/licensees/reporting/financial-provisions/guidance-on-assessing-and-costing-environmental-liabilities.php</w:t>
        </w:r>
      </w:hyperlink>
      <w:r w:rsidR="008B48BF">
        <w:t xml:space="preserve"> </w:t>
      </w:r>
    </w:p>
    <w:p w14:paraId="32E7FF42" w14:textId="596DFD4F" w:rsidR="00D77593" w:rsidRDefault="00D77593" w:rsidP="00D4221D">
      <w:pPr>
        <w:pStyle w:val="BodyText"/>
        <w:jc w:val="left"/>
      </w:pPr>
      <w:r>
        <w:t>Environmental Protection Agency</w:t>
      </w:r>
      <w:r w:rsidR="00F46BF9">
        <w:t xml:space="preserve"> (EPA)</w:t>
      </w:r>
      <w:r w:rsidR="008077A9">
        <w:t xml:space="preserve"> </w:t>
      </w:r>
      <w:r>
        <w:t>(2022)</w:t>
      </w:r>
      <w:r w:rsidR="004963EB">
        <w:t>.</w:t>
      </w:r>
      <w:r>
        <w:t xml:space="preserve"> Guidelines on the Information to be Contained in Environmental Impact Assessment Reports.</w:t>
      </w:r>
      <w:r w:rsidR="00406307">
        <w:t xml:space="preserve"> </w:t>
      </w:r>
      <w:r w:rsidR="009942D4">
        <w:t xml:space="preserve">Available at: </w:t>
      </w:r>
      <w:hyperlink r:id="rId38" w:history="1">
        <w:r w:rsidR="009942D4" w:rsidRPr="00C60710">
          <w:rPr>
            <w:rStyle w:val="Hyperlink"/>
          </w:rPr>
          <w:t>https://www.epa.ie/publications/monitoring--assessment/assessment/EIAR_Guidelines_2022_Web.pdf</w:t>
        </w:r>
      </w:hyperlink>
      <w:r w:rsidR="009942D4">
        <w:t xml:space="preserve"> </w:t>
      </w:r>
    </w:p>
    <w:p w14:paraId="10BB26E1" w14:textId="4AEB19FA" w:rsidR="003F4F81" w:rsidRDefault="003F4F81" w:rsidP="00D4221D">
      <w:pPr>
        <w:pStyle w:val="BodyText"/>
        <w:jc w:val="left"/>
      </w:pPr>
      <w:r>
        <w:t>European Commission</w:t>
      </w:r>
      <w:r w:rsidR="00DD6F56">
        <w:t xml:space="preserve"> (EC)</w:t>
      </w:r>
      <w:r>
        <w:t xml:space="preserve"> (2017), </w:t>
      </w:r>
      <w:r w:rsidR="00DD6F56">
        <w:t>Environmental Impact Assessment of Projects. Guidance on the preparation of the Environmental Impact Assessment Report.</w:t>
      </w:r>
      <w:r w:rsidR="009942D4">
        <w:t xml:space="preserve"> Available at: </w:t>
      </w:r>
      <w:hyperlink r:id="rId39" w:history="1">
        <w:r w:rsidR="009942D4" w:rsidRPr="00C60710">
          <w:rPr>
            <w:rStyle w:val="Hyperlink"/>
          </w:rPr>
          <w:t>https://circabc.europa.eu/ui/group/3b48eff1-b955-423f-9086-0d85ad1c5879/library/b7451988-d869-4fee-80de-0935695f67f2/details?download=true</w:t>
        </w:r>
      </w:hyperlink>
    </w:p>
    <w:p w14:paraId="2E76BF43" w14:textId="010242EE" w:rsidR="00813C51" w:rsidRDefault="00EB4898" w:rsidP="00D4221D">
      <w:pPr>
        <w:pStyle w:val="BodyText"/>
        <w:jc w:val="left"/>
      </w:pPr>
      <w:r>
        <w:t>European Parliament</w:t>
      </w:r>
      <w:r w:rsidR="00764A41">
        <w:t xml:space="preserve"> (1992)</w:t>
      </w:r>
      <w:r w:rsidR="004963EB">
        <w:t>.</w:t>
      </w:r>
      <w:r>
        <w:t xml:space="preserve"> 92/43/EEC, Conservation of Natural Habitats and of Wild Fauna and Flora</w:t>
      </w:r>
      <w:r w:rsidR="00F137D9">
        <w:t>.</w:t>
      </w:r>
      <w:r w:rsidR="000738BF">
        <w:t xml:space="preserve"> Available at: </w:t>
      </w:r>
      <w:hyperlink r:id="rId40" w:history="1">
        <w:r w:rsidR="0078346A" w:rsidRPr="00C60710">
          <w:rPr>
            <w:rStyle w:val="Hyperlink"/>
          </w:rPr>
          <w:t>https://eur-lex.europa.eu/eli/dir/1992/43/oj/eng</w:t>
        </w:r>
      </w:hyperlink>
      <w:r w:rsidR="0078346A">
        <w:t xml:space="preserve"> </w:t>
      </w:r>
    </w:p>
    <w:p w14:paraId="5A8271CB" w14:textId="5D949DE9" w:rsidR="00C31EC8" w:rsidRDefault="00C31EC8" w:rsidP="00D4221D">
      <w:pPr>
        <w:pStyle w:val="BodyText"/>
        <w:jc w:val="left"/>
      </w:pPr>
      <w:r>
        <w:lastRenderedPageBreak/>
        <w:t>European Parliament</w:t>
      </w:r>
      <w:r w:rsidR="00764A41">
        <w:t xml:space="preserve"> (2009)</w:t>
      </w:r>
      <w:r w:rsidR="004963EB">
        <w:t>.</w:t>
      </w:r>
      <w:r>
        <w:t xml:space="preserve"> Directive,</w:t>
      </w:r>
      <w:r w:rsidRPr="00C31EC8">
        <w:t xml:space="preserve"> 2009/147/EC</w:t>
      </w:r>
      <w:r>
        <w:t xml:space="preserve">, </w:t>
      </w:r>
      <w:r w:rsidR="00BC3F50">
        <w:t>Cons</w:t>
      </w:r>
      <w:r w:rsidR="006E5A23">
        <w:t>ervation of Wild Birds</w:t>
      </w:r>
      <w:r w:rsidR="00EB4F06">
        <w:t xml:space="preserve">. </w:t>
      </w:r>
      <w:r w:rsidR="00E30E05">
        <w:t xml:space="preserve">Available at: </w:t>
      </w:r>
      <w:hyperlink r:id="rId41" w:history="1">
        <w:r w:rsidR="00E30E05" w:rsidRPr="00C60710">
          <w:rPr>
            <w:rStyle w:val="Hyperlink"/>
          </w:rPr>
          <w:t>https://eur-lex.europa.eu/eli/dir/2009/147/oj/eng</w:t>
        </w:r>
      </w:hyperlink>
      <w:r w:rsidR="00E30E05">
        <w:t xml:space="preserve"> </w:t>
      </w:r>
    </w:p>
    <w:p w14:paraId="003BE30E" w14:textId="6926A8D3" w:rsidR="00627761" w:rsidRDefault="00627761" w:rsidP="00D4221D">
      <w:pPr>
        <w:pStyle w:val="BodyText"/>
        <w:jc w:val="left"/>
      </w:pPr>
      <w:r>
        <w:t>European Parliament</w:t>
      </w:r>
      <w:r w:rsidR="00764A41">
        <w:t xml:space="preserve"> (2011)</w:t>
      </w:r>
      <w:r w:rsidR="004963EB">
        <w:t>.</w:t>
      </w:r>
      <w:r>
        <w:t xml:space="preserve"> Directive 2011/92/EU, Assessment of the Effects of Certain Public and Private projects on the Environment</w:t>
      </w:r>
      <w:r w:rsidR="00EB4F06">
        <w:t xml:space="preserve">. Available at: </w:t>
      </w:r>
      <w:hyperlink r:id="rId42" w:history="1">
        <w:r w:rsidR="00EB4F06" w:rsidRPr="00C60710">
          <w:rPr>
            <w:rStyle w:val="Hyperlink"/>
          </w:rPr>
          <w:t>https://eur-lex.europa.eu/eli/dir/2011/92/oj/eng</w:t>
        </w:r>
      </w:hyperlink>
      <w:r w:rsidR="00EB4F06">
        <w:t xml:space="preserve"> </w:t>
      </w:r>
    </w:p>
    <w:p w14:paraId="1F8DD1CA" w14:textId="0B1392EA" w:rsidR="00764A41" w:rsidRDefault="00764A41" w:rsidP="00D4221D">
      <w:pPr>
        <w:pStyle w:val="BodyText"/>
        <w:jc w:val="left"/>
      </w:pPr>
      <w:r>
        <w:t>European Parliament (2012)</w:t>
      </w:r>
      <w:r w:rsidR="004963EB">
        <w:t>.</w:t>
      </w:r>
      <w:r>
        <w:t xml:space="preserve"> Directive 2012/18/EU, Control of Major-Accident Hazards Involving Dangerous Substances, Amending and Subsequently Repealing Council Directive 96/82/EC</w:t>
      </w:r>
      <w:r w:rsidR="00CF7610">
        <w:t xml:space="preserve">. Available at: </w:t>
      </w:r>
      <w:hyperlink r:id="rId43" w:history="1">
        <w:r w:rsidR="00CF7610" w:rsidRPr="00C60710">
          <w:rPr>
            <w:rStyle w:val="Hyperlink"/>
          </w:rPr>
          <w:t>https://eur-lex.europa.eu/eli/dir/2012/18/oj/eng</w:t>
        </w:r>
      </w:hyperlink>
      <w:r w:rsidR="00CF7610">
        <w:t xml:space="preserve"> </w:t>
      </w:r>
    </w:p>
    <w:p w14:paraId="14823853" w14:textId="27EF833E" w:rsidR="00627761" w:rsidRDefault="00627761" w:rsidP="00D4221D">
      <w:pPr>
        <w:pStyle w:val="BodyText"/>
        <w:jc w:val="left"/>
      </w:pPr>
      <w:r>
        <w:t>European Parliament</w:t>
      </w:r>
      <w:r w:rsidR="00764A41">
        <w:t xml:space="preserve"> (2014)</w:t>
      </w:r>
      <w:r w:rsidR="004963EB">
        <w:t>.</w:t>
      </w:r>
      <w:r>
        <w:t xml:space="preserve"> Directive 2014/52/EU, Amending Directive 2011/92/EU on the Assessment of the Effects of Certain Public and Private projects on the Environment</w:t>
      </w:r>
      <w:r w:rsidR="00CF7610">
        <w:t>.</w:t>
      </w:r>
      <w:r>
        <w:t xml:space="preserve"> </w:t>
      </w:r>
      <w:r w:rsidR="00027383">
        <w:t xml:space="preserve">Available at: </w:t>
      </w:r>
      <w:hyperlink r:id="rId44" w:history="1">
        <w:r w:rsidR="00027383" w:rsidRPr="00C60710">
          <w:rPr>
            <w:rStyle w:val="Hyperlink"/>
          </w:rPr>
          <w:t>https://eur-lex.europa.eu/legal-content/EN/TXT/?uri=celex:32014L0052</w:t>
        </w:r>
      </w:hyperlink>
      <w:r w:rsidR="00027383">
        <w:t xml:space="preserve"> </w:t>
      </w:r>
    </w:p>
    <w:p w14:paraId="361EB3B8" w14:textId="77777777" w:rsidR="00CE4F8F" w:rsidRDefault="00CE4F8F" w:rsidP="00CE4F8F">
      <w:pPr>
        <w:pStyle w:val="BodyText"/>
        <w:jc w:val="left"/>
      </w:pPr>
      <w:r>
        <w:t xml:space="preserve">GSI (2026a). IE GSI Groundwater Data Ireland Data Ireland ITV Viewer. Available at: </w:t>
      </w:r>
      <w:hyperlink r:id="rId45" w:history="1">
        <w:r w:rsidRPr="00F01071">
          <w:rPr>
            <w:rStyle w:val="Hyperlink"/>
          </w:rPr>
          <w:t>https://gsi.geodata.gov.ie/portal/apps/webappviewer/index.html?id=d333a8a9b6ab44378411fc0d973db4ef</w:t>
        </w:r>
      </w:hyperlink>
    </w:p>
    <w:p w14:paraId="52E174F5" w14:textId="77777777" w:rsidR="00CE4F8F" w:rsidRDefault="00CE4F8F" w:rsidP="00CE4F8F">
      <w:pPr>
        <w:pStyle w:val="BodyText"/>
        <w:jc w:val="left"/>
      </w:pPr>
      <w:r>
        <w:t xml:space="preserve">GSI (2026b). IE GSI EPA Surface Water (Rivers and Lakes) 50k Ireland (ROI) ITM. Available at: </w:t>
      </w:r>
      <w:hyperlink r:id="rId46" w:history="1">
        <w:r w:rsidRPr="00F01071">
          <w:rPr>
            <w:rStyle w:val="Hyperlink"/>
          </w:rPr>
          <w:t>https://gsi.geodata.gov.ie/portal/home/webmap/viewer.html?useExisting=1&amp;layers=3d3750eb72c349668f18eab4dd68adc1</w:t>
        </w:r>
      </w:hyperlink>
      <w:r>
        <w:t xml:space="preserve"> </w:t>
      </w:r>
    </w:p>
    <w:p w14:paraId="2E50B00D" w14:textId="77777777" w:rsidR="00CE4F8F" w:rsidRDefault="00CE4F8F" w:rsidP="00CE4F8F">
      <w:pPr>
        <w:pStyle w:val="BodyText"/>
        <w:jc w:val="left"/>
      </w:pPr>
      <w:r>
        <w:t xml:space="preserve">Health and Safety Authority (HAS) (2023). Guidance on Technical Land-use Planning Advice for Planning Authorities and COMAH Establishment Operators. Available at: </w:t>
      </w:r>
      <w:hyperlink r:id="rId47" w:history="1">
        <w:r w:rsidRPr="00C60710">
          <w:rPr>
            <w:rStyle w:val="Hyperlink"/>
          </w:rPr>
          <w:t>https://www.hsa.ie/media/4oap0mec/tlup-guidance-feb-2023-final.pdf</w:t>
        </w:r>
      </w:hyperlink>
      <w:r>
        <w:t xml:space="preserve"> </w:t>
      </w:r>
    </w:p>
    <w:p w14:paraId="53DC4A13" w14:textId="2642DBF8" w:rsidR="00552EEC" w:rsidRDefault="00845681" w:rsidP="00D4221D">
      <w:pPr>
        <w:pStyle w:val="BodyText"/>
        <w:jc w:val="left"/>
      </w:pPr>
      <w:r>
        <w:t>Irish Statute Book (</w:t>
      </w:r>
      <w:r w:rsidR="00673850">
        <w:t>ISB</w:t>
      </w:r>
      <w:r>
        <w:t>)</w:t>
      </w:r>
      <w:r w:rsidR="00552EEC">
        <w:t xml:space="preserve"> (1972). </w:t>
      </w:r>
      <w:r w:rsidR="00552EEC" w:rsidRPr="004B115A">
        <w:t>Act No. 10/1972 (as amended by Act No. 21/1979) - Dangerous Substances Act</w:t>
      </w:r>
      <w:r w:rsidR="00552EEC">
        <w:t>.</w:t>
      </w:r>
      <w:r w:rsidR="00853643">
        <w:t xml:space="preserve"> Available at: </w:t>
      </w:r>
      <w:hyperlink r:id="rId48" w:history="1">
        <w:r w:rsidR="00853643" w:rsidRPr="00C60710">
          <w:rPr>
            <w:rStyle w:val="Hyperlink"/>
          </w:rPr>
          <w:t>https://www.irishstatutebook.ie/eli/1972/act/10/enacted/en/html</w:t>
        </w:r>
      </w:hyperlink>
      <w:r w:rsidR="00853643">
        <w:t xml:space="preserve"> </w:t>
      </w:r>
    </w:p>
    <w:p w14:paraId="33E6A069" w14:textId="3162AA5F" w:rsidR="00314490" w:rsidRDefault="00314490" w:rsidP="00D4221D">
      <w:pPr>
        <w:pStyle w:val="BodyText"/>
        <w:jc w:val="left"/>
      </w:pPr>
      <w:r>
        <w:t xml:space="preserve">Irish Statute Book (ISB) (2001). S.I. No. 619/2001 - </w:t>
      </w:r>
      <w:r w:rsidR="00D4221D" w:rsidRPr="00D4221D">
        <w:t xml:space="preserve">Safety, Health and Welfare </w:t>
      </w:r>
      <w:proofErr w:type="gramStart"/>
      <w:r w:rsidR="00D4221D" w:rsidRPr="00D4221D">
        <w:t>At</w:t>
      </w:r>
      <w:proofErr w:type="gramEnd"/>
      <w:r w:rsidR="00D4221D" w:rsidRPr="00D4221D">
        <w:t xml:space="preserve"> Work (Chemical Agents) Regulations, 2001</w:t>
      </w:r>
      <w:r>
        <w:t xml:space="preserve">. Available at: </w:t>
      </w:r>
      <w:hyperlink r:id="rId49" w:history="1">
        <w:r w:rsidR="00D4221D" w:rsidRPr="00C60710">
          <w:rPr>
            <w:rStyle w:val="Hyperlink"/>
          </w:rPr>
          <w:t>https://www.irishstatutebook.ie/eli/2001/si/619/made/en/print?q=chemical+agents</w:t>
        </w:r>
      </w:hyperlink>
      <w:r w:rsidR="00D4221D">
        <w:t xml:space="preserve"> </w:t>
      </w:r>
    </w:p>
    <w:p w14:paraId="4D76ED56" w14:textId="6C0F534C" w:rsidR="00764A41" w:rsidRDefault="00845681" w:rsidP="00D4221D">
      <w:pPr>
        <w:pStyle w:val="BodyText"/>
        <w:jc w:val="left"/>
      </w:pPr>
      <w:r>
        <w:t xml:space="preserve">Irish Statute Book (ISB) </w:t>
      </w:r>
      <w:r w:rsidR="00764A41">
        <w:t>(2008)</w:t>
      </w:r>
      <w:r w:rsidR="004963EB">
        <w:t>.</w:t>
      </w:r>
      <w:r w:rsidR="00764A41">
        <w:t xml:space="preserve"> S.I. No. 272/2008 - European Communities (Classification, Packaging, Labelling and Notification of Dangerous Substances) Regulations (CLP)</w:t>
      </w:r>
      <w:r w:rsidR="000148B7">
        <w:t xml:space="preserve">. Available at: </w:t>
      </w:r>
      <w:hyperlink r:id="rId50" w:history="1">
        <w:r w:rsidR="000148B7" w:rsidRPr="00C60710">
          <w:rPr>
            <w:rStyle w:val="Hyperlink"/>
          </w:rPr>
          <w:t>https://www.irishstatutebook.ie/eli/2008/si/272/made/en/print</w:t>
        </w:r>
      </w:hyperlink>
      <w:r w:rsidR="000148B7">
        <w:t xml:space="preserve"> </w:t>
      </w:r>
    </w:p>
    <w:p w14:paraId="55178817" w14:textId="257C7128" w:rsidR="00DD1046" w:rsidRDefault="00845681" w:rsidP="00D4221D">
      <w:pPr>
        <w:pStyle w:val="BodyText"/>
        <w:jc w:val="left"/>
      </w:pPr>
      <w:r>
        <w:t xml:space="preserve">Irish Statute Book (ISB) </w:t>
      </w:r>
      <w:r w:rsidR="00DD1046">
        <w:t>(2015a)</w:t>
      </w:r>
      <w:r w:rsidR="004E7872">
        <w:t>.</w:t>
      </w:r>
      <w:r w:rsidR="00DD1046">
        <w:t xml:space="preserve"> Act No.10/2005 - Safety, Health and Welfare at Work Act</w:t>
      </w:r>
      <w:r w:rsidR="009176CB">
        <w:t xml:space="preserve">. Available at: </w:t>
      </w:r>
      <w:hyperlink r:id="rId51" w:history="1">
        <w:r w:rsidR="009176CB" w:rsidRPr="00C60710">
          <w:rPr>
            <w:rStyle w:val="Hyperlink"/>
          </w:rPr>
          <w:t>https://www.irishstatutebook.ie/eli/2005/act/10/enacted/en/print</w:t>
        </w:r>
      </w:hyperlink>
      <w:r w:rsidR="009176CB">
        <w:t xml:space="preserve"> </w:t>
      </w:r>
    </w:p>
    <w:p w14:paraId="3EA46106" w14:textId="5A1C9F92" w:rsidR="00D77593" w:rsidRDefault="004E7872" w:rsidP="00D4221D">
      <w:pPr>
        <w:pStyle w:val="BodyText"/>
        <w:jc w:val="left"/>
      </w:pPr>
      <w:r>
        <w:t xml:space="preserve">Irish Statute Book (ISB) </w:t>
      </w:r>
      <w:r w:rsidR="00764A41">
        <w:t>(2015</w:t>
      </w:r>
      <w:r w:rsidR="00DD1046">
        <w:t>b</w:t>
      </w:r>
      <w:r w:rsidR="00764A41">
        <w:t>)</w:t>
      </w:r>
      <w:r w:rsidR="004963EB">
        <w:t>.</w:t>
      </w:r>
      <w:r w:rsidR="00764A41">
        <w:t xml:space="preserve"> SI. No. 209/2015 - Chemicals Act (Control of Major Hazards Involving Dangerous Substances) Regulations 2015</w:t>
      </w:r>
      <w:r w:rsidR="007E0453">
        <w:t xml:space="preserve">. Available at: </w:t>
      </w:r>
      <w:hyperlink r:id="rId52" w:history="1">
        <w:r w:rsidR="007E0453" w:rsidRPr="00C60710">
          <w:rPr>
            <w:rStyle w:val="Hyperlink"/>
          </w:rPr>
          <w:t>https://www.irishstatutebook.ie/eli/2015/si/209/made/en/print</w:t>
        </w:r>
      </w:hyperlink>
      <w:r w:rsidR="007E0453">
        <w:t xml:space="preserve"> </w:t>
      </w:r>
    </w:p>
    <w:p w14:paraId="157ED72B" w14:textId="230CFDD9" w:rsidR="008B728B" w:rsidRDefault="008B728B" w:rsidP="00D4221D">
      <w:pPr>
        <w:pStyle w:val="BodyText"/>
        <w:jc w:val="left"/>
      </w:pPr>
      <w:r>
        <w:t xml:space="preserve">Irish Statute Book (ISB) (2015c). S.I. No. 623/2015 - </w:t>
      </w:r>
      <w:r w:rsidRPr="008B728B">
        <w:t>Safety, Health and Welfare at Work (Chemical Agents) (Amendment) Regulations 2015.</w:t>
      </w:r>
      <w:r>
        <w:t xml:space="preserve"> Available at: </w:t>
      </w:r>
      <w:hyperlink r:id="rId53" w:history="1">
        <w:r w:rsidRPr="00C60710">
          <w:rPr>
            <w:rStyle w:val="Hyperlink"/>
          </w:rPr>
          <w:t>https://www.irishstatutebook.ie/eli/2015/si/623/made/en/print?q=chemical+agents</w:t>
        </w:r>
      </w:hyperlink>
    </w:p>
    <w:p w14:paraId="65B87ABC" w14:textId="150A493D" w:rsidR="000A5700" w:rsidRDefault="004E7872" w:rsidP="00D4221D">
      <w:pPr>
        <w:pStyle w:val="BodyText"/>
        <w:jc w:val="left"/>
      </w:pPr>
      <w:r>
        <w:t xml:space="preserve">Irish Statute Book (ISB) </w:t>
      </w:r>
      <w:r w:rsidR="000A5700">
        <w:t>(2020</w:t>
      </w:r>
      <w:r w:rsidR="0073474C">
        <w:t>a</w:t>
      </w:r>
      <w:r w:rsidR="000A5700">
        <w:t>)</w:t>
      </w:r>
      <w:r w:rsidR="004963EB">
        <w:t>.</w:t>
      </w:r>
      <w:r w:rsidR="000A5700">
        <w:t xml:space="preserve"> S.I. No. 191/2020 - European Union (Environmental Impact Assessment) (Environmental Protection Agency Act 1992) Amendment Regulations 2020</w:t>
      </w:r>
      <w:r w:rsidR="00640F10">
        <w:t xml:space="preserve">. </w:t>
      </w:r>
      <w:hyperlink r:id="rId54" w:history="1">
        <w:r w:rsidR="00763A7E" w:rsidRPr="00C60710">
          <w:rPr>
            <w:rStyle w:val="Hyperlink"/>
          </w:rPr>
          <w:t>https://www.irishstatutebook.ie/eli/2020/si/191/made/en/print</w:t>
        </w:r>
      </w:hyperlink>
      <w:r w:rsidR="00763A7E">
        <w:t xml:space="preserve"> </w:t>
      </w:r>
    </w:p>
    <w:p w14:paraId="02ADD95B" w14:textId="442D486E" w:rsidR="0073474C" w:rsidRDefault="004E7872" w:rsidP="00D4221D">
      <w:pPr>
        <w:pStyle w:val="BodyText"/>
        <w:jc w:val="left"/>
      </w:pPr>
      <w:r>
        <w:t xml:space="preserve">Irish Statute Book (ISB) </w:t>
      </w:r>
      <w:r w:rsidR="0073474C">
        <w:t xml:space="preserve">(2020b). Building Standards. Available at: </w:t>
      </w:r>
      <w:hyperlink r:id="rId55" w:history="1">
        <w:r w:rsidR="0073474C" w:rsidRPr="00632131">
          <w:rPr>
            <w:rStyle w:val="Hyperlink"/>
          </w:rPr>
          <w:t>https://www.gov.ie/en/department-of-housing-local-government-and-heritage/publications/building-standards/</w:t>
        </w:r>
      </w:hyperlink>
    </w:p>
    <w:p w14:paraId="49E0C16F" w14:textId="7CD956A2" w:rsidR="00764A41" w:rsidRDefault="004E7872" w:rsidP="00D4221D">
      <w:pPr>
        <w:pStyle w:val="BodyText"/>
        <w:jc w:val="left"/>
      </w:pPr>
      <w:r>
        <w:t xml:space="preserve">Irish Statute Book (ISB) </w:t>
      </w:r>
      <w:r w:rsidR="00764A41">
        <w:t>(2021)</w:t>
      </w:r>
      <w:r w:rsidR="004963EB">
        <w:t>.</w:t>
      </w:r>
      <w:r w:rsidR="00764A41">
        <w:t xml:space="preserve"> S.I. No. 231/2021 - Safety, Health and Welfare at Work (Chemical Agents) (Amendment) Regulations.</w:t>
      </w:r>
      <w:r w:rsidR="002C50EC">
        <w:t xml:space="preserve"> Available at: </w:t>
      </w:r>
      <w:hyperlink r:id="rId56" w:history="1">
        <w:r w:rsidR="002C50EC" w:rsidRPr="00C60710">
          <w:rPr>
            <w:rStyle w:val="Hyperlink"/>
          </w:rPr>
          <w:t>https://www.irishstatutebook.ie/eli/2021/si/231</w:t>
        </w:r>
      </w:hyperlink>
      <w:r w:rsidR="002C50EC">
        <w:t xml:space="preserve"> </w:t>
      </w:r>
    </w:p>
    <w:p w14:paraId="2A0D5FA7" w14:textId="24A26348" w:rsidR="00764A41" w:rsidRDefault="004E7872" w:rsidP="00D4221D">
      <w:pPr>
        <w:pStyle w:val="BodyText"/>
        <w:jc w:val="left"/>
      </w:pPr>
      <w:r>
        <w:t xml:space="preserve">Irish Statute Book (ISB) </w:t>
      </w:r>
      <w:r w:rsidR="00764A41">
        <w:t>(2021)</w:t>
      </w:r>
      <w:r w:rsidR="004963EB">
        <w:t>.</w:t>
      </w:r>
      <w:r w:rsidR="00764A41">
        <w:t xml:space="preserve"> S.I. No. 528/2021 - Safety, Health and Welfare at Work (Construction) (Amendment) Regulation</w:t>
      </w:r>
      <w:r w:rsidR="00AA03C9">
        <w:t>s</w:t>
      </w:r>
      <w:r w:rsidR="00764A41">
        <w:t>.</w:t>
      </w:r>
      <w:r w:rsidR="00AA03C9">
        <w:t xml:space="preserve"> Available at: </w:t>
      </w:r>
      <w:hyperlink r:id="rId57" w:anchor=":~:text=No.-,528%2F2021%20%2D%20Safety%2C%20Health%20and%20Welfare%20at%20Work%20(,Construction)%20(Amendment)%20Regulations%202021&amp;text=%E2%80%9CIris%20Oifigi%C3%BAil%E2%80%9D%20of%2015th%20October%2C%202021" w:history="1">
        <w:r w:rsidR="00AA03C9" w:rsidRPr="00C60710">
          <w:rPr>
            <w:rStyle w:val="Hyperlink"/>
          </w:rPr>
          <w:t>https://www.irishstatutebook.ie/eli/2021/si/528/made/en/print#:~:text=No.-,528%2F2021%20%2D%20Safety%2C%20Health%20and%20Welfare%20at%20Work%20(,Construction)%20(Amendment)%20Regulations%202021&amp;text=%E2%80%9CIris%20Oifigi%C3%BAil%E2%80%9D%20of%2015th%20October%2C%202021</w:t>
        </w:r>
      </w:hyperlink>
      <w:r w:rsidR="00AA03C9" w:rsidRPr="00AA03C9">
        <w:t>.</w:t>
      </w:r>
      <w:r w:rsidR="00AA03C9">
        <w:t xml:space="preserve"> </w:t>
      </w:r>
    </w:p>
    <w:p w14:paraId="42F7929B" w14:textId="77777777" w:rsidR="00764A41" w:rsidRDefault="004E7872" w:rsidP="00D4221D">
      <w:pPr>
        <w:pStyle w:val="BodyText"/>
        <w:jc w:val="left"/>
      </w:pPr>
      <w:r>
        <w:lastRenderedPageBreak/>
        <w:t xml:space="preserve">Irish Statute Book (ISB) </w:t>
      </w:r>
      <w:r w:rsidR="00764A41">
        <w:t>(2022)</w:t>
      </w:r>
      <w:r w:rsidR="004963EB">
        <w:t>.</w:t>
      </w:r>
      <w:r w:rsidR="00764A41">
        <w:t xml:space="preserve"> S.I. No. 421/2022 </w:t>
      </w:r>
      <w:r w:rsidR="00AA03C9">
        <w:t>-</w:t>
      </w:r>
      <w:r w:rsidR="00764A41">
        <w:t xml:space="preserve"> European Union (Environmental Impact Assessment) (Environmental Protection Agency Act 1992) Amendment Regulations 2022</w:t>
      </w:r>
      <w:r w:rsidR="00ED2ADC">
        <w:t xml:space="preserve">. Available at: </w:t>
      </w:r>
      <w:hyperlink r:id="rId58" w:anchor=":~:text=No.-,421%2F2022%20%2D%20European%20Union%20(Environmental%20Impact%20Assessment)%20(,1992)%20(Amendment)%20Regulations%202022&amp;text=%E2%80%9CIris%20Oifigi%C3%BAil%E2%80%9D%20of%2023rd%20August%2C%202022" w:history="1">
        <w:r w:rsidR="00ED2ADC" w:rsidRPr="00C60710">
          <w:rPr>
            <w:rStyle w:val="Hyperlink"/>
          </w:rPr>
          <w:t>https://www.irishstatutebook.ie/eli/2022/si/421/made/en/print#:~:text=No.-,421%2F2022%20%2D%20European%20Union%20(Environmental%20Impact%20Assessment)%20(,1992)%20(Amendment)%20Regulations%202022&amp;text=%E2%80%9CIris%20Oifigi%C3%BAil%E2%80%9D%20of%2023rd%20August%2C%202022</w:t>
        </w:r>
      </w:hyperlink>
      <w:r w:rsidR="00ED2ADC" w:rsidRPr="00ED2ADC">
        <w:t>.</w:t>
      </w:r>
      <w:r w:rsidR="00ED2ADC">
        <w:t xml:space="preserve">  </w:t>
      </w:r>
    </w:p>
    <w:p w14:paraId="204E40FC" w14:textId="77777777" w:rsidR="00764A41" w:rsidRDefault="004E7872" w:rsidP="00D4221D">
      <w:pPr>
        <w:pStyle w:val="BodyText"/>
        <w:jc w:val="left"/>
      </w:pPr>
      <w:r>
        <w:t xml:space="preserve">Irish Statute Book (ISB) </w:t>
      </w:r>
      <w:r w:rsidR="00764A41">
        <w:t>(2023)</w:t>
      </w:r>
      <w:r w:rsidR="004963EB">
        <w:t>.</w:t>
      </w:r>
      <w:r w:rsidR="00764A41">
        <w:t xml:space="preserve"> S.I. No. 255/2023 - Safety, Health and Welfare at Work (General Application) (Amendment) Regulations (ISB, 2023).</w:t>
      </w:r>
      <w:r w:rsidR="00E4304B">
        <w:t xml:space="preserve"> Available at: </w:t>
      </w:r>
      <w:hyperlink r:id="rId59" w:history="1">
        <w:r w:rsidR="00E4304B" w:rsidRPr="00C60710">
          <w:rPr>
            <w:rStyle w:val="Hyperlink"/>
          </w:rPr>
          <w:t>https://www.irishstatutebook.ie/eli/2023/si/255/made/en/print</w:t>
        </w:r>
      </w:hyperlink>
      <w:r w:rsidR="00E4304B">
        <w:t xml:space="preserve"> </w:t>
      </w:r>
    </w:p>
    <w:p w14:paraId="1468321C" w14:textId="64D7693F" w:rsidR="00D77593" w:rsidRDefault="004E7872" w:rsidP="00D4221D">
      <w:pPr>
        <w:pStyle w:val="BodyText"/>
        <w:jc w:val="left"/>
      </w:pPr>
      <w:r>
        <w:t xml:space="preserve">Irish Statute Book (ISB) </w:t>
      </w:r>
      <w:r w:rsidR="00D77593">
        <w:t>(2024)</w:t>
      </w:r>
      <w:r w:rsidR="004963EB">
        <w:t>.</w:t>
      </w:r>
      <w:r w:rsidR="00D77593">
        <w:t xml:space="preserve"> ‘A National Risk Assessment for Ireland 2024’.</w:t>
      </w:r>
      <w:r w:rsidR="00CB6CB9">
        <w:t xml:space="preserve"> Available at: </w:t>
      </w:r>
      <w:hyperlink r:id="rId60" w:history="1">
        <w:r w:rsidR="00CB6CB9" w:rsidRPr="00092EAE">
          <w:rPr>
            <w:rStyle w:val="Hyperlink"/>
          </w:rPr>
          <w:t>https://www.gov.ie/en/department-of-the-taoiseach/policy-information/national-risk-assessment-2024-overview-of-strategic-risks/</w:t>
        </w:r>
      </w:hyperlink>
      <w:r w:rsidR="00CB6CB9">
        <w:t xml:space="preserve"> </w:t>
      </w:r>
    </w:p>
    <w:p w14:paraId="58777A11" w14:textId="4E2BE102" w:rsidR="00EF6011" w:rsidRDefault="004E7872" w:rsidP="00D4221D">
      <w:pPr>
        <w:pStyle w:val="BodyText"/>
        <w:jc w:val="left"/>
      </w:pPr>
      <w:r>
        <w:t xml:space="preserve">Irish Statute Book (ISB) </w:t>
      </w:r>
      <w:r w:rsidR="00EF6011">
        <w:t>(2025)</w:t>
      </w:r>
      <w:r w:rsidR="004963EB">
        <w:t>.</w:t>
      </w:r>
      <w:r w:rsidR="00EF6011">
        <w:t xml:space="preserve"> ‘</w:t>
      </w:r>
      <w:r w:rsidR="00691956">
        <w:t xml:space="preserve">2025 National Cyber Risk Assessment’. Available at: </w:t>
      </w:r>
      <w:hyperlink r:id="rId61" w:history="1">
        <w:r w:rsidR="00691956" w:rsidRPr="00092EAE">
          <w:rPr>
            <w:rStyle w:val="Hyperlink"/>
          </w:rPr>
          <w:t>https://assets.gov.ie/static/documents/46bd0747/NCSC-2025_National_Cyber_Risk_Assessment.pdf</w:t>
        </w:r>
      </w:hyperlink>
      <w:r w:rsidR="00691956">
        <w:t xml:space="preserve"> </w:t>
      </w:r>
    </w:p>
    <w:p w14:paraId="3B6F9FDF" w14:textId="77777777" w:rsidR="001E6071" w:rsidRDefault="001E6071" w:rsidP="00D4221D">
      <w:pPr>
        <w:pStyle w:val="BodyText"/>
        <w:jc w:val="left"/>
      </w:pPr>
      <w:r>
        <w:t xml:space="preserve">ISEP (formerly IEMA) (2020). Major Accidents and Disasters in EIA: A Primer. Available at: </w:t>
      </w:r>
      <w:hyperlink r:id="rId62" w:history="1">
        <w:r w:rsidRPr="00C60710">
          <w:rPr>
            <w:rStyle w:val="Hyperlink"/>
          </w:rPr>
          <w:t>https://www.hsa.ie/media/4oap0mec/tlup-guidance-feb-2023-final.pdf</w:t>
        </w:r>
      </w:hyperlink>
    </w:p>
    <w:p w14:paraId="4FA9ABE0" w14:textId="77777777" w:rsidR="007764C9" w:rsidRDefault="007764C9" w:rsidP="00D4221D">
      <w:pPr>
        <w:pStyle w:val="BodyText"/>
        <w:jc w:val="left"/>
      </w:pPr>
      <w:bookmarkStart w:id="102" w:name="_Ref164077416"/>
      <w:r>
        <w:t xml:space="preserve">SDCC (2022) South Dublin 2022-2028 County Development Plan. Available at: </w:t>
      </w:r>
      <w:hyperlink r:id="rId63" w:history="1">
        <w:r w:rsidRPr="00A24C16">
          <w:rPr>
            <w:rStyle w:val="Hyperlink"/>
          </w:rPr>
          <w:t>https://www.sdcc.ie/en/devplan2022/adopted-plan/county-development-plan-written-statement/county-development-plan-written-statement1.pdf</w:t>
        </w:r>
      </w:hyperlink>
    </w:p>
    <w:p w14:paraId="63413000" w14:textId="56BA99C3" w:rsidR="00007C41" w:rsidRDefault="00007C41" w:rsidP="00D4221D">
      <w:pPr>
        <w:pStyle w:val="BodyText"/>
        <w:jc w:val="left"/>
      </w:pPr>
      <w:proofErr w:type="spellStart"/>
      <w:r>
        <w:t>UKGov</w:t>
      </w:r>
      <w:proofErr w:type="spellEnd"/>
      <w:r>
        <w:t xml:space="preserve"> (2005). </w:t>
      </w:r>
      <w:r w:rsidRPr="00186483">
        <w:t>The Control of Major Accident Hazard (COMAH) Regulations 2015 (SI 2015/483</w:t>
      </w:r>
      <w:r>
        <w:t>)</w:t>
      </w:r>
      <w:r w:rsidRPr="00186483">
        <w:t xml:space="preserve">. Available at: </w:t>
      </w:r>
      <w:hyperlink r:id="rId64" w:history="1">
        <w:r w:rsidRPr="00186483">
          <w:rPr>
            <w:rStyle w:val="Hyperlink"/>
          </w:rPr>
          <w:t>https://www.legislation.gov.uk/uksi/2015/483/contents/made</w:t>
        </w:r>
      </w:hyperlink>
      <w:bookmarkEnd w:id="102"/>
    </w:p>
    <w:p w14:paraId="2535FD45" w14:textId="15125851" w:rsidR="005E1B92" w:rsidRDefault="005E1B92" w:rsidP="00D4221D">
      <w:pPr>
        <w:pStyle w:val="BodyText"/>
        <w:jc w:val="left"/>
      </w:pPr>
      <w:proofErr w:type="spellStart"/>
      <w:r>
        <w:t>UKGov</w:t>
      </w:r>
      <w:proofErr w:type="spellEnd"/>
      <w:r>
        <w:t xml:space="preserve"> </w:t>
      </w:r>
      <w:r w:rsidRPr="005E1B92">
        <w:t xml:space="preserve">(2002). The Control of Substances Hazardous to Health (COSHH) Regulations 2002 (SI 2002/2677). Available at: </w:t>
      </w:r>
      <w:hyperlink r:id="rId65" w:history="1">
        <w:r w:rsidRPr="00C60710">
          <w:rPr>
            <w:rStyle w:val="Hyperlink"/>
          </w:rPr>
          <w:t>https://www.legislation.gov.uk/uksi/2002/2677/contents/made</w:t>
        </w:r>
      </w:hyperlink>
      <w:r>
        <w:t xml:space="preserve"> </w:t>
      </w:r>
    </w:p>
    <w:p w14:paraId="5E0A04EF" w14:textId="50A06C50" w:rsidR="00D77593" w:rsidRDefault="00D77593" w:rsidP="00D4221D">
      <w:pPr>
        <w:pStyle w:val="BodyText"/>
        <w:jc w:val="left"/>
      </w:pPr>
    </w:p>
    <w:p w14:paraId="0FDD9835" w14:textId="77777777" w:rsidR="00BA7316" w:rsidRDefault="00BA7316" w:rsidP="00BA7316">
      <w:pPr>
        <w:pStyle w:val="Heading1"/>
        <w:numPr>
          <w:ilvl w:val="0"/>
          <w:numId w:val="0"/>
        </w:numPr>
        <w:ind w:left="850" w:hanging="850"/>
      </w:pPr>
      <w:r>
        <w:lastRenderedPageBreak/>
        <w:t xml:space="preserve">Non-Technical Summary </w:t>
      </w:r>
    </w:p>
    <w:p w14:paraId="4324EDF7" w14:textId="77777777" w:rsidR="00BA7316" w:rsidRPr="00C172ED" w:rsidRDefault="00BA7316" w:rsidP="00BA7316">
      <w:pPr>
        <w:tabs>
          <w:tab w:val="clear" w:pos="284"/>
        </w:tabs>
        <w:spacing w:line="240" w:lineRule="auto"/>
        <w:jc w:val="left"/>
        <w:rPr>
          <w:color w:val="FF0000"/>
        </w:rPr>
      </w:pPr>
      <w:r w:rsidRPr="00C172ED">
        <w:rPr>
          <w:color w:val="FF0000"/>
        </w:rPr>
        <w:t>Please note this section will be removed from each individual chapter and inserted the Volume 1 Non-Technical Summary.</w:t>
      </w:r>
    </w:p>
    <w:p w14:paraId="47E86BA3" w14:textId="77777777" w:rsidR="00D4406B" w:rsidRDefault="00D4406B" w:rsidP="00BA7316">
      <w:pPr>
        <w:tabs>
          <w:tab w:val="clear" w:pos="284"/>
        </w:tabs>
        <w:spacing w:line="240" w:lineRule="auto"/>
        <w:jc w:val="left"/>
        <w:rPr>
          <w:color w:val="FF0000"/>
        </w:rPr>
      </w:pPr>
    </w:p>
    <w:p w14:paraId="12008656" w14:textId="19F1956C" w:rsidR="00BD629B" w:rsidRDefault="00F73D0D" w:rsidP="00BD629B">
      <w:pPr>
        <w:pStyle w:val="BodyText"/>
      </w:pPr>
      <w:r w:rsidRPr="00F23B69">
        <w:t>Chapter 1</w:t>
      </w:r>
      <w:r w:rsidR="00257C5A">
        <w:t xml:space="preserve">5 </w:t>
      </w:r>
      <w:r w:rsidRPr="00F23B69">
        <w:t xml:space="preserve">considers the risks to the Proposed Development from major accidents or natural disasters </w:t>
      </w:r>
      <w:r w:rsidR="00BD629B" w:rsidRPr="00F23B69">
        <w:t>from existing sources of hazard. It also assesses the risk of the Proposed Development introducing a new hazard to the existing environment</w:t>
      </w:r>
      <w:r w:rsidR="00BD629B">
        <w:t>.</w:t>
      </w:r>
    </w:p>
    <w:p w14:paraId="392E54AE" w14:textId="77777777" w:rsidR="00BD629B" w:rsidRDefault="00BD629B" w:rsidP="00BD629B">
      <w:pPr>
        <w:pStyle w:val="BodyText"/>
      </w:pPr>
      <w:r>
        <w:t>Major Accidents and Disasters (</w:t>
      </w:r>
      <w:r w:rsidRPr="0035700B">
        <w:t>MA&amp;Ds</w:t>
      </w:r>
      <w:r>
        <w:t>)</w:t>
      </w:r>
      <w:r w:rsidRPr="0035700B">
        <w:t xml:space="preserve"> are incidents which can result in immediate or delayed significant harm to human health and</w:t>
      </w:r>
      <w:r>
        <w:t xml:space="preserve">/ </w:t>
      </w:r>
      <w:r w:rsidRPr="0035700B">
        <w:t>or the environment and require the use of resources beyond those of the proposed developer or its contractors to manage, such as the emergency services. In the context of this assessment, major accidents are typically anthropogenic in nature and include for example, the accidental loss of containment of significant quantities of dangerous substances such as natural gas and gas oil, leading to fires and</w:t>
      </w:r>
      <w:r>
        <w:t xml:space="preserve">/ </w:t>
      </w:r>
      <w:r w:rsidRPr="0035700B">
        <w:t>or explosions. Disasters are typically naturally occurring events, such as earthquakes, landslides and flooding, and can also include manmade or external hazards such as acts of terrorism.</w:t>
      </w:r>
    </w:p>
    <w:p w14:paraId="41735CF8" w14:textId="77777777" w:rsidR="00BD629B" w:rsidRDefault="00BD629B" w:rsidP="00BD629B">
      <w:pPr>
        <w:pStyle w:val="Heading3"/>
      </w:pPr>
      <w:bookmarkStart w:id="103" w:name="_Toc216119484"/>
      <w:r>
        <w:t>Hazardous Substances and Operations</w:t>
      </w:r>
      <w:bookmarkEnd w:id="103"/>
    </w:p>
    <w:p w14:paraId="01C2740F" w14:textId="6595BD33" w:rsidR="00BD629B" w:rsidRDefault="00BD629B" w:rsidP="00BD629B">
      <w:pPr>
        <w:pStyle w:val="BodyText"/>
      </w:pPr>
      <w:r w:rsidRPr="007A655D">
        <w:t>The identification of potential MA&amp;Ds during construction considers the substances which will be present, and the typical activities associated with the works, such as ground preparation, excavation and construction of buildings</w:t>
      </w:r>
      <w:r>
        <w:t xml:space="preserve">. This includes construction materials such </w:t>
      </w:r>
      <w:r w:rsidRPr="00C8002A">
        <w:t>as liquid concrete,</w:t>
      </w:r>
      <w:r>
        <w:t xml:space="preserve"> d</w:t>
      </w:r>
      <w:r w:rsidRPr="00C8002A">
        <w:t>iesel fuel</w:t>
      </w:r>
      <w:r>
        <w:t>, and a</w:t>
      </w:r>
      <w:r w:rsidRPr="00C8002A">
        <w:t>cetylene gas stored in compressed gas cylinders</w:t>
      </w:r>
      <w:r>
        <w:t>. Additionally, specific construction works have hazards that could potentially lead to a MA&amp;Ds, including Works required to connect electrical power generated at and e</w:t>
      </w:r>
      <w:r w:rsidRPr="00C8002A">
        <w:t>xcavation, and construction of buildings and other structures will require the use of vehicles</w:t>
      </w:r>
      <w:r>
        <w:t>.</w:t>
      </w:r>
    </w:p>
    <w:p w14:paraId="1BEB0E63" w14:textId="174E5F6B" w:rsidR="00BD629B" w:rsidRPr="00556904" w:rsidRDefault="00BD629B" w:rsidP="00BD629B">
      <w:pPr>
        <w:pStyle w:val="BodyText"/>
      </w:pPr>
      <w:r>
        <w:t xml:space="preserve">During operation, the presence of potentially dangerous substances, such as flammable materials and substances toxic to human health and/ or the environment, could lead to potential Major Accidents. The Proposed Development will be used for </w:t>
      </w:r>
      <w:r w:rsidR="00476346">
        <w:t xml:space="preserve">residential housing and new GAA </w:t>
      </w:r>
      <w:r w:rsidR="001C1412">
        <w:t>pitches</w:t>
      </w:r>
      <w:r>
        <w:t xml:space="preserve">. It can be expected that there will be no hazardous substances which will be stored or used during the operational phase of the Proposed Development. Therefore, this assessment only considers major accidents </w:t>
      </w:r>
      <w:proofErr w:type="gramStart"/>
      <w:r>
        <w:t>as a result of</w:t>
      </w:r>
      <w:proofErr w:type="gramEnd"/>
      <w:r>
        <w:t xml:space="preserve"> operational activities carried out on site and disasters such as external hazards and natural hazards.</w:t>
      </w:r>
    </w:p>
    <w:p w14:paraId="71CE756C" w14:textId="77777777" w:rsidR="00BD629B" w:rsidRDefault="00BD629B" w:rsidP="00BD629B">
      <w:pPr>
        <w:pStyle w:val="Heading3"/>
      </w:pPr>
      <w:bookmarkStart w:id="104" w:name="_Toc216119485"/>
      <w:r>
        <w:t>Identification of Potential Accidents</w:t>
      </w:r>
      <w:bookmarkEnd w:id="104"/>
    </w:p>
    <w:p w14:paraId="187B976A" w14:textId="7E098B55" w:rsidR="00BD629B" w:rsidRDefault="00BD629B" w:rsidP="00BD629B">
      <w:pPr>
        <w:pStyle w:val="BodyText"/>
      </w:pPr>
      <w:r>
        <w:t>As the Proposed Development does not propose to store hazardous materials. Therefore, potential accidents are associated with construction only. Chapter 1</w:t>
      </w:r>
      <w:r w:rsidR="00F67D5A">
        <w:t>5</w:t>
      </w:r>
      <w:r>
        <w:t xml:space="preserve"> t</w:t>
      </w:r>
      <w:r w:rsidRPr="003C532A">
        <w:t>able</w:t>
      </w:r>
      <w:r>
        <w:t xml:space="preserve"> 1</w:t>
      </w:r>
      <w:r w:rsidR="00870995">
        <w:t>5</w:t>
      </w:r>
      <w:r>
        <w:t>-</w:t>
      </w:r>
      <w:r w:rsidR="00870995">
        <w:t>3</w:t>
      </w:r>
      <w:r>
        <w:t xml:space="preserve"> </w:t>
      </w:r>
      <w:r w:rsidRPr="00E12A95">
        <w:t xml:space="preserve">contains a review of the potential accident scenarios which involves the substances used during </w:t>
      </w:r>
      <w:r>
        <w:t xml:space="preserve">all </w:t>
      </w:r>
      <w:r w:rsidRPr="00E12A95">
        <w:t xml:space="preserve">the </w:t>
      </w:r>
      <w:r>
        <w:t>phases of the Proposed Development</w:t>
      </w:r>
      <w:r w:rsidRPr="00E12A95">
        <w:t xml:space="preserve">, identifying </w:t>
      </w:r>
      <w:proofErr w:type="gramStart"/>
      <w:r w:rsidRPr="00E12A95">
        <w:t>the means by which</w:t>
      </w:r>
      <w:proofErr w:type="gramEnd"/>
      <w:r w:rsidRPr="00E12A95">
        <w:t xml:space="preserve"> a loss of containment may occur and assessing the likely significance of a release on human health, safety and the environment. </w:t>
      </w:r>
    </w:p>
    <w:p w14:paraId="586C75A1" w14:textId="77777777" w:rsidR="00BD629B" w:rsidRDefault="00BD629B" w:rsidP="00BD629B">
      <w:pPr>
        <w:pStyle w:val="Heading3"/>
      </w:pPr>
      <w:bookmarkStart w:id="105" w:name="_Toc216119486"/>
      <w:r>
        <w:t>Identification of Potential Disasters</w:t>
      </w:r>
      <w:bookmarkEnd w:id="105"/>
    </w:p>
    <w:p w14:paraId="53E97D33" w14:textId="2DCDEC46" w:rsidR="00BD629B" w:rsidRDefault="00BD629B" w:rsidP="00BD629B">
      <w:pPr>
        <w:pStyle w:val="BodyText"/>
      </w:pPr>
      <w:r>
        <w:t xml:space="preserve">Taking into consideration the likelihood and consequences following the inclusion of mitigating measures, the overall risk of disasters occurring at the Proposed Development </w:t>
      </w:r>
      <w:proofErr w:type="gramStart"/>
      <w:r>
        <w:t>is considered to be</w:t>
      </w:r>
      <w:proofErr w:type="gramEnd"/>
      <w:r>
        <w:t xml:space="preserve"> very low but cannot be </w:t>
      </w:r>
      <w:proofErr w:type="gramStart"/>
      <w:r>
        <w:t>entirely eliminated</w:t>
      </w:r>
      <w:proofErr w:type="gramEnd"/>
      <w:r>
        <w:t xml:space="preserve">. Consequently, additional measures associated with management of the Site </w:t>
      </w:r>
      <w:r w:rsidR="00E000B7">
        <w:t xml:space="preserve">during construction </w:t>
      </w:r>
      <w:r>
        <w:t xml:space="preserve">such as accident prevention plans and emergency response procedures will be in place prior to </w:t>
      </w:r>
      <w:r w:rsidR="00E000B7">
        <w:t>construction commencement</w:t>
      </w:r>
      <w:r>
        <w:t xml:space="preserve"> These measures further reduce the risk and the consequences of disasters and are summarise</w:t>
      </w:r>
      <w:r w:rsidRPr="0058497A">
        <w:t xml:space="preserve">d in </w:t>
      </w:r>
      <w:r>
        <w:t>Chapter 1</w:t>
      </w:r>
      <w:r w:rsidR="00E000B7">
        <w:t>5</w:t>
      </w:r>
      <w:r>
        <w:t xml:space="preserve">, </w:t>
      </w:r>
      <w:r w:rsidRPr="00096ADC">
        <w:t>Section</w:t>
      </w:r>
      <w:r w:rsidRPr="0058497A">
        <w:t xml:space="preserve"> 1</w:t>
      </w:r>
      <w:r w:rsidR="00BB7A8F">
        <w:t>5</w:t>
      </w:r>
      <w:r w:rsidRPr="0058497A">
        <w:t>.6</w:t>
      </w:r>
      <w:r>
        <w:t>.</w:t>
      </w:r>
    </w:p>
    <w:p w14:paraId="3F74F3F4" w14:textId="77777777" w:rsidR="00BD629B" w:rsidRDefault="00BD629B" w:rsidP="00BD629B">
      <w:pPr>
        <w:pStyle w:val="Heading3"/>
      </w:pPr>
      <w:bookmarkStart w:id="106" w:name="_Toc215145901"/>
      <w:bookmarkStart w:id="107" w:name="_Toc216119487"/>
      <w:r>
        <w:t>Assessment of Major Accidents and Disasters</w:t>
      </w:r>
      <w:bookmarkEnd w:id="106"/>
      <w:bookmarkEnd w:id="107"/>
    </w:p>
    <w:p w14:paraId="04BFBD19" w14:textId="25E8BE79" w:rsidR="00BD629B" w:rsidRDefault="00BD629B" w:rsidP="00BD629B">
      <w:pPr>
        <w:pStyle w:val="BodyText"/>
      </w:pPr>
      <w:r>
        <w:t>The conclusions of the assessment of substances contained in Chapter 1</w:t>
      </w:r>
      <w:r w:rsidR="007739EB">
        <w:t>5</w:t>
      </w:r>
      <w:r>
        <w:t>, Section 1</w:t>
      </w:r>
      <w:r w:rsidR="007739EB">
        <w:t>5</w:t>
      </w:r>
      <w:r>
        <w:t xml:space="preserve">.5.2 and </w:t>
      </w:r>
      <w:r w:rsidRPr="00546F9A">
        <w:t>Table</w:t>
      </w:r>
      <w:r w:rsidRPr="00206ADD">
        <w:t xml:space="preserve"> 1</w:t>
      </w:r>
      <w:r w:rsidR="007739EB">
        <w:t>5</w:t>
      </w:r>
      <w:r w:rsidRPr="00206ADD">
        <w:t>-</w:t>
      </w:r>
      <w:r w:rsidR="007739EB">
        <w:t>3</w:t>
      </w:r>
      <w:r>
        <w:t>,</w:t>
      </w:r>
      <w:r w:rsidR="009013C7">
        <w:t xml:space="preserve"> </w:t>
      </w:r>
      <w:r>
        <w:t>are that there are no materials which will be present at the Proposed Development with the potential to initiate a credible major accident scenario.</w:t>
      </w:r>
    </w:p>
    <w:p w14:paraId="4AC6194F" w14:textId="6ECBF4A3" w:rsidR="00BD629B" w:rsidRDefault="00BD629B" w:rsidP="005442C3">
      <w:pPr>
        <w:pStyle w:val="BodyText"/>
      </w:pPr>
      <w:r>
        <w:t>The potential disaster scenarios which are credible for the Proposed Development have been identified in Chapter 1</w:t>
      </w:r>
      <w:r w:rsidR="00D71CBA">
        <w:t>5</w:t>
      </w:r>
      <w:r>
        <w:t xml:space="preserve">, </w:t>
      </w:r>
      <w:r w:rsidRPr="00546F9A">
        <w:t>Table</w:t>
      </w:r>
      <w:r>
        <w:t xml:space="preserve"> 1</w:t>
      </w:r>
      <w:r w:rsidR="00D71CBA">
        <w:t>5</w:t>
      </w:r>
      <w:r>
        <w:t>-</w:t>
      </w:r>
      <w:r w:rsidR="00D71CBA">
        <w:t>4</w:t>
      </w:r>
      <w:r w:rsidRPr="00546F9A">
        <w:t>.</w:t>
      </w:r>
      <w:r>
        <w:t xml:space="preserve"> This assessment has identified </w:t>
      </w:r>
      <w:r w:rsidR="009013C7">
        <w:t>o</w:t>
      </w:r>
      <w:r w:rsidR="00D71CBA" w:rsidRPr="00F63503">
        <w:t xml:space="preserve">nly one credible scenario </w:t>
      </w:r>
      <w:r w:rsidR="000579F8">
        <w:t xml:space="preserve">relating to </w:t>
      </w:r>
      <w:r w:rsidR="00D71CBA">
        <w:t>an i</w:t>
      </w:r>
      <w:r w:rsidR="00D71CBA" w:rsidRPr="00F52FBD">
        <w:t>ndustrial accident at Dascher Ireland storage facility which could result in damage to the Proposed Development through a domino effect.</w:t>
      </w:r>
      <w:r w:rsidR="00D71CBA" w:rsidRPr="00F63503">
        <w:t xml:space="preserve"> </w:t>
      </w:r>
      <w:r>
        <w:t>This ‘Domino Effect’ scenario has been defined as Risk Event 1.</w:t>
      </w:r>
    </w:p>
    <w:p w14:paraId="2CC5D281" w14:textId="44EB8AA1" w:rsidR="00BD629B" w:rsidRDefault="00BD629B" w:rsidP="00BD629B">
      <w:pPr>
        <w:pStyle w:val="BodyText"/>
      </w:pPr>
      <w:r>
        <w:lastRenderedPageBreak/>
        <w:t>Risk Events are assessed in further detail within Chapter 1</w:t>
      </w:r>
      <w:r w:rsidR="000579F8">
        <w:t>5</w:t>
      </w:r>
      <w:r>
        <w:t xml:space="preserve">, </w:t>
      </w:r>
      <w:r w:rsidRPr="00F8640F">
        <w:t>Table 1</w:t>
      </w:r>
      <w:r w:rsidR="000579F8">
        <w:t>5</w:t>
      </w:r>
      <w:r w:rsidRPr="00F8640F">
        <w:t>-</w:t>
      </w:r>
      <w:r w:rsidR="00C9383A">
        <w:t>6</w:t>
      </w:r>
      <w:r w:rsidRPr="00F8640F">
        <w:t>,</w:t>
      </w:r>
      <w:r>
        <w:t xml:space="preserve"> where the measures which will be taken to prevent and mitigate these are considered.</w:t>
      </w:r>
    </w:p>
    <w:p w14:paraId="3C295A6F" w14:textId="77777777" w:rsidR="00BD629B" w:rsidRDefault="00BD629B" w:rsidP="00BD629B">
      <w:pPr>
        <w:pStyle w:val="Heading3"/>
      </w:pPr>
      <w:bookmarkStart w:id="108" w:name="_Toc216119488"/>
      <w:r>
        <w:t>Residual Impacts</w:t>
      </w:r>
      <w:bookmarkEnd w:id="108"/>
    </w:p>
    <w:p w14:paraId="197F1750" w14:textId="77777777" w:rsidR="00BD629B" w:rsidRPr="00CD4F3D" w:rsidRDefault="00BD629B" w:rsidP="00BD629B">
      <w:pPr>
        <w:pStyle w:val="BodyText"/>
        <w:keepLines/>
      </w:pPr>
      <w:r w:rsidRPr="00D07120">
        <w:t xml:space="preserve">This assessment of MA&amp;Ds has identified the potential for major hazards to occur at sensitive receptors, such as a fire caused by damage or failure of </w:t>
      </w:r>
      <w:r>
        <w:t>containment systems</w:t>
      </w:r>
      <w:r w:rsidRPr="00D07120">
        <w:t>. These events have significant consequences; however, the likelihood will be extremely low due to measures such as the engineering design of assets and protective systems.</w:t>
      </w:r>
      <w:r>
        <w:t xml:space="preserve"> These measures are considered sufficient such that all risks are at a manageable level, therefore no </w:t>
      </w:r>
      <w:r w:rsidRPr="00AE0F09">
        <w:t>additional mitigation measures are proposed</w:t>
      </w:r>
      <w:r>
        <w:t>.</w:t>
      </w:r>
    </w:p>
    <w:p w14:paraId="06B44435" w14:textId="77777777" w:rsidR="00D4406B" w:rsidRPr="00C172ED" w:rsidRDefault="00D4406B" w:rsidP="00BA7316">
      <w:pPr>
        <w:tabs>
          <w:tab w:val="clear" w:pos="284"/>
        </w:tabs>
        <w:spacing w:line="240" w:lineRule="auto"/>
        <w:jc w:val="left"/>
        <w:rPr>
          <w:color w:val="FF0000"/>
        </w:rPr>
      </w:pPr>
    </w:p>
    <w:p w14:paraId="37A01F1B" w14:textId="77777777" w:rsidR="00BA7316" w:rsidRDefault="00BA7316" w:rsidP="00BA7316">
      <w:pPr>
        <w:pStyle w:val="Heading1"/>
        <w:numPr>
          <w:ilvl w:val="0"/>
          <w:numId w:val="0"/>
        </w:numPr>
      </w:pPr>
      <w:r>
        <w:lastRenderedPageBreak/>
        <w:t>Summary of Cumulative Impacts and Interactions</w:t>
      </w:r>
    </w:p>
    <w:p w14:paraId="14D62880" w14:textId="77777777" w:rsidR="00BA7316" w:rsidRPr="00C172ED" w:rsidRDefault="00BA7316" w:rsidP="00BA7316">
      <w:pPr>
        <w:tabs>
          <w:tab w:val="clear" w:pos="284"/>
        </w:tabs>
        <w:spacing w:line="240" w:lineRule="auto"/>
        <w:jc w:val="left"/>
        <w:rPr>
          <w:color w:val="FF0000"/>
        </w:rPr>
      </w:pPr>
      <w:r w:rsidRPr="00C172ED">
        <w:rPr>
          <w:color w:val="FF0000"/>
        </w:rPr>
        <w:t>Please note this section will be removed from each individual chapter and inserted into Chapter 17 (Summary of Cumulative Impacts and Interactions) (Volume 1).</w:t>
      </w:r>
    </w:p>
    <w:p w14:paraId="3C7A969A" w14:textId="77777777" w:rsidR="000D3FE9" w:rsidRDefault="000D3FE9" w:rsidP="00BA7316">
      <w:pPr>
        <w:tabs>
          <w:tab w:val="clear" w:pos="284"/>
        </w:tabs>
        <w:spacing w:line="240" w:lineRule="auto"/>
        <w:jc w:val="left"/>
        <w:rPr>
          <w:color w:val="FF0000"/>
        </w:rPr>
      </w:pPr>
    </w:p>
    <w:p w14:paraId="28EBAFFE" w14:textId="77777777" w:rsidR="000D3FE9" w:rsidRDefault="000D3FE9" w:rsidP="000D3FE9">
      <w:pPr>
        <w:pStyle w:val="BodyText"/>
      </w:pPr>
      <w:r w:rsidRPr="00F63503">
        <w:t>The potential for interactions between MA&amp;D effects and other environmental topics is limited. Only one credible scenario was identified (</w:t>
      </w:r>
      <w:r>
        <w:t>an i</w:t>
      </w:r>
      <w:r w:rsidRPr="00F52FBD">
        <w:t>ndustrial accident at Dascher Ireland storage facility which could result in damage to the Proposed Development through a domino effect</w:t>
      </w:r>
      <w:r>
        <w:t>)</w:t>
      </w:r>
      <w:r w:rsidRPr="00F52FBD">
        <w:t>.</w:t>
      </w:r>
      <w:r w:rsidRPr="00F63503">
        <w:t xml:space="preserve"> The interactions are therefore narrow in scope and occur only under a worst-case external event.</w:t>
      </w:r>
    </w:p>
    <w:p w14:paraId="7C58FE68" w14:textId="77777777" w:rsidR="000D3FE9" w:rsidRDefault="000D3FE9" w:rsidP="00BA7316">
      <w:pPr>
        <w:tabs>
          <w:tab w:val="clear" w:pos="284"/>
        </w:tabs>
        <w:spacing w:line="240" w:lineRule="auto"/>
        <w:jc w:val="left"/>
        <w:rPr>
          <w:color w:val="FF0000"/>
        </w:rPr>
      </w:pPr>
    </w:p>
    <w:p w14:paraId="54E537D1" w14:textId="77D04248" w:rsidR="00816288" w:rsidRDefault="006668E4" w:rsidP="005442C3">
      <w:pPr>
        <w:tabs>
          <w:tab w:val="clear" w:pos="284"/>
        </w:tabs>
        <w:spacing w:line="240" w:lineRule="auto"/>
        <w:jc w:val="left"/>
      </w:pPr>
      <w:r>
        <w:rPr>
          <w:b/>
          <w:bCs/>
          <w:color w:val="FF0000"/>
        </w:rPr>
        <w:t xml:space="preserve">Construction - </w:t>
      </w:r>
      <w:r w:rsidR="00816288">
        <w:t>Major Accidents and Disasters</w:t>
      </w:r>
    </w:p>
    <w:p w14:paraId="733F1DF8" w14:textId="77777777" w:rsidR="00816288" w:rsidRDefault="00816288" w:rsidP="005442C3">
      <w:pPr>
        <w:pStyle w:val="ListBullet"/>
        <w:numPr>
          <w:ilvl w:val="0"/>
          <w:numId w:val="50"/>
        </w:numPr>
      </w:pPr>
      <w:r w:rsidRPr="00A171CB">
        <w:rPr>
          <w:b/>
          <w:bCs/>
        </w:rPr>
        <w:t>Traffic and Transport</w:t>
      </w:r>
      <w:r>
        <w:t>: Emergency access/egress requirements could interact with temporary construction traffic management arrangements.</w:t>
      </w:r>
    </w:p>
    <w:p w14:paraId="576D9613" w14:textId="77777777" w:rsidR="00816288" w:rsidRDefault="00816288" w:rsidP="005442C3">
      <w:pPr>
        <w:pStyle w:val="ListBullet"/>
        <w:numPr>
          <w:ilvl w:val="0"/>
          <w:numId w:val="50"/>
        </w:numPr>
      </w:pPr>
      <w:r w:rsidRPr="00A171CB">
        <w:rPr>
          <w:b/>
          <w:bCs/>
        </w:rPr>
        <w:t>Noise and Vibration</w:t>
      </w:r>
      <w:r>
        <w:t>: Emergency response (e.g., vehicles, alarms) could temporarily increase noise emissions.</w:t>
      </w:r>
    </w:p>
    <w:p w14:paraId="22232ECC" w14:textId="77777777" w:rsidR="00816288" w:rsidRDefault="00816288" w:rsidP="005442C3">
      <w:pPr>
        <w:pStyle w:val="ListBullet"/>
        <w:numPr>
          <w:ilvl w:val="0"/>
          <w:numId w:val="50"/>
        </w:numPr>
      </w:pPr>
      <w:r w:rsidRPr="00A171CB">
        <w:rPr>
          <w:b/>
          <w:bCs/>
        </w:rPr>
        <w:t>Air Quality</w:t>
      </w:r>
      <w:r>
        <w:t>: Emergency response could temporarily increase air emissions.</w:t>
      </w:r>
    </w:p>
    <w:p w14:paraId="3AC6FE0F" w14:textId="77777777" w:rsidR="00816288" w:rsidRDefault="00816288" w:rsidP="005442C3">
      <w:pPr>
        <w:pStyle w:val="ListBullet"/>
        <w:numPr>
          <w:ilvl w:val="0"/>
          <w:numId w:val="50"/>
        </w:numPr>
      </w:pPr>
      <w:r w:rsidRPr="00A171CB">
        <w:rPr>
          <w:b/>
          <w:bCs/>
        </w:rPr>
        <w:t xml:space="preserve">Population </w:t>
      </w:r>
      <w:r>
        <w:rPr>
          <w:b/>
          <w:bCs/>
        </w:rPr>
        <w:t>and</w:t>
      </w:r>
      <w:r w:rsidRPr="00A171CB">
        <w:rPr>
          <w:b/>
          <w:bCs/>
        </w:rPr>
        <w:t xml:space="preserve"> Human Health</w:t>
      </w:r>
      <w:r>
        <w:t>: Emergency procedures may interact with local community receptors through temporary movement restrictions or warnings.</w:t>
      </w:r>
    </w:p>
    <w:p w14:paraId="7F0D56E5" w14:textId="6F2248A2" w:rsidR="00816288" w:rsidRDefault="00816288" w:rsidP="00816288">
      <w:pPr>
        <w:pStyle w:val="ListBullet"/>
        <w:tabs>
          <w:tab w:val="clear" w:pos="425"/>
        </w:tabs>
        <w:ind w:left="0" w:firstLine="1"/>
      </w:pPr>
      <w:r w:rsidRPr="004F4361">
        <w:t>Overall, while several construction activities</w:t>
      </w:r>
      <w:r w:rsidR="000D3FE9">
        <w:t xml:space="preserve"> may</w:t>
      </w:r>
      <w:r w:rsidRPr="004F4361">
        <w:t xml:space="preserve"> occur concurrently and give rise to overlapping pathways</w:t>
      </w:r>
      <w:r>
        <w:t xml:space="preserve">, </w:t>
      </w:r>
      <w:r w:rsidRPr="004F4361">
        <w:t>such as dust, noise, vibration, traffic movements, earthworks, drainage works and temporary visual change</w:t>
      </w:r>
      <w:r>
        <w:t xml:space="preserve">, </w:t>
      </w:r>
      <w:r w:rsidRPr="004F4361">
        <w:t xml:space="preserve">the relevant topic chapters confirm that all construction-phase effects are either Not Significant or become Not Significant with embedded and additional mitigation secured through the oCEMP and Contractor’s CEMP. No chapter identifies any residual Significant effect that would combine with another environmental topic to produce a greater in-combination impact. Accordingly, the construction-phase interactions identified across the EIAR do not lead to any additional or heightened environmental effects beyond those assessed in the individual chapters, and the overall in-combination construction impacts of the Proposed Development are assessed as </w:t>
      </w:r>
      <w:r w:rsidRPr="00A171CB">
        <w:rPr>
          <w:b/>
          <w:bCs/>
        </w:rPr>
        <w:t>Not Significant</w:t>
      </w:r>
      <w:r w:rsidRPr="004F4361">
        <w:t>.</w:t>
      </w:r>
    </w:p>
    <w:p w14:paraId="7BD4B940" w14:textId="77777777" w:rsidR="000D3FE9" w:rsidRDefault="000D3FE9" w:rsidP="00816288">
      <w:pPr>
        <w:pStyle w:val="ListBullet"/>
        <w:tabs>
          <w:tab w:val="clear" w:pos="425"/>
        </w:tabs>
        <w:ind w:left="0" w:firstLine="1"/>
      </w:pPr>
    </w:p>
    <w:p w14:paraId="16501A2C" w14:textId="77777777" w:rsidR="00816288" w:rsidRPr="00C172ED" w:rsidRDefault="00816288" w:rsidP="00BA7316">
      <w:pPr>
        <w:tabs>
          <w:tab w:val="clear" w:pos="284"/>
        </w:tabs>
        <w:spacing w:line="240" w:lineRule="auto"/>
        <w:jc w:val="left"/>
        <w:rPr>
          <w:color w:val="FF0000"/>
        </w:rPr>
      </w:pPr>
    </w:p>
    <w:p w14:paraId="50571683" w14:textId="77777777" w:rsidR="00BA7316" w:rsidRDefault="00BA7316" w:rsidP="00BA7316">
      <w:pPr>
        <w:pStyle w:val="Heading1"/>
        <w:numPr>
          <w:ilvl w:val="0"/>
          <w:numId w:val="0"/>
        </w:numPr>
        <w:ind w:left="850" w:hanging="850"/>
      </w:pPr>
      <w:r>
        <w:lastRenderedPageBreak/>
        <w:t>Summary of Mitigation and Monitoring</w:t>
      </w:r>
    </w:p>
    <w:p w14:paraId="3807795B" w14:textId="77777777" w:rsidR="00BA7316" w:rsidRPr="00DC0881" w:rsidRDefault="00BA7316" w:rsidP="00BA7316">
      <w:pPr>
        <w:tabs>
          <w:tab w:val="clear" w:pos="284"/>
        </w:tabs>
        <w:spacing w:line="240" w:lineRule="auto"/>
        <w:jc w:val="left"/>
        <w:rPr>
          <w:color w:val="FF0000"/>
        </w:rPr>
      </w:pPr>
      <w:r w:rsidRPr="00DC0881">
        <w:rPr>
          <w:color w:val="FF0000"/>
        </w:rPr>
        <w:t>Please note this section will be removed from each individual chapter and inserted into Chapter 18 (Summary of Mitigation and Monitoring) (Volume 1).</w:t>
      </w:r>
    </w:p>
    <w:p w14:paraId="6D29D09A" w14:textId="77777777" w:rsidR="0030407D" w:rsidRDefault="0030407D" w:rsidP="00BA7316">
      <w:pPr>
        <w:tabs>
          <w:tab w:val="clear" w:pos="284"/>
        </w:tabs>
        <w:spacing w:line="240" w:lineRule="auto"/>
        <w:jc w:val="left"/>
        <w:rPr>
          <w:color w:val="FF0000"/>
        </w:rPr>
      </w:pPr>
    </w:p>
    <w:p w14:paraId="30BC3F65" w14:textId="77777777" w:rsidR="00795C17" w:rsidRPr="00DC0881" w:rsidRDefault="00795C17" w:rsidP="00BA7316">
      <w:pPr>
        <w:tabs>
          <w:tab w:val="clear" w:pos="284"/>
        </w:tabs>
        <w:spacing w:line="240" w:lineRule="auto"/>
        <w:jc w:val="left"/>
        <w:rPr>
          <w:color w:val="FF0000"/>
        </w:rPr>
      </w:pPr>
    </w:p>
    <w:p w14:paraId="50695473" w14:textId="00ED27D9" w:rsidR="00F446DD" w:rsidRDefault="00F446DD" w:rsidP="00F446DD">
      <w:pPr>
        <w:tabs>
          <w:tab w:val="clear" w:pos="284"/>
        </w:tabs>
        <w:spacing w:line="240" w:lineRule="auto"/>
        <w:jc w:val="left"/>
        <w:rPr>
          <w:color w:val="FF0000"/>
        </w:rPr>
      </w:pPr>
      <w:r>
        <w:rPr>
          <w:color w:val="FF0000"/>
        </w:rPr>
        <w:t>Pre-Construction</w:t>
      </w:r>
    </w:p>
    <w:p w14:paraId="73D993EB" w14:textId="77777777" w:rsidR="00F446DD" w:rsidRDefault="00F446DD" w:rsidP="00F446DD">
      <w:pPr>
        <w:tabs>
          <w:tab w:val="clear" w:pos="284"/>
        </w:tabs>
        <w:spacing w:line="240" w:lineRule="auto"/>
        <w:jc w:val="left"/>
        <w:rPr>
          <w:color w:val="FF0000"/>
        </w:rPr>
      </w:pPr>
    </w:p>
    <w:tbl>
      <w:tblPr>
        <w:tblStyle w:val="AECOMtable"/>
        <w:tblW w:w="5000" w:type="pct"/>
        <w:tblInd w:w="-1" w:type="dxa"/>
        <w:tblLayout w:type="fixed"/>
        <w:tblCellMar>
          <w:right w:w="57" w:type="dxa"/>
        </w:tblCellMar>
        <w:tblLook w:val="04A0" w:firstRow="1" w:lastRow="0" w:firstColumn="1" w:lastColumn="0" w:noHBand="0" w:noVBand="1"/>
      </w:tblPr>
      <w:tblGrid>
        <w:gridCol w:w="734"/>
        <w:gridCol w:w="1387"/>
        <w:gridCol w:w="7233"/>
      </w:tblGrid>
      <w:tr w:rsidR="00F446DD" w:rsidRPr="00CE4840" w14:paraId="79590E4C" w14:textId="77777777" w:rsidTr="001D439E">
        <w:trPr>
          <w:cnfStyle w:val="100000000000" w:firstRow="1" w:lastRow="0" w:firstColumn="0" w:lastColumn="0" w:oddVBand="0" w:evenVBand="0" w:oddHBand="0" w:evenHBand="0" w:firstRowFirstColumn="0" w:firstRowLastColumn="0" w:lastRowFirstColumn="0" w:lastRowLastColumn="0"/>
          <w:trHeight w:val="318"/>
          <w:tblHeader/>
        </w:trPr>
        <w:tc>
          <w:tcPr>
            <w:tcW w:w="734" w:type="dxa"/>
          </w:tcPr>
          <w:p w14:paraId="7D0C9DE5" w14:textId="77777777" w:rsidR="00F446DD" w:rsidRDefault="00F446DD" w:rsidP="006D5543">
            <w:pPr>
              <w:pStyle w:val="Tabletext"/>
              <w:ind w:right="57"/>
              <w:jc w:val="left"/>
            </w:pPr>
            <w:r>
              <w:t xml:space="preserve">Reference </w:t>
            </w:r>
          </w:p>
        </w:tc>
        <w:tc>
          <w:tcPr>
            <w:tcW w:w="1387" w:type="dxa"/>
          </w:tcPr>
          <w:p w14:paraId="68126063" w14:textId="77777777" w:rsidR="00F446DD" w:rsidRDefault="00F446DD" w:rsidP="006D5543">
            <w:pPr>
              <w:pStyle w:val="Tabletext"/>
              <w:ind w:right="57"/>
              <w:jc w:val="left"/>
            </w:pPr>
            <w:r>
              <w:t>Relevant Topic</w:t>
            </w:r>
          </w:p>
        </w:tc>
        <w:tc>
          <w:tcPr>
            <w:tcW w:w="7233" w:type="dxa"/>
          </w:tcPr>
          <w:p w14:paraId="24089C18" w14:textId="77777777" w:rsidR="00F446DD" w:rsidRPr="00CE4840" w:rsidRDefault="00F446DD" w:rsidP="006D5543">
            <w:pPr>
              <w:pStyle w:val="Tabletext"/>
              <w:ind w:right="57"/>
              <w:jc w:val="left"/>
            </w:pPr>
            <w:r>
              <w:t>Mitigation Measures/ Environmental Commitments</w:t>
            </w:r>
          </w:p>
        </w:tc>
      </w:tr>
      <w:tr w:rsidR="00F446DD" w:rsidRPr="00DC5344" w14:paraId="065E5BF5" w14:textId="77777777" w:rsidTr="001D439E">
        <w:trPr>
          <w:trHeight w:val="245"/>
        </w:trPr>
        <w:tc>
          <w:tcPr>
            <w:tcW w:w="9354" w:type="dxa"/>
            <w:gridSpan w:val="3"/>
            <w:shd w:val="clear" w:color="auto" w:fill="D9D9D9" w:themeFill="background2" w:themeFillShade="D9"/>
          </w:tcPr>
          <w:p w14:paraId="688661AF" w14:textId="77777777" w:rsidR="00F446DD" w:rsidRPr="00DC5344" w:rsidRDefault="00F446DD" w:rsidP="006D5543">
            <w:pPr>
              <w:pStyle w:val="Tabletext"/>
              <w:keepNext/>
              <w:jc w:val="left"/>
              <w:rPr>
                <w:b/>
                <w:bCs/>
              </w:rPr>
            </w:pPr>
            <w:r w:rsidRPr="00DC5344">
              <w:rPr>
                <w:b/>
                <w:bCs/>
              </w:rPr>
              <w:t xml:space="preserve">Chapter </w:t>
            </w:r>
            <w:r>
              <w:rPr>
                <w:b/>
                <w:bCs/>
              </w:rPr>
              <w:t>15</w:t>
            </w:r>
            <w:r w:rsidRPr="00DC5344">
              <w:rPr>
                <w:b/>
                <w:bCs/>
              </w:rPr>
              <w:t xml:space="preserve"> –</w:t>
            </w:r>
            <w:r>
              <w:rPr>
                <w:b/>
                <w:bCs/>
              </w:rPr>
              <w:t xml:space="preserve"> Major Accidents &amp; Disasters </w:t>
            </w:r>
          </w:p>
        </w:tc>
      </w:tr>
      <w:tr w:rsidR="001D439E" w:rsidRPr="00CE4840" w14:paraId="74B309EE" w14:textId="77777777" w:rsidTr="001D439E">
        <w:trPr>
          <w:trHeight w:val="245"/>
        </w:trPr>
        <w:tc>
          <w:tcPr>
            <w:tcW w:w="734" w:type="dxa"/>
          </w:tcPr>
          <w:p w14:paraId="6CFA7043" w14:textId="15A12034" w:rsidR="001D439E" w:rsidRPr="00CE4840" w:rsidRDefault="001D439E" w:rsidP="001D439E">
            <w:pPr>
              <w:pStyle w:val="Tabletext"/>
              <w:jc w:val="left"/>
            </w:pPr>
            <w:r>
              <w:t>PRE_</w:t>
            </w:r>
            <w:r w:rsidR="00872A02">
              <w:t>XXX</w:t>
            </w:r>
          </w:p>
        </w:tc>
        <w:tc>
          <w:tcPr>
            <w:tcW w:w="1387" w:type="dxa"/>
          </w:tcPr>
          <w:p w14:paraId="5EB1A543" w14:textId="24DF3460" w:rsidR="001D439E" w:rsidRPr="00CE4840" w:rsidRDefault="001D439E" w:rsidP="001D439E">
            <w:pPr>
              <w:pStyle w:val="Tabletext"/>
              <w:jc w:val="left"/>
            </w:pPr>
            <w:r>
              <w:t>Plans and procedures</w:t>
            </w:r>
          </w:p>
        </w:tc>
        <w:tc>
          <w:tcPr>
            <w:tcW w:w="7233" w:type="dxa"/>
          </w:tcPr>
          <w:p w14:paraId="21E90824" w14:textId="77777777" w:rsidR="001D439E" w:rsidRDefault="001D439E" w:rsidP="001D439E">
            <w:pPr>
              <w:pStyle w:val="Tabletext"/>
              <w:keepNext/>
            </w:pPr>
            <w:proofErr w:type="gramStart"/>
            <w:r w:rsidRPr="00414492">
              <w:t>A number of</w:t>
            </w:r>
            <w:proofErr w:type="gramEnd"/>
            <w:r w:rsidRPr="00414492">
              <w:t xml:space="preserve"> plans and procedures will be in place to effectively manage and minimise risk by ensuring that every reasonable effort will be made to ensure that environmental impacts during construction and operation will be avoided or reduced, where possible. These include:</w:t>
            </w:r>
          </w:p>
          <w:p w14:paraId="03EA0893" w14:textId="77777777" w:rsidR="001D439E" w:rsidRPr="008E48BA" w:rsidRDefault="001D439E" w:rsidP="001D439E">
            <w:pPr>
              <w:pStyle w:val="TableListBullet"/>
            </w:pPr>
            <w:r>
              <w:t>Contractor’s CEMP.</w:t>
            </w:r>
            <w:r w:rsidRPr="008E48BA">
              <w:t xml:space="preserve"> Environmental Incident Response </w:t>
            </w:r>
            <w:r>
              <w:t>shall be</w:t>
            </w:r>
            <w:r w:rsidRPr="008E48BA">
              <w:t xml:space="preserve"> addressed in the </w:t>
            </w:r>
            <w:r>
              <w:t xml:space="preserve">Contractor’s </w:t>
            </w:r>
            <w:r w:rsidRPr="008E48BA">
              <w:t>CEMP, demonstrating how</w:t>
            </w:r>
            <w:r>
              <w:t>,</w:t>
            </w:r>
            <w:r w:rsidRPr="008E48BA">
              <w:t xml:space="preserve"> in the unlikely event of an incident, response efforts will take place promptly, efficiently, and suitably for the </w:t>
            </w:r>
            <w:proofErr w:type="gramStart"/>
            <w:r w:rsidRPr="008E48BA">
              <w:t>particular circumstances</w:t>
            </w:r>
            <w:proofErr w:type="gramEnd"/>
            <w:r w:rsidRPr="008E48BA">
              <w:t xml:space="preserve">. These will be developed by the Contractor and are likely to include significant spillage of chemical, fuel or other hazardous substances (e.g., concrete), non-compliance incident with any permit or licence, or other such risks that could lead to a major pollution incident, including flooding. </w:t>
            </w:r>
          </w:p>
          <w:p w14:paraId="4457AB6C" w14:textId="77777777" w:rsidR="001D439E" w:rsidRDefault="001D439E" w:rsidP="001D439E">
            <w:pPr>
              <w:pStyle w:val="TableListBullet"/>
            </w:pPr>
            <w:r>
              <w:t>Contractor’s CTMP.</w:t>
            </w:r>
          </w:p>
          <w:p w14:paraId="725814AA" w14:textId="77777777" w:rsidR="001D439E" w:rsidRDefault="001D439E" w:rsidP="001D439E">
            <w:pPr>
              <w:pStyle w:val="TableListBullet"/>
            </w:pPr>
            <w:r w:rsidRPr="000F0300">
              <w:t xml:space="preserve">Other specific mitigation measures are also included in the relevant chapters of this EIAR. </w:t>
            </w:r>
          </w:p>
          <w:p w14:paraId="381DB412" w14:textId="77777777" w:rsidR="001D439E" w:rsidRPr="000F0300" w:rsidRDefault="001D439E" w:rsidP="001D439E">
            <w:pPr>
              <w:pStyle w:val="TableListBullet"/>
            </w:pPr>
            <w:r w:rsidRPr="000F0300">
              <w:t>All fuels and chemicals stored on-site both during construction and operation of the Proposed Development will be subject to an assessment in accordance with the Safety, Health and Welfare at Work (Chemical Agents) Regulations and compliance with the requirements of REACH.</w:t>
            </w:r>
          </w:p>
          <w:p w14:paraId="601DDCF8" w14:textId="6691E92F" w:rsidR="001D439E" w:rsidRPr="00CE4840" w:rsidRDefault="001D439E" w:rsidP="001D439E">
            <w:pPr>
              <w:pStyle w:val="Tabletext"/>
            </w:pPr>
            <w:r w:rsidRPr="008E48BA">
              <w:t>The Proposed Development will comply with the requirements of all relevant health, safety and environmental legislation such that measures are taken to prevent major accidents.</w:t>
            </w:r>
          </w:p>
        </w:tc>
      </w:tr>
    </w:tbl>
    <w:p w14:paraId="1390E89F" w14:textId="77777777" w:rsidR="00F446DD" w:rsidRDefault="00F446DD" w:rsidP="00F446DD">
      <w:pPr>
        <w:tabs>
          <w:tab w:val="clear" w:pos="284"/>
        </w:tabs>
        <w:spacing w:line="240" w:lineRule="auto"/>
        <w:jc w:val="left"/>
        <w:rPr>
          <w:color w:val="FF0000"/>
        </w:rPr>
      </w:pPr>
    </w:p>
    <w:p w14:paraId="5C1310AB" w14:textId="77777777" w:rsidR="00A778D2" w:rsidRDefault="00A778D2" w:rsidP="00A778D2">
      <w:pPr>
        <w:pStyle w:val="BodyText"/>
      </w:pPr>
    </w:p>
    <w:p w14:paraId="189D202F" w14:textId="77777777" w:rsidR="00F446DD" w:rsidRDefault="00F446DD" w:rsidP="00F446DD">
      <w:pPr>
        <w:tabs>
          <w:tab w:val="clear" w:pos="284"/>
        </w:tabs>
        <w:spacing w:line="240" w:lineRule="auto"/>
        <w:jc w:val="left"/>
        <w:rPr>
          <w:color w:val="FF0000"/>
        </w:rPr>
      </w:pPr>
      <w:r>
        <w:rPr>
          <w:color w:val="FF0000"/>
        </w:rPr>
        <w:t>Pre-Construction</w:t>
      </w:r>
    </w:p>
    <w:p w14:paraId="5EE86E5C" w14:textId="77777777" w:rsidR="00F446DD" w:rsidRDefault="00F446DD" w:rsidP="00F446DD">
      <w:pPr>
        <w:tabs>
          <w:tab w:val="clear" w:pos="284"/>
        </w:tabs>
        <w:spacing w:line="240" w:lineRule="auto"/>
        <w:jc w:val="left"/>
        <w:rPr>
          <w:color w:val="FF0000"/>
        </w:rPr>
      </w:pPr>
    </w:p>
    <w:tbl>
      <w:tblPr>
        <w:tblStyle w:val="AECOMtable"/>
        <w:tblW w:w="5000" w:type="pct"/>
        <w:tblInd w:w="-1" w:type="dxa"/>
        <w:tblLayout w:type="fixed"/>
        <w:tblCellMar>
          <w:right w:w="57" w:type="dxa"/>
        </w:tblCellMar>
        <w:tblLook w:val="04A0" w:firstRow="1" w:lastRow="0" w:firstColumn="1" w:lastColumn="0" w:noHBand="0" w:noVBand="1"/>
      </w:tblPr>
      <w:tblGrid>
        <w:gridCol w:w="734"/>
        <w:gridCol w:w="1387"/>
        <w:gridCol w:w="7233"/>
      </w:tblGrid>
      <w:tr w:rsidR="00F446DD" w:rsidRPr="00CE4840" w14:paraId="60C5BDAB" w14:textId="77777777" w:rsidTr="00872A02">
        <w:trPr>
          <w:cnfStyle w:val="100000000000" w:firstRow="1" w:lastRow="0" w:firstColumn="0" w:lastColumn="0" w:oddVBand="0" w:evenVBand="0" w:oddHBand="0" w:evenHBand="0" w:firstRowFirstColumn="0" w:firstRowLastColumn="0" w:lastRowFirstColumn="0" w:lastRowLastColumn="0"/>
          <w:trHeight w:val="318"/>
          <w:tblHeader/>
        </w:trPr>
        <w:tc>
          <w:tcPr>
            <w:tcW w:w="734" w:type="dxa"/>
          </w:tcPr>
          <w:p w14:paraId="15DE9D9C" w14:textId="77777777" w:rsidR="00F446DD" w:rsidRDefault="00F446DD" w:rsidP="006D5543">
            <w:pPr>
              <w:pStyle w:val="Tabletext"/>
              <w:ind w:right="57"/>
              <w:jc w:val="left"/>
            </w:pPr>
            <w:r>
              <w:t xml:space="preserve">Reference </w:t>
            </w:r>
          </w:p>
        </w:tc>
        <w:tc>
          <w:tcPr>
            <w:tcW w:w="1387" w:type="dxa"/>
          </w:tcPr>
          <w:p w14:paraId="18512983" w14:textId="77777777" w:rsidR="00F446DD" w:rsidRDefault="00F446DD" w:rsidP="006D5543">
            <w:pPr>
              <w:pStyle w:val="Tabletext"/>
              <w:ind w:right="57"/>
              <w:jc w:val="left"/>
            </w:pPr>
            <w:r>
              <w:t>Relevant Topic</w:t>
            </w:r>
          </w:p>
        </w:tc>
        <w:tc>
          <w:tcPr>
            <w:tcW w:w="7233" w:type="dxa"/>
          </w:tcPr>
          <w:p w14:paraId="7CB25722" w14:textId="77777777" w:rsidR="00F446DD" w:rsidRPr="00CE4840" w:rsidRDefault="00F446DD" w:rsidP="006D5543">
            <w:pPr>
              <w:pStyle w:val="Tabletext"/>
              <w:ind w:right="57"/>
              <w:jc w:val="left"/>
            </w:pPr>
            <w:r>
              <w:t>Mitigation Measures/ Environmental Commitments</w:t>
            </w:r>
          </w:p>
        </w:tc>
      </w:tr>
      <w:tr w:rsidR="00F446DD" w:rsidRPr="00DC5344" w14:paraId="2AB7F459" w14:textId="77777777" w:rsidTr="00872A02">
        <w:trPr>
          <w:trHeight w:val="245"/>
        </w:trPr>
        <w:tc>
          <w:tcPr>
            <w:tcW w:w="9354" w:type="dxa"/>
            <w:gridSpan w:val="3"/>
            <w:shd w:val="clear" w:color="auto" w:fill="D9D9D9" w:themeFill="background2" w:themeFillShade="D9"/>
          </w:tcPr>
          <w:p w14:paraId="1D0A2EF3" w14:textId="77777777" w:rsidR="00F446DD" w:rsidRPr="00DC5344" w:rsidRDefault="00F446DD" w:rsidP="006D5543">
            <w:pPr>
              <w:pStyle w:val="Tabletext"/>
              <w:keepNext/>
              <w:jc w:val="left"/>
              <w:rPr>
                <w:b/>
                <w:bCs/>
              </w:rPr>
            </w:pPr>
            <w:r w:rsidRPr="00DC5344">
              <w:rPr>
                <w:b/>
                <w:bCs/>
              </w:rPr>
              <w:t xml:space="preserve">Chapter </w:t>
            </w:r>
            <w:r>
              <w:rPr>
                <w:b/>
                <w:bCs/>
              </w:rPr>
              <w:t>15</w:t>
            </w:r>
            <w:r w:rsidRPr="00DC5344">
              <w:rPr>
                <w:b/>
                <w:bCs/>
              </w:rPr>
              <w:t xml:space="preserve"> –</w:t>
            </w:r>
            <w:r>
              <w:rPr>
                <w:b/>
                <w:bCs/>
              </w:rPr>
              <w:t xml:space="preserve"> Major Accidents &amp; Disasters </w:t>
            </w:r>
          </w:p>
        </w:tc>
      </w:tr>
      <w:tr w:rsidR="00872A02" w:rsidRPr="00CE4840" w14:paraId="2A88CBC7" w14:textId="77777777" w:rsidTr="00872A02">
        <w:trPr>
          <w:trHeight w:val="245"/>
        </w:trPr>
        <w:tc>
          <w:tcPr>
            <w:tcW w:w="734" w:type="dxa"/>
          </w:tcPr>
          <w:p w14:paraId="6E25CC87" w14:textId="051576FF" w:rsidR="00872A02" w:rsidRPr="00CE4840" w:rsidRDefault="00872A02" w:rsidP="00872A02">
            <w:pPr>
              <w:pStyle w:val="Tabletext"/>
              <w:jc w:val="left"/>
            </w:pPr>
            <w:r>
              <w:t>CON_XXX</w:t>
            </w:r>
          </w:p>
        </w:tc>
        <w:tc>
          <w:tcPr>
            <w:tcW w:w="1387" w:type="dxa"/>
          </w:tcPr>
          <w:p w14:paraId="3B243AD9" w14:textId="45E84267" w:rsidR="00872A02" w:rsidRPr="00CE4840" w:rsidRDefault="00872A02" w:rsidP="00872A02">
            <w:pPr>
              <w:pStyle w:val="Tabletext"/>
              <w:jc w:val="left"/>
            </w:pPr>
            <w:r>
              <w:t>Monitoring and inspections</w:t>
            </w:r>
          </w:p>
        </w:tc>
        <w:tc>
          <w:tcPr>
            <w:tcW w:w="7233" w:type="dxa"/>
          </w:tcPr>
          <w:p w14:paraId="77F26E92" w14:textId="7A484CB2" w:rsidR="00872A02" w:rsidRPr="00CE4840" w:rsidRDefault="00872A02" w:rsidP="00872A02">
            <w:pPr>
              <w:pStyle w:val="Tabletext"/>
            </w:pPr>
            <w:r w:rsidRPr="00C01F98">
              <w:t>Regular maintenance and inspection of all facilities will be carried out during to reduce the potential for equipment failures which could contribute to major accidents and disasters. All such maintenance will be in accordance with manufacturer’s requirements as a minimum.</w:t>
            </w:r>
          </w:p>
        </w:tc>
      </w:tr>
    </w:tbl>
    <w:p w14:paraId="5CFE6B21" w14:textId="77777777" w:rsidR="00F446DD" w:rsidRDefault="00F446DD" w:rsidP="00F446DD">
      <w:pPr>
        <w:tabs>
          <w:tab w:val="clear" w:pos="284"/>
        </w:tabs>
        <w:spacing w:line="240" w:lineRule="auto"/>
        <w:jc w:val="left"/>
        <w:rPr>
          <w:color w:val="FF0000"/>
        </w:rPr>
      </w:pPr>
    </w:p>
    <w:p w14:paraId="0DD31ABB" w14:textId="77777777" w:rsidR="00F446DD" w:rsidRDefault="00F446DD" w:rsidP="00A778D2">
      <w:pPr>
        <w:pStyle w:val="BodyText"/>
      </w:pPr>
    </w:p>
    <w:p w14:paraId="2D76319D" w14:textId="77777777" w:rsidR="00F446DD" w:rsidRDefault="00F446DD" w:rsidP="00F446DD">
      <w:pPr>
        <w:tabs>
          <w:tab w:val="clear" w:pos="284"/>
        </w:tabs>
        <w:spacing w:line="240" w:lineRule="auto"/>
        <w:jc w:val="left"/>
        <w:rPr>
          <w:color w:val="FF0000"/>
        </w:rPr>
      </w:pPr>
      <w:r>
        <w:rPr>
          <w:color w:val="FF0000"/>
        </w:rPr>
        <w:t>Pre-Construction</w:t>
      </w:r>
    </w:p>
    <w:p w14:paraId="2A5A2B1A" w14:textId="77777777" w:rsidR="00F446DD" w:rsidRDefault="00F446DD" w:rsidP="00F446DD">
      <w:pPr>
        <w:tabs>
          <w:tab w:val="clear" w:pos="284"/>
        </w:tabs>
        <w:spacing w:line="240" w:lineRule="auto"/>
        <w:jc w:val="left"/>
        <w:rPr>
          <w:color w:val="FF0000"/>
        </w:rPr>
      </w:pPr>
    </w:p>
    <w:tbl>
      <w:tblPr>
        <w:tblStyle w:val="AECOMtable"/>
        <w:tblW w:w="5000" w:type="pct"/>
        <w:tblInd w:w="-1" w:type="dxa"/>
        <w:tblLayout w:type="fixed"/>
        <w:tblCellMar>
          <w:right w:w="57" w:type="dxa"/>
        </w:tblCellMar>
        <w:tblLook w:val="04A0" w:firstRow="1" w:lastRow="0" w:firstColumn="1" w:lastColumn="0" w:noHBand="0" w:noVBand="1"/>
      </w:tblPr>
      <w:tblGrid>
        <w:gridCol w:w="734"/>
        <w:gridCol w:w="1387"/>
        <w:gridCol w:w="7233"/>
      </w:tblGrid>
      <w:tr w:rsidR="00F446DD" w:rsidRPr="00CE4840" w14:paraId="3329C1EC" w14:textId="77777777" w:rsidTr="006D5543">
        <w:trPr>
          <w:cnfStyle w:val="100000000000" w:firstRow="1" w:lastRow="0" w:firstColumn="0" w:lastColumn="0" w:oddVBand="0" w:evenVBand="0" w:oddHBand="0" w:evenHBand="0" w:firstRowFirstColumn="0" w:firstRowLastColumn="0" w:lastRowFirstColumn="0" w:lastRowLastColumn="0"/>
          <w:trHeight w:val="318"/>
          <w:tblHeader/>
        </w:trPr>
        <w:tc>
          <w:tcPr>
            <w:tcW w:w="1131" w:type="dxa"/>
          </w:tcPr>
          <w:p w14:paraId="603460D5" w14:textId="77777777" w:rsidR="00F446DD" w:rsidRDefault="00F446DD" w:rsidP="006D5543">
            <w:pPr>
              <w:pStyle w:val="Tabletext"/>
              <w:ind w:right="57"/>
              <w:jc w:val="left"/>
            </w:pPr>
            <w:r>
              <w:t xml:space="preserve">Reference </w:t>
            </w:r>
          </w:p>
        </w:tc>
        <w:tc>
          <w:tcPr>
            <w:tcW w:w="2176" w:type="dxa"/>
          </w:tcPr>
          <w:p w14:paraId="5473A3CB" w14:textId="77777777" w:rsidR="00F446DD" w:rsidRDefault="00F446DD" w:rsidP="006D5543">
            <w:pPr>
              <w:pStyle w:val="Tabletext"/>
              <w:ind w:right="57"/>
              <w:jc w:val="left"/>
            </w:pPr>
            <w:r>
              <w:t>Relevant Topic</w:t>
            </w:r>
          </w:p>
        </w:tc>
        <w:tc>
          <w:tcPr>
            <w:tcW w:w="11546" w:type="dxa"/>
          </w:tcPr>
          <w:p w14:paraId="735F8978" w14:textId="77777777" w:rsidR="00F446DD" w:rsidRPr="00CE4840" w:rsidRDefault="00F446DD" w:rsidP="006D5543">
            <w:pPr>
              <w:pStyle w:val="Tabletext"/>
              <w:ind w:right="57"/>
              <w:jc w:val="left"/>
            </w:pPr>
            <w:r>
              <w:t>Mitigation Measures/ Environmental Commitments</w:t>
            </w:r>
          </w:p>
        </w:tc>
      </w:tr>
      <w:tr w:rsidR="00F446DD" w:rsidRPr="00DC5344" w14:paraId="1F4D7D26" w14:textId="77777777" w:rsidTr="006D5543">
        <w:trPr>
          <w:trHeight w:val="245"/>
        </w:trPr>
        <w:tc>
          <w:tcPr>
            <w:tcW w:w="14853" w:type="dxa"/>
            <w:gridSpan w:val="3"/>
            <w:shd w:val="clear" w:color="auto" w:fill="D9D9D9" w:themeFill="background2" w:themeFillShade="D9"/>
          </w:tcPr>
          <w:p w14:paraId="640141FD" w14:textId="77777777" w:rsidR="00F446DD" w:rsidRPr="00DC5344" w:rsidRDefault="00F446DD" w:rsidP="006D5543">
            <w:pPr>
              <w:pStyle w:val="Tabletext"/>
              <w:keepNext/>
              <w:jc w:val="left"/>
              <w:rPr>
                <w:b/>
                <w:bCs/>
              </w:rPr>
            </w:pPr>
            <w:r w:rsidRPr="00DC5344">
              <w:rPr>
                <w:b/>
                <w:bCs/>
              </w:rPr>
              <w:t xml:space="preserve">Chapter </w:t>
            </w:r>
            <w:r>
              <w:rPr>
                <w:b/>
                <w:bCs/>
              </w:rPr>
              <w:t>15</w:t>
            </w:r>
            <w:r w:rsidRPr="00DC5344">
              <w:rPr>
                <w:b/>
                <w:bCs/>
              </w:rPr>
              <w:t xml:space="preserve"> –</w:t>
            </w:r>
            <w:r>
              <w:rPr>
                <w:b/>
                <w:bCs/>
              </w:rPr>
              <w:t xml:space="preserve"> Major Accidents &amp; Disasters </w:t>
            </w:r>
          </w:p>
        </w:tc>
      </w:tr>
      <w:tr w:rsidR="00F446DD" w:rsidRPr="00CE4840" w14:paraId="188C644D" w14:textId="77777777" w:rsidTr="006D5543">
        <w:trPr>
          <w:trHeight w:val="245"/>
        </w:trPr>
        <w:tc>
          <w:tcPr>
            <w:tcW w:w="1131" w:type="dxa"/>
          </w:tcPr>
          <w:p w14:paraId="7AC6E667" w14:textId="138F5C9F" w:rsidR="00F446DD" w:rsidRPr="00CE4840" w:rsidRDefault="00D65EFB" w:rsidP="006D5543">
            <w:pPr>
              <w:pStyle w:val="Tabletext"/>
              <w:jc w:val="left"/>
            </w:pPr>
            <w:r>
              <w:t>OP XXX</w:t>
            </w:r>
          </w:p>
        </w:tc>
        <w:tc>
          <w:tcPr>
            <w:tcW w:w="2176" w:type="dxa"/>
          </w:tcPr>
          <w:p w14:paraId="3B820830" w14:textId="77777777" w:rsidR="00F446DD" w:rsidRPr="00CE4840" w:rsidRDefault="00F446DD" w:rsidP="006D5543">
            <w:pPr>
              <w:pStyle w:val="Tabletext"/>
              <w:jc w:val="left"/>
            </w:pPr>
          </w:p>
        </w:tc>
        <w:tc>
          <w:tcPr>
            <w:tcW w:w="11546" w:type="dxa"/>
          </w:tcPr>
          <w:p w14:paraId="0680DC34" w14:textId="2EC8B898" w:rsidR="00F446DD" w:rsidRPr="00CE4840" w:rsidRDefault="00E67506" w:rsidP="006D5543">
            <w:pPr>
              <w:pStyle w:val="Tabletext"/>
            </w:pPr>
            <w:r>
              <w:t>No further mitigation measures are proposed for the operational phase.</w:t>
            </w:r>
          </w:p>
        </w:tc>
      </w:tr>
    </w:tbl>
    <w:p w14:paraId="5CF0944B" w14:textId="77777777" w:rsidR="00F446DD" w:rsidRDefault="00F446DD" w:rsidP="00F446DD">
      <w:pPr>
        <w:tabs>
          <w:tab w:val="clear" w:pos="284"/>
        </w:tabs>
        <w:spacing w:line="240" w:lineRule="auto"/>
        <w:jc w:val="left"/>
        <w:rPr>
          <w:color w:val="FF0000"/>
        </w:rPr>
      </w:pPr>
    </w:p>
    <w:p w14:paraId="34AF3E51" w14:textId="77777777" w:rsidR="00F446DD" w:rsidRDefault="00F446DD" w:rsidP="00A778D2">
      <w:pPr>
        <w:pStyle w:val="BodyText"/>
      </w:pPr>
    </w:p>
    <w:p w14:paraId="555D1B48" w14:textId="6623A698" w:rsidR="00D77593" w:rsidRDefault="00D77593" w:rsidP="00D77593">
      <w:pPr>
        <w:pStyle w:val="BodyText"/>
      </w:pPr>
    </w:p>
    <w:p w14:paraId="73F97BC2" w14:textId="77777777" w:rsidR="002B2F8D" w:rsidRPr="002B2F8D" w:rsidRDefault="002B2F8D" w:rsidP="002B2F8D">
      <w:pPr>
        <w:pStyle w:val="BodyText"/>
      </w:pPr>
      <w:bookmarkStart w:id="109" w:name="Text_DocumentCopies"/>
    </w:p>
    <w:p w14:paraId="25B184AE" w14:textId="77777777" w:rsidR="002B2F8D" w:rsidRPr="002B2F8D" w:rsidRDefault="002B2F8D" w:rsidP="002B2F8D">
      <w:pPr>
        <w:pStyle w:val="BodyText"/>
        <w:sectPr w:rsidR="002B2F8D" w:rsidRPr="002B2F8D" w:rsidSect="006362C3">
          <w:headerReference w:type="default" r:id="rId66"/>
          <w:footerReference w:type="default" r:id="rId67"/>
          <w:pgSz w:w="11906" w:h="16838"/>
          <w:pgMar w:top="1134" w:right="1134" w:bottom="851" w:left="1418" w:header="567" w:footer="284" w:gutter="0"/>
          <w:pgNumType w:chapStyle="1"/>
          <w:cols w:space="284"/>
          <w:docGrid w:linePitch="360"/>
        </w:sectPr>
      </w:pPr>
    </w:p>
    <w:bookmarkEnd w:id="109"/>
    <w:p w14:paraId="31B2634B" w14:textId="435F34C3" w:rsidR="0080324C" w:rsidRDefault="00C932BA" w:rsidP="0080324C">
      <w:pPr>
        <w:pStyle w:val="BodyText"/>
      </w:pPr>
      <w:r w:rsidRPr="008B05F5">
        <w:rPr>
          <w:noProof/>
        </w:rPr>
        <w:lastRenderedPageBreak/>
        <w:drawing>
          <wp:anchor distT="0" distB="0" distL="114300" distR="114300" simplePos="0" relativeHeight="251658247" behindDoc="0" locked="0" layoutInCell="1" allowOverlap="1" wp14:anchorId="367800CC" wp14:editId="442CB4B0">
            <wp:simplePos x="0" y="0"/>
            <wp:positionH relativeFrom="column">
              <wp:posOffset>-540909</wp:posOffset>
            </wp:positionH>
            <wp:positionV relativeFrom="page">
              <wp:posOffset>10160111</wp:posOffset>
            </wp:positionV>
            <wp:extent cx="828720" cy="171000"/>
            <wp:effectExtent l="0" t="0" r="0" b="635"/>
            <wp:wrapNone/>
            <wp:docPr id="8" name="Graphic 8" descr="Back page AECOM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8" descr="Back page AECOM Logo"/>
                    <pic:cNvPicPr/>
                  </pic:nvPicPr>
                  <pic:blipFill>
                    <a:blip r:embed="rId68">
                      <a:extLst>
                        <a:ext uri="{28A0092B-C50C-407E-A947-70E740481C1C}">
                          <a14:useLocalDpi xmlns:a14="http://schemas.microsoft.com/office/drawing/2010/main" val="0"/>
                        </a:ext>
                        <a:ext uri="{96DAC541-7B7A-43D3-8B79-37D633B846F1}">
                          <asvg:svgBlip xmlns:asvg="http://schemas.microsoft.com/office/drawing/2016/SVG/main" r:embed="rId69"/>
                        </a:ext>
                      </a:extLst>
                    </a:blip>
                    <a:stretch>
                      <a:fillRect/>
                    </a:stretch>
                  </pic:blipFill>
                  <pic:spPr>
                    <a:xfrm>
                      <a:off x="0" y="0"/>
                      <a:ext cx="828720" cy="171000"/>
                    </a:xfrm>
                    <a:prstGeom prst="rect">
                      <a:avLst/>
                    </a:prstGeom>
                  </pic:spPr>
                </pic:pic>
              </a:graphicData>
            </a:graphic>
            <wp14:sizeRelH relativeFrom="margin">
              <wp14:pctWidth>0</wp14:pctWidth>
            </wp14:sizeRelH>
            <wp14:sizeRelV relativeFrom="margin">
              <wp14:pctHeight>0</wp14:pctHeight>
            </wp14:sizeRelV>
          </wp:anchor>
        </w:drawing>
      </w:r>
      <w:r w:rsidR="004A776D" w:rsidRPr="004E1B08">
        <w:rPr>
          <w:noProof/>
          <w:lang w:eastAsia="en-GB"/>
        </w:rPr>
        <mc:AlternateContent>
          <mc:Choice Requires="wps">
            <w:drawing>
              <wp:anchor distT="0" distB="0" distL="114300" distR="114300" simplePos="0" relativeHeight="251658240" behindDoc="1" locked="0" layoutInCell="0" allowOverlap="1" wp14:anchorId="69CE3014" wp14:editId="07F6E22D">
                <wp:simplePos x="0" y="0"/>
                <wp:positionH relativeFrom="page">
                  <wp:posOffset>1932</wp:posOffset>
                </wp:positionH>
                <wp:positionV relativeFrom="page">
                  <wp:posOffset>14273</wp:posOffset>
                </wp:positionV>
                <wp:extent cx="7553739" cy="10386060"/>
                <wp:effectExtent l="0" t="0" r="9525" b="0"/>
                <wp:wrapNone/>
                <wp:docPr id="12" name="BackCoverBlue"/>
                <wp:cNvGraphicFramePr/>
                <a:graphic xmlns:a="http://schemas.openxmlformats.org/drawingml/2006/main">
                  <a:graphicData uri="http://schemas.microsoft.com/office/word/2010/wordprocessingShape">
                    <wps:wsp>
                      <wps:cNvSpPr/>
                      <wps:spPr>
                        <a:xfrm>
                          <a:off x="0" y="0"/>
                          <a:ext cx="7553739" cy="10386060"/>
                        </a:xfrm>
                        <a:prstGeom prst="rect">
                          <a:avLst/>
                        </a:prstGeom>
                        <a:solidFill>
                          <a:srgbClr val="008768"/>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100000</wp14:pctHeight>
                </wp14:sizeRelV>
              </wp:anchor>
            </w:drawing>
          </mc:Choice>
          <mc:Fallback>
            <w:pict>
              <v:rect w14:anchorId="7A744853" id="BackCoverBlue" o:spid="_x0000_s1026" style="position:absolute;margin-left:.15pt;margin-top:1.1pt;width:594.8pt;height:817.8pt;z-index:-251658240;visibility:visible;mso-wrap-style:square;mso-width-percent:0;mso-height-percent:1000;mso-wrap-distance-left:9pt;mso-wrap-distance-top:0;mso-wrap-distance-right:9pt;mso-wrap-distance-bottom:0;mso-position-horizontal:absolute;mso-position-horizontal-relative:page;mso-position-vertical:absolute;mso-position-vertical-relative:page;mso-width-percent:0;mso-height-percent:100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" o:allowincell="f" fillcolor="#008768" stroked="f" strokeweight="2pt">
                <w10:wrap anchorx="page" anchory="page"/>
              </v:rect>
            </w:pict>
          </mc:Fallback>
        </mc:AlternateContent>
      </w:r>
      <w:bookmarkEnd w:id="50"/>
    </w:p>
    <w:sectPr w:rsidR="0080324C" w:rsidSect="001B4846">
      <w:pgSz w:w="11906" w:h="16838"/>
      <w:pgMar w:top="1134" w:right="1134" w:bottom="851" w:left="1418" w:header="567" w:footer="284" w:gutter="0"/>
      <w:pgNumType w:start="1"/>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5E8D4" w14:textId="77777777" w:rsidR="006B7615" w:rsidRDefault="006B7615" w:rsidP="00253171">
      <w:pPr>
        <w:spacing w:line="240" w:lineRule="auto"/>
      </w:pPr>
      <w:r>
        <w:separator/>
      </w:r>
    </w:p>
  </w:endnote>
  <w:endnote w:type="continuationSeparator" w:id="0">
    <w:p w14:paraId="6A977497" w14:textId="77777777" w:rsidR="006B7615" w:rsidRDefault="006B7615" w:rsidP="0025317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37D67" w14:textId="00D20D6A"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1FF7C6A8" w14:textId="77777777" w:rsidTr="00F9218B">
      <w:tc>
        <w:tcPr>
          <w:tcW w:w="5598" w:type="dxa"/>
        </w:tcPr>
        <w:p w14:paraId="5874D1BD" w14:textId="217C4C3E" w:rsidR="00CF237B" w:rsidRPr="0087529F" w:rsidRDefault="003608F6" w:rsidP="006A7D49">
          <w:pPr>
            <w:pStyle w:val="Footer"/>
          </w:pPr>
          <w:r>
            <w:t xml:space="preserve">Prepared </w:t>
          </w:r>
          <w:r w:rsidR="00B65176">
            <w:t>f</w:t>
          </w:r>
          <w:r>
            <w:t xml:space="preserve">or: </w:t>
          </w:r>
          <w:r w:rsidR="00B65176">
            <w:t>South Dublin County Council (SDCC)</w:t>
          </w:r>
          <w:r w:rsidR="00CF237B" w:rsidRPr="0087529F">
            <w:fldChar w:fldCharType="begin"/>
          </w:r>
          <w:r w:rsidR="00CF237B" w:rsidRPr="0087529F">
            <w:instrText xml:space="preserve"> if </w:instrText>
          </w:r>
          <w:fldSimple w:instr="DOCPROPERTY  ShowFilePath \* MERGEFORMAT">
            <w:r w:rsidR="00AF4882">
              <w:instrText>0</w:instrText>
            </w:r>
          </w:fldSimple>
          <w:r w:rsidR="00CF237B" w:rsidRPr="0087529F">
            <w:instrText xml:space="preserve">  = 1  </w:instrText>
          </w:r>
          <w:fldSimple w:instr="FILENAME \p   \* MERGEFORMAT">
            <w:r w:rsidR="0087529F" w:rsidRPr="0087529F">
              <w:instrText>Document3</w:instrText>
            </w:r>
          </w:fldSimple>
          <w:r w:rsidR="00CF237B" w:rsidRPr="0087529F">
            <w:instrText xml:space="preserve">  </w:instrText>
          </w:r>
          <w:r w:rsidR="00CF237B" w:rsidRPr="0087529F">
            <w:fldChar w:fldCharType="end"/>
          </w:r>
          <w:r w:rsidR="00CF237B" w:rsidRPr="0087529F">
            <w:fldChar w:fldCharType="begin"/>
          </w:r>
          <w:r w:rsidR="00CF237B" w:rsidRPr="0087529F">
            <w:instrText xml:space="preserve"> if </w:instrText>
          </w:r>
          <w:fldSimple w:instr="DOCPROPERTY  ShowFileName \* MERGEFORMAT">
            <w:r w:rsidR="00AF4882">
              <w:instrText>0</w:instrText>
            </w:r>
          </w:fldSimple>
          <w:r w:rsidR="00CF237B" w:rsidRPr="0087529F">
            <w:instrText xml:space="preserve">  = 1  </w:instrText>
          </w:r>
          <w:fldSimple w:instr="FILENAME   \* MERGEFORMAT">
            <w:r w:rsidR="00CF237B" w:rsidRPr="0087529F">
              <w:instrText>C:\Data\Word97\Template\Aecom\Aecom_Letter.Dotm</w:instrText>
            </w:r>
          </w:fldSimple>
          <w:r w:rsidR="00CF237B" w:rsidRPr="0087529F">
            <w:instrText xml:space="preserve">  </w:instrText>
          </w:r>
          <w:r w:rsidR="00CF237B" w:rsidRPr="0087529F">
            <w:fldChar w:fldCharType="end"/>
          </w:r>
        </w:p>
      </w:tc>
      <w:tc>
        <w:tcPr>
          <w:tcW w:w="3428" w:type="dxa"/>
          <w:vAlign w:val="bottom"/>
        </w:tcPr>
        <w:p w14:paraId="23F54944" w14:textId="7A96CAF8" w:rsidR="00D2797C" w:rsidRPr="00EB37EB"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A81C88E" w14:textId="77777777" w:rsidR="00CF237B" w:rsidRPr="0087529F" w:rsidRDefault="00CF237B" w:rsidP="005C0ACE">
          <w:pPr>
            <w:pStyle w:val="Footer"/>
            <w:jc w:val="right"/>
          </w:pPr>
        </w:p>
      </w:tc>
    </w:tr>
  </w:tbl>
  <w:p w14:paraId="7F8CD10D" w14:textId="77777777" w:rsidR="00CF237B" w:rsidRPr="0087529F" w:rsidRDefault="00CF237B" w:rsidP="00493CF1">
    <w:pPr>
      <w:pStyle w:val="Footer"/>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F2E94" w14:textId="6F3292AD" w:rsidR="00F9218B" w:rsidRPr="0087529F" w:rsidRDefault="00B25623"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CF237B" w:rsidRPr="0087529F" w14:paraId="2B63209E" w14:textId="77777777" w:rsidTr="00504F1E">
      <w:tc>
        <w:tcPr>
          <w:tcW w:w="5598" w:type="dxa"/>
        </w:tcPr>
        <w:p w14:paraId="569925FD" w14:textId="2D094FA2" w:rsidR="00D2797C" w:rsidRDefault="00B65176" w:rsidP="00D2797C">
          <w:pPr>
            <w:pStyle w:val="Header"/>
          </w:pPr>
          <w:r>
            <w:t>Prepared for: South Dublin County Council (SDCC)</w:t>
          </w:r>
        </w:p>
        <w:p w14:paraId="5DA0EC14" w14:textId="56AD41E3" w:rsidR="00CF237B" w:rsidRPr="0087529F" w:rsidRDefault="006A7D49" w:rsidP="006A7D49">
          <w:pPr>
            <w:pStyle w:val="Footer"/>
          </w:pPr>
          <w:r w:rsidRPr="0087529F">
            <w:fldChar w:fldCharType="begin"/>
          </w:r>
          <w:r w:rsidRPr="0087529F">
            <w:instrText xml:space="preserve"> if </w:instrText>
          </w:r>
          <w:fldSimple w:instr="DOCPROPERTY  ShowFilePath \* MERGEFORMAT">
            <w:r w:rsidR="00AF4882">
              <w:instrText>0</w:instrText>
            </w:r>
          </w:fldSimple>
          <w:r w:rsidRPr="0087529F">
            <w:instrText xml:space="preserve">  = 1  </w:instrText>
          </w:r>
          <w:fldSimple w:instr="FILENAME \p   \* MERGEFORMAT">
            <w:r w:rsidR="0087529F"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rsidR="00AF4882">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E96122C" w14:textId="6831B8D2" w:rsidR="00D2797C" w:rsidRDefault="00D2797C"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30D96E8" w14:textId="4C4070A6" w:rsidR="00CF237B" w:rsidRPr="0087529F" w:rsidRDefault="00CF237B" w:rsidP="00D2797C">
          <w:pPr>
            <w:pStyle w:val="Footer"/>
            <w:jc w:val="right"/>
            <w:rPr>
              <w:noProof w:val="0"/>
            </w:rPr>
          </w:pPr>
          <w:r w:rsidRPr="0087529F">
            <w:fldChar w:fldCharType="begin"/>
          </w:r>
          <w:r w:rsidRPr="0087529F">
            <w:instrText xml:space="preserve"> page </w:instrText>
          </w:r>
          <w:r w:rsidRPr="0087529F">
            <w:fldChar w:fldCharType="separate"/>
          </w:r>
          <w:r w:rsidR="00C322A4" w:rsidRPr="0087529F">
            <w:t>9</w:t>
          </w:r>
          <w:r w:rsidRPr="0087529F">
            <w:fldChar w:fldCharType="end"/>
          </w:r>
        </w:p>
      </w:tc>
    </w:tr>
  </w:tbl>
  <w:p w14:paraId="14E726AE" w14:textId="77777777" w:rsidR="00CF237B" w:rsidRPr="0087529F" w:rsidRDefault="00CF237B" w:rsidP="00493CF1">
    <w:pPr>
      <w:pStyle w:val="Foote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81C9C5" w14:textId="77777777" w:rsidR="00711CF0" w:rsidRPr="0087529F" w:rsidRDefault="00711CF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13535"/>
      <w:gridCol w:w="8288"/>
    </w:tblGrid>
    <w:tr w:rsidR="00711CF0" w:rsidRPr="0087529F" w14:paraId="42055941" w14:textId="77777777" w:rsidTr="00504F1E">
      <w:tc>
        <w:tcPr>
          <w:tcW w:w="5598" w:type="dxa"/>
        </w:tcPr>
        <w:p w14:paraId="57267184" w14:textId="77777777" w:rsidR="00711CF0" w:rsidRDefault="00711CF0" w:rsidP="00D2797C">
          <w:pPr>
            <w:pStyle w:val="Header"/>
          </w:pPr>
          <w:r>
            <w:t>Prepared for: South Dublin County Council (SDCC)</w:t>
          </w:r>
        </w:p>
        <w:p w14:paraId="78DDC4D1" w14:textId="1D3BA94E" w:rsidR="00711CF0" w:rsidRPr="0087529F" w:rsidRDefault="00711CF0"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6ED48D65" w14:textId="2D1F2E25" w:rsidR="00711CF0" w:rsidRDefault="00711CF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6B41451D" w14:textId="77777777" w:rsidR="00711CF0" w:rsidRPr="0087529F" w:rsidRDefault="00711CF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623DE5DB" w14:textId="77777777" w:rsidR="00711CF0" w:rsidRPr="0087529F" w:rsidRDefault="00711CF0" w:rsidP="00493CF1">
    <w:pPr>
      <w:pStyle w:val="Footer"/>
      <w:jc w:val="righ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F9C01" w14:textId="77777777" w:rsidR="00A73506" w:rsidRPr="0087529F" w:rsidRDefault="00A73506"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A73506" w:rsidRPr="0087529F" w14:paraId="6529DCA7" w14:textId="77777777" w:rsidTr="00504F1E">
      <w:tc>
        <w:tcPr>
          <w:tcW w:w="5598" w:type="dxa"/>
        </w:tcPr>
        <w:p w14:paraId="3680AC34" w14:textId="77777777" w:rsidR="00A73506" w:rsidRDefault="00A73506" w:rsidP="00D2797C">
          <w:pPr>
            <w:pStyle w:val="Header"/>
          </w:pPr>
          <w:r>
            <w:t>Prepared for: South Dublin County Council (SDCC)</w:t>
          </w:r>
        </w:p>
        <w:p w14:paraId="015B1891" w14:textId="1864AD57" w:rsidR="00A73506" w:rsidRPr="0087529F" w:rsidRDefault="00A73506"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1ECA25B4" w14:textId="560DF4D7" w:rsidR="00A73506" w:rsidRDefault="00A73506"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4C15389E" w14:textId="77777777" w:rsidR="00A73506" w:rsidRPr="0087529F" w:rsidRDefault="00A73506"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1202CD56" w14:textId="77777777" w:rsidR="00A73506" w:rsidRPr="0087529F" w:rsidRDefault="00A73506" w:rsidP="00493CF1">
    <w:pPr>
      <w:pStyle w:val="Footer"/>
      <w:jc w:val="righ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C4188F" w14:textId="77777777" w:rsidR="00A73506" w:rsidRPr="0087529F" w:rsidRDefault="00A73506"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13535"/>
      <w:gridCol w:w="8288"/>
    </w:tblGrid>
    <w:tr w:rsidR="00A73506" w:rsidRPr="0087529F" w14:paraId="22A671D3" w14:textId="77777777" w:rsidTr="00504F1E">
      <w:tc>
        <w:tcPr>
          <w:tcW w:w="5598" w:type="dxa"/>
        </w:tcPr>
        <w:p w14:paraId="5CEF148B" w14:textId="77777777" w:rsidR="00A73506" w:rsidRDefault="00A73506" w:rsidP="00D2797C">
          <w:pPr>
            <w:pStyle w:val="Header"/>
          </w:pPr>
          <w:r>
            <w:t>Prepared for: South Dublin County Council (SDCC)</w:t>
          </w:r>
        </w:p>
        <w:p w14:paraId="5AF3F63B" w14:textId="7ECC6082" w:rsidR="00A73506" w:rsidRPr="0087529F" w:rsidRDefault="00A73506"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5C3A1830" w14:textId="5A49B3B5" w:rsidR="00A73506" w:rsidRDefault="00A73506"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3BBED2B6" w14:textId="77777777" w:rsidR="00A73506" w:rsidRPr="0087529F" w:rsidRDefault="00A73506"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66698018" w14:textId="77777777" w:rsidR="00A73506" w:rsidRPr="0087529F" w:rsidRDefault="00A73506" w:rsidP="00493CF1">
    <w:pPr>
      <w:pStyle w:val="Footer"/>
      <w:jc w:val="right"/>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BB2A8" w14:textId="77777777" w:rsidR="00A73506" w:rsidRPr="0087529F" w:rsidRDefault="00A73506"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A73506" w:rsidRPr="0087529F" w14:paraId="2CA34AE2" w14:textId="77777777" w:rsidTr="00504F1E">
      <w:tc>
        <w:tcPr>
          <w:tcW w:w="5598" w:type="dxa"/>
        </w:tcPr>
        <w:p w14:paraId="56E1839D" w14:textId="77777777" w:rsidR="00A73506" w:rsidRDefault="00A73506" w:rsidP="00D2797C">
          <w:pPr>
            <w:pStyle w:val="Header"/>
          </w:pPr>
          <w:r>
            <w:t>Prepared for: South Dublin County Council (SDCC)</w:t>
          </w:r>
        </w:p>
        <w:p w14:paraId="2482FACC" w14:textId="66723F99" w:rsidR="00A73506" w:rsidRPr="0087529F" w:rsidRDefault="00A73506"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4FDC3901" w14:textId="11794063" w:rsidR="00A73506" w:rsidRDefault="00A73506"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4E83AD7C" w14:textId="77777777" w:rsidR="00A73506" w:rsidRPr="0087529F" w:rsidRDefault="00A73506"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0F7C9BF8" w14:textId="77777777" w:rsidR="00A73506" w:rsidRPr="0087529F" w:rsidRDefault="00A73506" w:rsidP="00493CF1">
    <w:pPr>
      <w:pStyle w:val="Footer"/>
      <w:jc w:val="right"/>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5E654" w14:textId="77777777" w:rsidR="004A4A9E" w:rsidRPr="0087529F" w:rsidRDefault="004A4A9E"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4A4A9E" w:rsidRPr="0087529F" w14:paraId="30778475" w14:textId="77777777" w:rsidTr="00504F1E">
      <w:tc>
        <w:tcPr>
          <w:tcW w:w="5598" w:type="dxa"/>
        </w:tcPr>
        <w:p w14:paraId="26822086" w14:textId="77777777" w:rsidR="004A4A9E" w:rsidRDefault="004A4A9E" w:rsidP="00D2797C">
          <w:pPr>
            <w:pStyle w:val="Header"/>
          </w:pPr>
          <w:r>
            <w:t>Prepared for: South Dublin County Council (SDCC)</w:t>
          </w:r>
        </w:p>
        <w:p w14:paraId="69267FD5" w14:textId="419E3430" w:rsidR="004A4A9E" w:rsidRPr="0087529F" w:rsidRDefault="004A4A9E"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0502EF57" w14:textId="084EABF6" w:rsidR="004A4A9E" w:rsidRDefault="004A4A9E"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5CA491BA" w14:textId="77777777" w:rsidR="004A4A9E" w:rsidRPr="0087529F" w:rsidRDefault="004A4A9E"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742147F4" w14:textId="77777777" w:rsidR="004A4A9E" w:rsidRPr="0087529F" w:rsidRDefault="004A4A9E" w:rsidP="00493CF1">
    <w:pPr>
      <w:pStyle w:val="Footer"/>
      <w:jc w:val="right"/>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18BDC" w14:textId="77777777" w:rsidR="004A4A9E" w:rsidRPr="0087529F" w:rsidRDefault="004A4A9E"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9212"/>
      <w:gridCol w:w="5641"/>
    </w:tblGrid>
    <w:tr w:rsidR="004A4A9E" w:rsidRPr="0087529F" w14:paraId="5E50A931" w14:textId="77777777" w:rsidTr="00504F1E">
      <w:tc>
        <w:tcPr>
          <w:tcW w:w="5598" w:type="dxa"/>
        </w:tcPr>
        <w:p w14:paraId="045F3292" w14:textId="77777777" w:rsidR="004A4A9E" w:rsidRDefault="004A4A9E" w:rsidP="00D2797C">
          <w:pPr>
            <w:pStyle w:val="Header"/>
          </w:pPr>
          <w:r>
            <w:t>Prepared for: South Dublin County Council (SDCC)</w:t>
          </w:r>
        </w:p>
        <w:p w14:paraId="5323AEA1" w14:textId="155C6245" w:rsidR="004A4A9E" w:rsidRPr="0087529F" w:rsidRDefault="004A4A9E"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1AEF3B0B" w14:textId="77D083CB" w:rsidR="004A4A9E" w:rsidRDefault="004A4A9E"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66B8E5B1" w14:textId="77777777" w:rsidR="004A4A9E" w:rsidRPr="0087529F" w:rsidRDefault="004A4A9E"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57779A3C" w14:textId="77777777" w:rsidR="004A4A9E" w:rsidRPr="0087529F" w:rsidRDefault="004A4A9E" w:rsidP="00493CF1">
    <w:pPr>
      <w:pStyle w:val="Footer"/>
      <w:jc w:val="right"/>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C528B" w14:textId="77777777" w:rsidR="004D1E10" w:rsidRPr="0087529F" w:rsidRDefault="004D1E10" w:rsidP="00F9218B">
    <w:pPr>
      <w:pStyle w:val="Header"/>
      <w:jc w:val="center"/>
    </w:pPr>
    <w:r w:rsidRPr="0087529F">
      <w:fldChar w:fldCharType="begin"/>
    </w:r>
    <w:r w:rsidRPr="0087529F">
      <w:instrText xml:space="preserve"> DOCPROPERTY  ProtectiveMarking \* MERGEFORMAT </w:instrText>
    </w:r>
    <w:r w:rsidRPr="0087529F">
      <w:fldChar w:fldCharType="end"/>
    </w:r>
  </w:p>
  <w:tbl>
    <w:tblPr>
      <w:tblStyle w:val="Plaingrid"/>
      <w:tblW w:w="5000" w:type="pct"/>
      <w:tblLook w:val="04A0" w:firstRow="1" w:lastRow="0" w:firstColumn="1" w:lastColumn="0" w:noHBand="0" w:noVBand="1"/>
    </w:tblPr>
    <w:tblGrid>
      <w:gridCol w:w="5801"/>
      <w:gridCol w:w="3553"/>
    </w:tblGrid>
    <w:tr w:rsidR="004D1E10" w:rsidRPr="0087529F" w14:paraId="34113443" w14:textId="77777777" w:rsidTr="00504F1E">
      <w:tc>
        <w:tcPr>
          <w:tcW w:w="5598" w:type="dxa"/>
        </w:tcPr>
        <w:p w14:paraId="0A678BAC" w14:textId="77777777" w:rsidR="004D1E10" w:rsidRDefault="004D1E10" w:rsidP="00D2797C">
          <w:pPr>
            <w:pStyle w:val="Header"/>
          </w:pPr>
          <w:r>
            <w:t>Prepared for: South Dublin County Council (SDCC)</w:t>
          </w:r>
        </w:p>
        <w:p w14:paraId="4165EB8C" w14:textId="0FFD7BC2" w:rsidR="004D1E10" w:rsidRPr="0087529F" w:rsidRDefault="004D1E10" w:rsidP="006A7D49">
          <w:pPr>
            <w:pStyle w:val="Footer"/>
          </w:pPr>
          <w:r w:rsidRPr="0087529F">
            <w:fldChar w:fldCharType="begin"/>
          </w:r>
          <w:r w:rsidRPr="0087529F">
            <w:instrText xml:space="preserve"> if </w:instrText>
          </w:r>
          <w:fldSimple w:instr="DOCPROPERTY  ShowFilePath \* MERGEFORMAT">
            <w:r>
              <w:instrText>0</w:instrText>
            </w:r>
          </w:fldSimple>
          <w:r w:rsidRPr="0087529F">
            <w:instrText xml:space="preserve">  = 1  </w:instrText>
          </w:r>
          <w:fldSimple w:instr="FILENAME \p   \* MERGEFORMAT">
            <w:r w:rsidRPr="0087529F">
              <w:instrText>Document3</w:instrText>
            </w:r>
          </w:fldSimple>
          <w:r w:rsidRPr="0087529F">
            <w:instrText xml:space="preserve">  </w:instrText>
          </w:r>
          <w:r w:rsidRPr="0087529F">
            <w:fldChar w:fldCharType="end"/>
          </w:r>
          <w:r w:rsidRPr="0087529F">
            <w:fldChar w:fldCharType="begin"/>
          </w:r>
          <w:r w:rsidRPr="0087529F">
            <w:instrText xml:space="preserve"> if </w:instrText>
          </w:r>
          <w:fldSimple w:instr="DOCPROPERTY  ShowFileName \* MERGEFORMAT">
            <w:r>
              <w:instrText>0</w:instrText>
            </w:r>
          </w:fldSimple>
          <w:r w:rsidRPr="0087529F">
            <w:instrText xml:space="preserve">  = 1  </w:instrText>
          </w:r>
          <w:fldSimple w:instr="FILENAME   \* MERGEFORMAT">
            <w:r w:rsidRPr="0087529F">
              <w:instrText>C:\Data\Word97\Template\Aecom\Aecom_Letter.Dotm</w:instrText>
            </w:r>
          </w:fldSimple>
          <w:r w:rsidRPr="0087529F">
            <w:instrText xml:space="preserve">  </w:instrText>
          </w:r>
          <w:r w:rsidRPr="0087529F">
            <w:fldChar w:fldCharType="end"/>
          </w:r>
        </w:p>
      </w:tc>
      <w:tc>
        <w:tcPr>
          <w:tcW w:w="3428" w:type="dxa"/>
        </w:tcPr>
        <w:p w14:paraId="7E0A3E2F" w14:textId="2547F11B" w:rsidR="004D1E10" w:rsidRDefault="004D1E10" w:rsidP="00D2797C">
          <w:pPr>
            <w:pStyle w:val="Footer"/>
            <w:jc w:val="right"/>
            <w:rPr>
              <w:noProof w:val="0"/>
            </w:rPr>
          </w:pPr>
          <w:r w:rsidRPr="00EB37EB">
            <w:rPr>
              <w:noProof w:val="0"/>
            </w:rPr>
            <w:t>AECOM</w:t>
          </w:r>
          <w:r w:rsidRPr="00EB37EB">
            <w:rPr>
              <w:noProof w:val="0"/>
            </w:rPr>
            <w:fldChar w:fldCharType="begin"/>
          </w:r>
          <w:r w:rsidRPr="00EB37EB">
            <w:rPr>
              <w:noProof w:val="0"/>
            </w:rPr>
            <w:instrText xml:space="preserve"> if </w:instrText>
          </w:r>
          <w:r w:rsidRPr="00EB37EB">
            <w:rPr>
              <w:noProof w:val="0"/>
            </w:rPr>
            <w:fldChar w:fldCharType="begin"/>
          </w:r>
          <w:r w:rsidRPr="00EB37EB">
            <w:rPr>
              <w:noProof w:val="0"/>
            </w:rPr>
            <w:instrText xml:space="preserve"> DOCPROPERTY  AdditionalCompanyName </w:instrText>
          </w:r>
          <w:r w:rsidRPr="00EB37EB">
            <w:rPr>
              <w:noProof w:val="0"/>
            </w:rPr>
            <w:fldChar w:fldCharType="end"/>
          </w:r>
          <w:r w:rsidRPr="00EB37EB">
            <w:rPr>
              <w:noProof w:val="0"/>
            </w:rPr>
            <w:instrText xml:space="preserve">  = "" "" "  |  "</w:instrText>
          </w:r>
          <w:r w:rsidRPr="00EB37EB">
            <w:rPr>
              <w:noProof w:val="0"/>
            </w:rPr>
            <w:fldChar w:fldCharType="end"/>
          </w:r>
          <w:r w:rsidRPr="00EB37EB">
            <w:rPr>
              <w:noProof w:val="0"/>
            </w:rPr>
            <w:fldChar w:fldCharType="begin"/>
          </w:r>
          <w:r w:rsidRPr="00EB37EB">
            <w:rPr>
              <w:noProof w:val="0"/>
            </w:rPr>
            <w:instrText xml:space="preserve"> DOCPROPERTY  AdditionalCompanyName \* MERGEFORMAT </w:instrText>
          </w:r>
          <w:r w:rsidRPr="00EB37EB">
            <w:rPr>
              <w:noProof w:val="0"/>
            </w:rPr>
            <w:fldChar w:fldCharType="end"/>
          </w:r>
        </w:p>
        <w:p w14:paraId="6A009997" w14:textId="77777777" w:rsidR="004D1E10" w:rsidRPr="0087529F" w:rsidRDefault="004D1E10" w:rsidP="00D2797C">
          <w:pPr>
            <w:pStyle w:val="Footer"/>
            <w:jc w:val="right"/>
            <w:rPr>
              <w:noProof w:val="0"/>
            </w:rPr>
          </w:pPr>
          <w:r w:rsidRPr="0087529F">
            <w:fldChar w:fldCharType="begin"/>
          </w:r>
          <w:r w:rsidRPr="0087529F">
            <w:instrText xml:space="preserve"> page </w:instrText>
          </w:r>
          <w:r w:rsidRPr="0087529F">
            <w:fldChar w:fldCharType="separate"/>
          </w:r>
          <w:r w:rsidRPr="0087529F">
            <w:t>9</w:t>
          </w:r>
          <w:r w:rsidRPr="0087529F">
            <w:fldChar w:fldCharType="end"/>
          </w:r>
        </w:p>
      </w:tc>
    </w:tr>
  </w:tbl>
  <w:p w14:paraId="130EB23A" w14:textId="77777777" w:rsidR="004D1E10" w:rsidRPr="0087529F" w:rsidRDefault="004D1E10" w:rsidP="00493CF1">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4F5E1B" w14:textId="77777777" w:rsidR="006B7615" w:rsidRPr="00253171" w:rsidRDefault="006B761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 w:type="continuationSeparator" w:id="0">
    <w:p w14:paraId="3D2BAEE8" w14:textId="77777777" w:rsidR="006B7615" w:rsidRPr="00253171" w:rsidRDefault="006B7615" w:rsidP="00253171">
      <w:pPr>
        <w:spacing w:line="240" w:lineRule="auto"/>
        <w:rPr>
          <w:color w:val="008768" w:themeColor="accent1"/>
        </w:rPr>
      </w:pPr>
      <w:r w:rsidRPr="00253171">
        <w:rPr>
          <w:color w:val="008768" w:themeColor="accent1"/>
        </w:rPr>
        <w:separator/>
      </w:r>
      <w:r w:rsidRPr="00253171">
        <w:rPr>
          <w:color w:val="008768" w:themeColor="accent1"/>
        </w:rP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108"/>
      <w:gridCol w:w="3134"/>
      <w:gridCol w:w="3112"/>
    </w:tblGrid>
    <w:tr w:rsidR="00CF237B" w:rsidRPr="0087529F" w14:paraId="3CD3DF0F" w14:textId="77777777" w:rsidTr="00DC18A9">
      <w:trPr>
        <w:trHeight w:val="460"/>
      </w:trPr>
      <w:tc>
        <w:tcPr>
          <w:tcW w:w="3035" w:type="dxa"/>
        </w:tcPr>
        <w:p w14:paraId="77F2E01F" w14:textId="42CA4D1F" w:rsidR="00CF237B" w:rsidRPr="0087529F" w:rsidRDefault="004B5928">
          <w:pPr>
            <w:pStyle w:val="Header"/>
          </w:pPr>
          <w:r>
            <w:t>Rathcoole Housing Development</w:t>
          </w:r>
        </w:p>
      </w:tc>
      <w:tc>
        <w:tcPr>
          <w:tcW w:w="3060" w:type="dxa"/>
        </w:tcPr>
        <w:p w14:paraId="3B8CF235" w14:textId="070EE23E" w:rsidR="00566185" w:rsidRPr="0087529F" w:rsidRDefault="00AF4882" w:rsidP="00566185">
          <w:pPr>
            <w:pStyle w:val="Header"/>
            <w:jc w:val="center"/>
          </w:pPr>
          <w:fldSimple w:instr="DOCPROPERTY  Draft \* MERGEFORMAT">
            <w:r>
              <w:t>DRAFT</w:t>
            </w:r>
          </w:fldSimple>
        </w:p>
      </w:tc>
      <w:tc>
        <w:tcPr>
          <w:tcW w:w="3039" w:type="dxa"/>
        </w:tcPr>
        <w:p w14:paraId="3801E194" w14:textId="77777777" w:rsidR="004B5928" w:rsidRDefault="004B5928" w:rsidP="00566185">
          <w:pPr>
            <w:pStyle w:val="Header"/>
            <w:jc w:val="right"/>
          </w:pPr>
          <w:r>
            <w:t>Environmental Impact Assessment Report</w:t>
          </w:r>
        </w:p>
        <w:p w14:paraId="2934B94A" w14:textId="507079A2" w:rsidR="00566185" w:rsidRPr="0087529F" w:rsidRDefault="004B5928" w:rsidP="00566185">
          <w:pPr>
            <w:pStyle w:val="Header"/>
            <w:jc w:val="right"/>
          </w:pPr>
          <w:r>
            <w:t xml:space="preserve">Chapter </w:t>
          </w:r>
          <w:r w:rsidR="005F6D63" w:rsidRPr="005F6D63">
            <w:t xml:space="preserve">15: Major Accidents and Disasters </w:t>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41158C04" w14:textId="77777777" w:rsidR="00650AD5" w:rsidRPr="0087529F" w:rsidRDefault="00566185" w:rsidP="00566185">
          <w:pPr>
            <w:pStyle w:val="Header"/>
            <w:jc w:val="right"/>
          </w:pPr>
          <w:r w:rsidRPr="0087529F">
            <w:instrText xml:space="preserve">" </w:instrText>
          </w:r>
          <w:r w:rsidRPr="0087529F">
            <w:fldChar w:fldCharType="separate"/>
          </w:r>
        </w:p>
        <w:p w14:paraId="4E389E98" w14:textId="4F42C854"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5B67EBF4" w14:textId="3F3CA10A" w:rsidR="00F97D16"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2721201D" w14:textId="77777777" w:rsidR="00CF237B" w:rsidRPr="0087529F" w:rsidRDefault="00CF237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FE21B5" w:rsidRPr="0087529F" w14:paraId="06C38252" w14:textId="77777777" w:rsidTr="00566185">
      <w:trPr>
        <w:trHeight w:val="460"/>
      </w:trPr>
      <w:tc>
        <w:tcPr>
          <w:tcW w:w="2990" w:type="dxa"/>
        </w:tcPr>
        <w:p w14:paraId="3230BB3A" w14:textId="6ABFB13E" w:rsidR="00566185" w:rsidRPr="0087529F" w:rsidRDefault="00B65176" w:rsidP="00566185">
          <w:pPr>
            <w:pStyle w:val="Header"/>
          </w:pPr>
          <w:r>
            <w:t>Rathcoole Housing Development</w:t>
          </w:r>
        </w:p>
      </w:tc>
      <w:tc>
        <w:tcPr>
          <w:tcW w:w="3038" w:type="dxa"/>
        </w:tcPr>
        <w:p w14:paraId="128B7B09" w14:textId="0164C7E3" w:rsidR="00566185" w:rsidRPr="0087529F" w:rsidRDefault="00AF4882" w:rsidP="00566185">
          <w:pPr>
            <w:pStyle w:val="Header"/>
            <w:jc w:val="center"/>
          </w:pPr>
          <w:fldSimple w:instr="DOCPROPERTY  Draft \* MERGEFORMAT">
            <w:r>
              <w:t>DRAFT</w:t>
            </w:r>
          </w:fldSimple>
        </w:p>
      </w:tc>
      <w:tc>
        <w:tcPr>
          <w:tcW w:w="2998" w:type="dxa"/>
        </w:tcPr>
        <w:p w14:paraId="544A1459" w14:textId="1AEEEE45" w:rsidR="00B65176" w:rsidRDefault="00AF4882" w:rsidP="00B65176">
          <w:pPr>
            <w:pStyle w:val="Header"/>
            <w:jc w:val="right"/>
          </w:pPr>
          <w:fldSimple w:instr="DOCPROPERTY  HeaderClient \* MERGEFORMAT">
            <w:r>
              <w:t xml:space="preserve"> </w:t>
            </w:r>
          </w:fldSimple>
          <w:r w:rsidR="00B65176">
            <w:t xml:space="preserve"> Environmental Impact Assessment Report</w:t>
          </w:r>
        </w:p>
        <w:p w14:paraId="38FB7F30" w14:textId="51C774AC" w:rsidR="00B65176" w:rsidRPr="0087529F" w:rsidRDefault="00B65176" w:rsidP="00B65176">
          <w:pPr>
            <w:pStyle w:val="Header"/>
            <w:jc w:val="right"/>
          </w:pPr>
          <w:r>
            <w:t xml:space="preserve">Chapter </w:t>
          </w:r>
          <w:r w:rsidR="005F6D63"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9F0AF25" w14:textId="77777777" w:rsidR="00650AD5" w:rsidRPr="0087529F" w:rsidRDefault="00B65176" w:rsidP="00B65176">
          <w:pPr>
            <w:pStyle w:val="Header"/>
            <w:jc w:val="right"/>
          </w:pPr>
          <w:r w:rsidRPr="0087529F">
            <w:instrText xml:space="preserve">" </w:instrText>
          </w:r>
          <w:r w:rsidRPr="0087529F">
            <w:fldChar w:fldCharType="separate"/>
          </w:r>
        </w:p>
        <w:p w14:paraId="0BFBCF61" w14:textId="134A0D5A" w:rsidR="00566185" w:rsidRPr="0087529F" w:rsidRDefault="00B65176" w:rsidP="00B65176">
          <w:pPr>
            <w:pStyle w:val="Header"/>
            <w:jc w:val="right"/>
          </w:pPr>
          <w:r w:rsidRPr="0087529F">
            <w:fldChar w:fldCharType="end"/>
          </w:r>
          <w:r w:rsidR="00566185" w:rsidRPr="0087529F">
            <w:fldChar w:fldCharType="begin"/>
          </w:r>
          <w:r w:rsidR="00566185" w:rsidRPr="0087529F">
            <w:instrText xml:space="preserve"> IF </w:instrText>
          </w:r>
          <w:r w:rsidR="00566185" w:rsidRPr="0087529F">
            <w:fldChar w:fldCharType="begin"/>
          </w:r>
          <w:r w:rsidR="00566185" w:rsidRPr="0087529F">
            <w:instrText xml:space="preserve"> DOCPROPERTY  HeaderClient </w:instrText>
          </w:r>
          <w:r w:rsidR="00566185" w:rsidRPr="0087529F">
            <w:fldChar w:fldCharType="separate"/>
          </w:r>
          <w:r w:rsidR="00AF4882">
            <w:instrText xml:space="preserve"> </w:instrText>
          </w:r>
          <w:r w:rsidR="00566185" w:rsidRPr="0087529F">
            <w:fldChar w:fldCharType="end"/>
          </w:r>
          <w:r w:rsidR="00566185" w:rsidRPr="0087529F">
            <w:instrText xml:space="preserve"> = "" "" "</w:instrText>
          </w:r>
        </w:p>
        <w:p w14:paraId="45494CF8" w14:textId="77777777" w:rsidR="00650AD5" w:rsidRPr="0087529F" w:rsidRDefault="00566185" w:rsidP="00B65176">
          <w:pPr>
            <w:pStyle w:val="Header"/>
            <w:jc w:val="right"/>
          </w:pPr>
          <w:r w:rsidRPr="0087529F">
            <w:instrText xml:space="preserve">" </w:instrText>
          </w:r>
          <w:r w:rsidRPr="0087529F">
            <w:fldChar w:fldCharType="separate"/>
          </w:r>
        </w:p>
        <w:p w14:paraId="42A85831" w14:textId="0292DC3B" w:rsidR="00566185" w:rsidRPr="0087529F" w:rsidRDefault="00566185" w:rsidP="00566185">
          <w:pPr>
            <w:pStyle w:val="Header"/>
            <w:jc w:val="right"/>
          </w:pPr>
          <w:r w:rsidRPr="0087529F">
            <w:fldChar w:fldCharType="end"/>
          </w:r>
          <w:fldSimple w:instr="DOCPROPERTY  ProjectRef \* MERGEFORMAT">
            <w:r w:rsidR="00AF4882">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rsidR="00AF4882">
            <w:instrText xml:space="preserve"> </w:instrText>
          </w:r>
          <w:r w:rsidRPr="0087529F">
            <w:fldChar w:fldCharType="end"/>
          </w:r>
          <w:r w:rsidRPr="0087529F">
            <w:instrText xml:space="preserve"> = " " "" "</w:instrText>
          </w:r>
        </w:p>
        <w:p w14:paraId="395ED94F" w14:textId="4045252D" w:rsidR="00566185" w:rsidRPr="0087529F" w:rsidRDefault="00566185" w:rsidP="00566185">
          <w:pPr>
            <w:pStyle w:val="Header"/>
            <w:jc w:val="right"/>
          </w:pPr>
          <w:r w:rsidRPr="0087529F">
            <w:instrText xml:space="preserve">" </w:instrText>
          </w:r>
          <w:r w:rsidRPr="0087529F">
            <w:fldChar w:fldCharType="end"/>
          </w:r>
          <w:fldSimple w:instr="DOCPROPERTY  ProjectNumber \* MERGEFORMAT">
            <w:r w:rsidR="00AF4882">
              <w:t xml:space="preserve"> </w:t>
            </w:r>
          </w:fldSimple>
        </w:p>
      </w:tc>
    </w:tr>
  </w:tbl>
  <w:p w14:paraId="156B365E" w14:textId="77777777" w:rsidR="00CF237B" w:rsidRPr="0087529F" w:rsidRDefault="00CF237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711CF0" w:rsidRPr="0087529F" w14:paraId="69A238B3" w14:textId="77777777" w:rsidTr="00566185">
      <w:trPr>
        <w:trHeight w:val="460"/>
      </w:trPr>
      <w:tc>
        <w:tcPr>
          <w:tcW w:w="2990" w:type="dxa"/>
        </w:tcPr>
        <w:p w14:paraId="417AA32B" w14:textId="77777777" w:rsidR="00711CF0" w:rsidRPr="0087529F" w:rsidRDefault="00711CF0" w:rsidP="00566185">
          <w:pPr>
            <w:pStyle w:val="Header"/>
          </w:pPr>
          <w:r>
            <w:t>Rathcoole Housing Development</w:t>
          </w:r>
        </w:p>
      </w:tc>
      <w:tc>
        <w:tcPr>
          <w:tcW w:w="3038" w:type="dxa"/>
        </w:tcPr>
        <w:p w14:paraId="18D2932C" w14:textId="77777777" w:rsidR="00711CF0" w:rsidRPr="0087529F" w:rsidRDefault="00711CF0" w:rsidP="00566185">
          <w:pPr>
            <w:pStyle w:val="Header"/>
            <w:jc w:val="center"/>
          </w:pPr>
          <w:fldSimple w:instr="DOCPROPERTY  Draft \* MERGEFORMAT">
            <w:r>
              <w:t>DRAFT</w:t>
            </w:r>
          </w:fldSimple>
        </w:p>
      </w:tc>
      <w:tc>
        <w:tcPr>
          <w:tcW w:w="2998" w:type="dxa"/>
        </w:tcPr>
        <w:p w14:paraId="6164BDB3" w14:textId="77777777" w:rsidR="00711CF0" w:rsidRDefault="00711CF0" w:rsidP="00B65176">
          <w:pPr>
            <w:pStyle w:val="Header"/>
            <w:jc w:val="right"/>
          </w:pPr>
          <w:fldSimple w:instr="DOCPROPERTY  HeaderClient \* MERGEFORMAT">
            <w:r>
              <w:t xml:space="preserve"> </w:t>
            </w:r>
          </w:fldSimple>
          <w:r>
            <w:t xml:space="preserve"> Environmental Impact Assessment Report</w:t>
          </w:r>
        </w:p>
        <w:p w14:paraId="70CE5723" w14:textId="77777777" w:rsidR="00711CF0" w:rsidRPr="0087529F" w:rsidRDefault="00711CF0"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5F662A0A" w14:textId="77777777" w:rsidR="00650AD5" w:rsidRPr="0087529F" w:rsidRDefault="00711CF0" w:rsidP="00B65176">
          <w:pPr>
            <w:pStyle w:val="Header"/>
            <w:jc w:val="right"/>
          </w:pPr>
          <w:r w:rsidRPr="0087529F">
            <w:instrText xml:space="preserve">" </w:instrText>
          </w:r>
          <w:r w:rsidRPr="0087529F">
            <w:fldChar w:fldCharType="separate"/>
          </w:r>
        </w:p>
        <w:p w14:paraId="7689E664" w14:textId="77777777" w:rsidR="00711CF0" w:rsidRPr="0087529F" w:rsidRDefault="00711CF0"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9F9CFD3" w14:textId="77777777" w:rsidR="00650AD5" w:rsidRPr="0087529F" w:rsidRDefault="00711CF0" w:rsidP="00B65176">
          <w:pPr>
            <w:pStyle w:val="Header"/>
            <w:jc w:val="right"/>
          </w:pPr>
          <w:r w:rsidRPr="0087529F">
            <w:instrText xml:space="preserve">" </w:instrText>
          </w:r>
          <w:r w:rsidRPr="0087529F">
            <w:fldChar w:fldCharType="separate"/>
          </w:r>
        </w:p>
        <w:p w14:paraId="17097242" w14:textId="77777777" w:rsidR="00711CF0" w:rsidRPr="0087529F" w:rsidRDefault="00711CF0"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6070FCE1" w14:textId="3C7686DE" w:rsidR="00711CF0" w:rsidRPr="0087529F" w:rsidRDefault="00711CF0"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0F6619A0" w14:textId="77777777" w:rsidR="00711CF0" w:rsidRPr="0087529F" w:rsidRDefault="00711C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A73506" w:rsidRPr="0087529F" w14:paraId="009ED9C3" w14:textId="77777777" w:rsidTr="00566185">
      <w:trPr>
        <w:trHeight w:val="460"/>
      </w:trPr>
      <w:tc>
        <w:tcPr>
          <w:tcW w:w="2990" w:type="dxa"/>
        </w:tcPr>
        <w:p w14:paraId="18E0FBE0" w14:textId="77777777" w:rsidR="00A73506" w:rsidRPr="0087529F" w:rsidRDefault="00A73506" w:rsidP="00566185">
          <w:pPr>
            <w:pStyle w:val="Header"/>
          </w:pPr>
          <w:r>
            <w:t>Rathcoole Housing Development</w:t>
          </w:r>
        </w:p>
      </w:tc>
      <w:tc>
        <w:tcPr>
          <w:tcW w:w="3038" w:type="dxa"/>
        </w:tcPr>
        <w:p w14:paraId="0A2B8769" w14:textId="77777777" w:rsidR="00A73506" w:rsidRPr="0087529F" w:rsidRDefault="00A73506" w:rsidP="00566185">
          <w:pPr>
            <w:pStyle w:val="Header"/>
            <w:jc w:val="center"/>
          </w:pPr>
          <w:fldSimple w:instr="DOCPROPERTY  Draft \* MERGEFORMAT">
            <w:r>
              <w:t>DRAFT</w:t>
            </w:r>
          </w:fldSimple>
        </w:p>
      </w:tc>
      <w:tc>
        <w:tcPr>
          <w:tcW w:w="2998" w:type="dxa"/>
        </w:tcPr>
        <w:p w14:paraId="42F6821D" w14:textId="77777777" w:rsidR="00A73506" w:rsidRDefault="00A73506" w:rsidP="00B65176">
          <w:pPr>
            <w:pStyle w:val="Header"/>
            <w:jc w:val="right"/>
          </w:pPr>
          <w:fldSimple w:instr="DOCPROPERTY  HeaderClient \* MERGEFORMAT">
            <w:r>
              <w:t xml:space="preserve"> </w:t>
            </w:r>
          </w:fldSimple>
          <w:r>
            <w:t xml:space="preserve"> Environmental Impact Assessment Report</w:t>
          </w:r>
        </w:p>
        <w:p w14:paraId="05EA6A81" w14:textId="77777777" w:rsidR="00A73506" w:rsidRPr="0087529F" w:rsidRDefault="00A73506"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010E21E" w14:textId="77777777" w:rsidR="00650AD5" w:rsidRPr="0087529F" w:rsidRDefault="00A73506" w:rsidP="00B65176">
          <w:pPr>
            <w:pStyle w:val="Header"/>
            <w:jc w:val="right"/>
          </w:pPr>
          <w:r w:rsidRPr="0087529F">
            <w:instrText xml:space="preserve">" </w:instrText>
          </w:r>
          <w:r w:rsidRPr="0087529F">
            <w:fldChar w:fldCharType="separate"/>
          </w:r>
        </w:p>
        <w:p w14:paraId="03A62CFC" w14:textId="77777777" w:rsidR="00A73506" w:rsidRPr="0087529F" w:rsidRDefault="00A73506"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E215066" w14:textId="77777777" w:rsidR="00650AD5" w:rsidRPr="0087529F" w:rsidRDefault="00A73506" w:rsidP="00B65176">
          <w:pPr>
            <w:pStyle w:val="Header"/>
            <w:jc w:val="right"/>
          </w:pPr>
          <w:r w:rsidRPr="0087529F">
            <w:instrText xml:space="preserve">" </w:instrText>
          </w:r>
          <w:r w:rsidRPr="0087529F">
            <w:fldChar w:fldCharType="separate"/>
          </w:r>
        </w:p>
        <w:p w14:paraId="5C9C60D9" w14:textId="77777777" w:rsidR="00A73506" w:rsidRPr="0087529F" w:rsidRDefault="00A73506"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763C4137" w14:textId="32D98357" w:rsidR="00A73506" w:rsidRPr="0087529F" w:rsidRDefault="00A73506"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6914CE33" w14:textId="77777777" w:rsidR="00A73506" w:rsidRPr="0087529F" w:rsidRDefault="00A7350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A73506" w:rsidRPr="0087529F" w14:paraId="454C918B" w14:textId="77777777" w:rsidTr="00566185">
      <w:trPr>
        <w:trHeight w:val="460"/>
      </w:trPr>
      <w:tc>
        <w:tcPr>
          <w:tcW w:w="2990" w:type="dxa"/>
        </w:tcPr>
        <w:p w14:paraId="139E7049" w14:textId="77777777" w:rsidR="00A73506" w:rsidRPr="0087529F" w:rsidRDefault="00A73506" w:rsidP="00566185">
          <w:pPr>
            <w:pStyle w:val="Header"/>
          </w:pPr>
          <w:r>
            <w:t>Rathcoole Housing Development</w:t>
          </w:r>
        </w:p>
      </w:tc>
      <w:tc>
        <w:tcPr>
          <w:tcW w:w="3038" w:type="dxa"/>
        </w:tcPr>
        <w:p w14:paraId="404663BB" w14:textId="77777777" w:rsidR="00A73506" w:rsidRPr="0087529F" w:rsidRDefault="00A73506" w:rsidP="00566185">
          <w:pPr>
            <w:pStyle w:val="Header"/>
            <w:jc w:val="center"/>
          </w:pPr>
          <w:fldSimple w:instr="DOCPROPERTY  Draft \* MERGEFORMAT">
            <w:r>
              <w:t>DRAFT</w:t>
            </w:r>
          </w:fldSimple>
        </w:p>
      </w:tc>
      <w:tc>
        <w:tcPr>
          <w:tcW w:w="2998" w:type="dxa"/>
        </w:tcPr>
        <w:p w14:paraId="676CD426" w14:textId="77777777" w:rsidR="00A73506" w:rsidRDefault="00A73506" w:rsidP="00B65176">
          <w:pPr>
            <w:pStyle w:val="Header"/>
            <w:jc w:val="right"/>
          </w:pPr>
          <w:fldSimple w:instr="DOCPROPERTY  HeaderClient \* MERGEFORMAT">
            <w:r>
              <w:t xml:space="preserve"> </w:t>
            </w:r>
          </w:fldSimple>
          <w:r>
            <w:t xml:space="preserve"> Environmental Impact Assessment Report</w:t>
          </w:r>
        </w:p>
        <w:p w14:paraId="5513A021" w14:textId="77777777" w:rsidR="00A73506" w:rsidRPr="0087529F" w:rsidRDefault="00A73506"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4443E5CC" w14:textId="77777777" w:rsidR="00650AD5" w:rsidRPr="0087529F" w:rsidRDefault="00A73506" w:rsidP="00B65176">
          <w:pPr>
            <w:pStyle w:val="Header"/>
            <w:jc w:val="right"/>
          </w:pPr>
          <w:r w:rsidRPr="0087529F">
            <w:instrText xml:space="preserve">" </w:instrText>
          </w:r>
          <w:r w:rsidRPr="0087529F">
            <w:fldChar w:fldCharType="separate"/>
          </w:r>
        </w:p>
        <w:p w14:paraId="3CDB265F" w14:textId="77777777" w:rsidR="00A73506" w:rsidRPr="0087529F" w:rsidRDefault="00A73506"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B7C551B" w14:textId="77777777" w:rsidR="00650AD5" w:rsidRPr="0087529F" w:rsidRDefault="00A73506" w:rsidP="00B65176">
          <w:pPr>
            <w:pStyle w:val="Header"/>
            <w:jc w:val="right"/>
          </w:pPr>
          <w:r w:rsidRPr="0087529F">
            <w:instrText xml:space="preserve">" </w:instrText>
          </w:r>
          <w:r w:rsidRPr="0087529F">
            <w:fldChar w:fldCharType="separate"/>
          </w:r>
        </w:p>
        <w:p w14:paraId="6573EC74" w14:textId="77777777" w:rsidR="00A73506" w:rsidRPr="0087529F" w:rsidRDefault="00A73506"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2B430611" w14:textId="3F8EDE17" w:rsidR="00A73506" w:rsidRPr="0087529F" w:rsidRDefault="00A73506"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25785365" w14:textId="77777777" w:rsidR="00A73506" w:rsidRPr="0087529F" w:rsidRDefault="00A73506">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A73506" w:rsidRPr="0087529F" w14:paraId="5FEAE4BD" w14:textId="77777777" w:rsidTr="00566185">
      <w:trPr>
        <w:trHeight w:val="460"/>
      </w:trPr>
      <w:tc>
        <w:tcPr>
          <w:tcW w:w="2990" w:type="dxa"/>
        </w:tcPr>
        <w:p w14:paraId="56E02A49" w14:textId="77777777" w:rsidR="00A73506" w:rsidRPr="0087529F" w:rsidRDefault="00A73506" w:rsidP="00566185">
          <w:pPr>
            <w:pStyle w:val="Header"/>
          </w:pPr>
          <w:r>
            <w:t>Rathcoole Housing Development</w:t>
          </w:r>
        </w:p>
      </w:tc>
      <w:tc>
        <w:tcPr>
          <w:tcW w:w="3038" w:type="dxa"/>
        </w:tcPr>
        <w:p w14:paraId="70C3169F" w14:textId="77777777" w:rsidR="00A73506" w:rsidRPr="0087529F" w:rsidRDefault="00A73506" w:rsidP="00566185">
          <w:pPr>
            <w:pStyle w:val="Header"/>
            <w:jc w:val="center"/>
          </w:pPr>
          <w:fldSimple w:instr="DOCPROPERTY  Draft \* MERGEFORMAT">
            <w:r>
              <w:t>DRAFT</w:t>
            </w:r>
          </w:fldSimple>
        </w:p>
      </w:tc>
      <w:tc>
        <w:tcPr>
          <w:tcW w:w="2998" w:type="dxa"/>
        </w:tcPr>
        <w:p w14:paraId="0747C561" w14:textId="77777777" w:rsidR="00A73506" w:rsidRDefault="00A73506" w:rsidP="00B65176">
          <w:pPr>
            <w:pStyle w:val="Header"/>
            <w:jc w:val="right"/>
          </w:pPr>
          <w:fldSimple w:instr="DOCPROPERTY  HeaderClient \* MERGEFORMAT">
            <w:r>
              <w:t xml:space="preserve"> </w:t>
            </w:r>
          </w:fldSimple>
          <w:r>
            <w:t xml:space="preserve"> Environmental Impact Assessment Report</w:t>
          </w:r>
        </w:p>
        <w:p w14:paraId="676BD834" w14:textId="77777777" w:rsidR="00A73506" w:rsidRPr="0087529F" w:rsidRDefault="00A73506"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4616D1B2" w14:textId="77777777" w:rsidR="00650AD5" w:rsidRPr="0087529F" w:rsidRDefault="00A73506" w:rsidP="00B65176">
          <w:pPr>
            <w:pStyle w:val="Header"/>
            <w:jc w:val="right"/>
          </w:pPr>
          <w:r w:rsidRPr="0087529F">
            <w:instrText xml:space="preserve">" </w:instrText>
          </w:r>
          <w:r w:rsidRPr="0087529F">
            <w:fldChar w:fldCharType="separate"/>
          </w:r>
        </w:p>
        <w:p w14:paraId="7D64153F" w14:textId="77777777" w:rsidR="00A73506" w:rsidRPr="0087529F" w:rsidRDefault="00A73506"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0FBA1C1" w14:textId="77777777" w:rsidR="00650AD5" w:rsidRPr="0087529F" w:rsidRDefault="00A73506" w:rsidP="00B65176">
          <w:pPr>
            <w:pStyle w:val="Header"/>
            <w:jc w:val="right"/>
          </w:pPr>
          <w:r w:rsidRPr="0087529F">
            <w:instrText xml:space="preserve">" </w:instrText>
          </w:r>
          <w:r w:rsidRPr="0087529F">
            <w:fldChar w:fldCharType="separate"/>
          </w:r>
        </w:p>
        <w:p w14:paraId="4971A9C2" w14:textId="77777777" w:rsidR="00A73506" w:rsidRPr="0087529F" w:rsidRDefault="00A73506"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288A6253" w14:textId="311AF6D0" w:rsidR="00A73506" w:rsidRPr="0087529F" w:rsidRDefault="00A73506"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515617A7" w14:textId="77777777" w:rsidR="00A73506" w:rsidRPr="0087529F" w:rsidRDefault="00A73506">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4A4A9E" w:rsidRPr="0087529F" w14:paraId="3AF233E3" w14:textId="77777777" w:rsidTr="00566185">
      <w:trPr>
        <w:trHeight w:val="460"/>
      </w:trPr>
      <w:tc>
        <w:tcPr>
          <w:tcW w:w="2990" w:type="dxa"/>
        </w:tcPr>
        <w:p w14:paraId="1F11F4C2" w14:textId="77777777" w:rsidR="004A4A9E" w:rsidRPr="0087529F" w:rsidRDefault="004A4A9E" w:rsidP="00566185">
          <w:pPr>
            <w:pStyle w:val="Header"/>
          </w:pPr>
          <w:r>
            <w:t>Rathcoole Housing Development</w:t>
          </w:r>
        </w:p>
      </w:tc>
      <w:tc>
        <w:tcPr>
          <w:tcW w:w="3038" w:type="dxa"/>
        </w:tcPr>
        <w:p w14:paraId="0EE768E8" w14:textId="77777777" w:rsidR="004A4A9E" w:rsidRPr="0087529F" w:rsidRDefault="004A4A9E" w:rsidP="00566185">
          <w:pPr>
            <w:pStyle w:val="Header"/>
            <w:jc w:val="center"/>
          </w:pPr>
          <w:fldSimple w:instr="DOCPROPERTY  Draft \* MERGEFORMAT">
            <w:r>
              <w:t>DRAFT</w:t>
            </w:r>
          </w:fldSimple>
        </w:p>
      </w:tc>
      <w:tc>
        <w:tcPr>
          <w:tcW w:w="2998" w:type="dxa"/>
        </w:tcPr>
        <w:p w14:paraId="5EB0491F" w14:textId="77777777" w:rsidR="004A4A9E" w:rsidRDefault="004A4A9E" w:rsidP="00B65176">
          <w:pPr>
            <w:pStyle w:val="Header"/>
            <w:jc w:val="right"/>
          </w:pPr>
          <w:fldSimple w:instr="DOCPROPERTY  HeaderClient \* MERGEFORMAT">
            <w:r>
              <w:t xml:space="preserve"> </w:t>
            </w:r>
          </w:fldSimple>
          <w:r>
            <w:t xml:space="preserve"> Environmental Impact Assessment Report</w:t>
          </w:r>
        </w:p>
        <w:p w14:paraId="2BF216FC" w14:textId="77777777" w:rsidR="004A4A9E" w:rsidRPr="0087529F" w:rsidRDefault="004A4A9E"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45C2BBA4" w14:textId="77777777" w:rsidR="00650AD5" w:rsidRPr="0087529F" w:rsidRDefault="004A4A9E" w:rsidP="00B65176">
          <w:pPr>
            <w:pStyle w:val="Header"/>
            <w:jc w:val="right"/>
          </w:pPr>
          <w:r w:rsidRPr="0087529F">
            <w:instrText xml:space="preserve">" </w:instrText>
          </w:r>
          <w:r w:rsidRPr="0087529F">
            <w:fldChar w:fldCharType="separate"/>
          </w:r>
        </w:p>
        <w:p w14:paraId="229733BD" w14:textId="77777777" w:rsidR="004A4A9E" w:rsidRPr="0087529F" w:rsidRDefault="004A4A9E"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1D67D96" w14:textId="77777777" w:rsidR="00650AD5" w:rsidRPr="0087529F" w:rsidRDefault="004A4A9E" w:rsidP="00B65176">
          <w:pPr>
            <w:pStyle w:val="Header"/>
            <w:jc w:val="right"/>
          </w:pPr>
          <w:r w:rsidRPr="0087529F">
            <w:instrText xml:space="preserve">" </w:instrText>
          </w:r>
          <w:r w:rsidRPr="0087529F">
            <w:fldChar w:fldCharType="separate"/>
          </w:r>
        </w:p>
        <w:p w14:paraId="67242A69" w14:textId="77777777" w:rsidR="004A4A9E" w:rsidRPr="0087529F" w:rsidRDefault="004A4A9E"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717BF1A5" w14:textId="65887FFA" w:rsidR="004A4A9E" w:rsidRPr="0087529F" w:rsidRDefault="004A4A9E"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78BD697F" w14:textId="77777777" w:rsidR="004A4A9E" w:rsidRPr="0087529F" w:rsidRDefault="004A4A9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4A4A9E" w:rsidRPr="0087529F" w14:paraId="46FF5921" w14:textId="77777777" w:rsidTr="00566185">
      <w:trPr>
        <w:trHeight w:val="460"/>
      </w:trPr>
      <w:tc>
        <w:tcPr>
          <w:tcW w:w="2990" w:type="dxa"/>
        </w:tcPr>
        <w:p w14:paraId="741E6E14" w14:textId="77777777" w:rsidR="004A4A9E" w:rsidRPr="0087529F" w:rsidRDefault="004A4A9E" w:rsidP="00566185">
          <w:pPr>
            <w:pStyle w:val="Header"/>
          </w:pPr>
          <w:r>
            <w:t>Rathcoole Housing Development</w:t>
          </w:r>
        </w:p>
      </w:tc>
      <w:tc>
        <w:tcPr>
          <w:tcW w:w="3038" w:type="dxa"/>
        </w:tcPr>
        <w:p w14:paraId="4E71F8FD" w14:textId="77777777" w:rsidR="004A4A9E" w:rsidRPr="0087529F" w:rsidRDefault="004A4A9E" w:rsidP="00566185">
          <w:pPr>
            <w:pStyle w:val="Header"/>
            <w:jc w:val="center"/>
          </w:pPr>
          <w:fldSimple w:instr="DOCPROPERTY  Draft \* MERGEFORMAT">
            <w:r>
              <w:t>DRAFT</w:t>
            </w:r>
          </w:fldSimple>
        </w:p>
      </w:tc>
      <w:tc>
        <w:tcPr>
          <w:tcW w:w="2998" w:type="dxa"/>
        </w:tcPr>
        <w:p w14:paraId="0569E857" w14:textId="77777777" w:rsidR="004A4A9E" w:rsidRDefault="004A4A9E" w:rsidP="00B65176">
          <w:pPr>
            <w:pStyle w:val="Header"/>
            <w:jc w:val="right"/>
          </w:pPr>
          <w:fldSimple w:instr="DOCPROPERTY  HeaderClient \* MERGEFORMAT">
            <w:r>
              <w:t xml:space="preserve"> </w:t>
            </w:r>
          </w:fldSimple>
          <w:r>
            <w:t xml:space="preserve"> Environmental Impact Assessment Report</w:t>
          </w:r>
        </w:p>
        <w:p w14:paraId="4B0310B2" w14:textId="77777777" w:rsidR="004A4A9E" w:rsidRPr="0087529F" w:rsidRDefault="004A4A9E"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11FEC53A" w14:textId="77777777" w:rsidR="00650AD5" w:rsidRPr="0087529F" w:rsidRDefault="004A4A9E" w:rsidP="00B65176">
          <w:pPr>
            <w:pStyle w:val="Header"/>
            <w:jc w:val="right"/>
          </w:pPr>
          <w:r w:rsidRPr="0087529F">
            <w:instrText xml:space="preserve">" </w:instrText>
          </w:r>
          <w:r w:rsidRPr="0087529F">
            <w:fldChar w:fldCharType="separate"/>
          </w:r>
        </w:p>
        <w:p w14:paraId="6E41286A" w14:textId="77777777" w:rsidR="004A4A9E" w:rsidRPr="0087529F" w:rsidRDefault="004A4A9E"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E4F2CE5" w14:textId="77777777" w:rsidR="00650AD5" w:rsidRPr="0087529F" w:rsidRDefault="004A4A9E" w:rsidP="00B65176">
          <w:pPr>
            <w:pStyle w:val="Header"/>
            <w:jc w:val="right"/>
          </w:pPr>
          <w:r w:rsidRPr="0087529F">
            <w:instrText xml:space="preserve">" </w:instrText>
          </w:r>
          <w:r w:rsidRPr="0087529F">
            <w:fldChar w:fldCharType="separate"/>
          </w:r>
        </w:p>
        <w:p w14:paraId="3D594E1D" w14:textId="77777777" w:rsidR="004A4A9E" w:rsidRPr="0087529F" w:rsidRDefault="004A4A9E"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261677D1" w14:textId="7C24F185" w:rsidR="004A4A9E" w:rsidRPr="0087529F" w:rsidRDefault="004A4A9E"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4D0B1669" w14:textId="77777777" w:rsidR="004A4A9E" w:rsidRPr="0087529F" w:rsidRDefault="004A4A9E">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Plaingrid"/>
      <w:tblW w:w="5000" w:type="pct"/>
      <w:tblLook w:val="04A0" w:firstRow="1" w:lastRow="0" w:firstColumn="1" w:lastColumn="0" w:noHBand="0" w:noVBand="1"/>
    </w:tblPr>
    <w:tblGrid>
      <w:gridCol w:w="3099"/>
      <w:gridCol w:w="3148"/>
      <w:gridCol w:w="3107"/>
    </w:tblGrid>
    <w:tr w:rsidR="004D1E10" w:rsidRPr="0087529F" w14:paraId="5536FBFE" w14:textId="77777777" w:rsidTr="00566185">
      <w:trPr>
        <w:trHeight w:val="460"/>
      </w:trPr>
      <w:tc>
        <w:tcPr>
          <w:tcW w:w="2990" w:type="dxa"/>
        </w:tcPr>
        <w:p w14:paraId="1588CF36" w14:textId="77777777" w:rsidR="004D1E10" w:rsidRPr="0087529F" w:rsidRDefault="004D1E10" w:rsidP="00566185">
          <w:pPr>
            <w:pStyle w:val="Header"/>
          </w:pPr>
          <w:r>
            <w:t>Rathcoole Housing Development</w:t>
          </w:r>
        </w:p>
      </w:tc>
      <w:tc>
        <w:tcPr>
          <w:tcW w:w="3038" w:type="dxa"/>
        </w:tcPr>
        <w:p w14:paraId="3C82025D" w14:textId="77777777" w:rsidR="004D1E10" w:rsidRPr="0087529F" w:rsidRDefault="004D1E10" w:rsidP="00566185">
          <w:pPr>
            <w:pStyle w:val="Header"/>
            <w:jc w:val="center"/>
          </w:pPr>
          <w:fldSimple w:instr="DOCPROPERTY  Draft \* MERGEFORMAT">
            <w:r>
              <w:t>DRAFT</w:t>
            </w:r>
          </w:fldSimple>
        </w:p>
      </w:tc>
      <w:tc>
        <w:tcPr>
          <w:tcW w:w="2998" w:type="dxa"/>
        </w:tcPr>
        <w:p w14:paraId="62A18904" w14:textId="77777777" w:rsidR="004D1E10" w:rsidRDefault="004D1E10" w:rsidP="00B65176">
          <w:pPr>
            <w:pStyle w:val="Header"/>
            <w:jc w:val="right"/>
          </w:pPr>
          <w:fldSimple w:instr="DOCPROPERTY  HeaderClient \* MERGEFORMAT">
            <w:r>
              <w:t xml:space="preserve"> </w:t>
            </w:r>
          </w:fldSimple>
          <w:r>
            <w:t xml:space="preserve"> Environmental Impact Assessment Report</w:t>
          </w:r>
        </w:p>
        <w:p w14:paraId="6A12597C" w14:textId="77777777" w:rsidR="004D1E10" w:rsidRPr="0087529F" w:rsidRDefault="004D1E10" w:rsidP="00B65176">
          <w:pPr>
            <w:pStyle w:val="Header"/>
            <w:jc w:val="right"/>
          </w:pPr>
          <w:r>
            <w:t xml:space="preserve">Chapter </w:t>
          </w:r>
          <w:r w:rsidRPr="005F6D63">
            <w:t xml:space="preserve">15: Major Accidents and Disasters </w:t>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37C7ED02" w14:textId="77777777" w:rsidR="00650AD5" w:rsidRPr="0087529F" w:rsidRDefault="004D1E10" w:rsidP="00B65176">
          <w:pPr>
            <w:pStyle w:val="Header"/>
            <w:jc w:val="right"/>
          </w:pPr>
          <w:r w:rsidRPr="0087529F">
            <w:instrText xml:space="preserve">" </w:instrText>
          </w:r>
          <w:r w:rsidRPr="0087529F">
            <w:fldChar w:fldCharType="separate"/>
          </w:r>
        </w:p>
        <w:p w14:paraId="5C805C53" w14:textId="77777777" w:rsidR="004D1E10" w:rsidRPr="0087529F" w:rsidRDefault="004D1E10" w:rsidP="00B65176">
          <w:pPr>
            <w:pStyle w:val="Header"/>
            <w:jc w:val="right"/>
          </w:pPr>
          <w:r w:rsidRPr="0087529F">
            <w:fldChar w:fldCharType="end"/>
          </w:r>
          <w:r w:rsidRPr="0087529F">
            <w:fldChar w:fldCharType="begin"/>
          </w:r>
          <w:r w:rsidRPr="0087529F">
            <w:instrText xml:space="preserve"> IF </w:instrText>
          </w:r>
          <w:r w:rsidRPr="0087529F">
            <w:fldChar w:fldCharType="begin"/>
          </w:r>
          <w:r w:rsidRPr="0087529F">
            <w:instrText xml:space="preserve"> DOCPROPERTY  HeaderClient </w:instrText>
          </w:r>
          <w:r w:rsidRPr="0087529F">
            <w:fldChar w:fldCharType="separate"/>
          </w:r>
          <w:r>
            <w:instrText xml:space="preserve"> </w:instrText>
          </w:r>
          <w:r w:rsidRPr="0087529F">
            <w:fldChar w:fldCharType="end"/>
          </w:r>
          <w:r w:rsidRPr="0087529F">
            <w:instrText xml:space="preserve"> = "" "" "</w:instrText>
          </w:r>
        </w:p>
        <w:p w14:paraId="0F0389C0" w14:textId="77777777" w:rsidR="00650AD5" w:rsidRPr="0087529F" w:rsidRDefault="004D1E10" w:rsidP="00B65176">
          <w:pPr>
            <w:pStyle w:val="Header"/>
            <w:jc w:val="right"/>
          </w:pPr>
          <w:r w:rsidRPr="0087529F">
            <w:instrText xml:space="preserve">" </w:instrText>
          </w:r>
          <w:r w:rsidRPr="0087529F">
            <w:fldChar w:fldCharType="separate"/>
          </w:r>
        </w:p>
        <w:p w14:paraId="3D0F2165" w14:textId="77777777" w:rsidR="004D1E10" w:rsidRPr="0087529F" w:rsidRDefault="004D1E10" w:rsidP="00566185">
          <w:pPr>
            <w:pStyle w:val="Header"/>
            <w:jc w:val="right"/>
          </w:pPr>
          <w:r w:rsidRPr="0087529F">
            <w:fldChar w:fldCharType="end"/>
          </w:r>
          <w:fldSimple w:instr="DOCPROPERTY  ProjectRef \* MERGEFORMAT">
            <w:r>
              <w:t xml:space="preserve"> </w:t>
            </w:r>
          </w:fldSimple>
          <w:r w:rsidRPr="0087529F">
            <w:fldChar w:fldCharType="begin"/>
          </w:r>
          <w:r w:rsidRPr="0087529F">
            <w:instrText xml:space="preserve"> IF </w:instrText>
          </w:r>
          <w:r w:rsidRPr="0087529F">
            <w:fldChar w:fldCharType="begin"/>
          </w:r>
          <w:r w:rsidRPr="0087529F">
            <w:instrText xml:space="preserve"> DOCPROPERTY  ProjectRef </w:instrText>
          </w:r>
          <w:r w:rsidRPr="0087529F">
            <w:fldChar w:fldCharType="separate"/>
          </w:r>
          <w:r>
            <w:instrText xml:space="preserve"> </w:instrText>
          </w:r>
          <w:r w:rsidRPr="0087529F">
            <w:fldChar w:fldCharType="end"/>
          </w:r>
          <w:r w:rsidRPr="0087529F">
            <w:instrText xml:space="preserve"> = " " "" "</w:instrText>
          </w:r>
        </w:p>
        <w:p w14:paraId="0880EDFF" w14:textId="66FDD085" w:rsidR="004D1E10" w:rsidRPr="0087529F" w:rsidRDefault="004D1E10" w:rsidP="00566185">
          <w:pPr>
            <w:pStyle w:val="Header"/>
            <w:jc w:val="right"/>
          </w:pPr>
          <w:r w:rsidRPr="0087529F">
            <w:instrText xml:space="preserve">" </w:instrText>
          </w:r>
          <w:r w:rsidRPr="0087529F">
            <w:fldChar w:fldCharType="end"/>
          </w:r>
          <w:fldSimple w:instr="DOCPROPERTY  ProjectNumber \* MERGEFORMAT">
            <w:r>
              <w:t xml:space="preserve"> </w:t>
            </w:r>
          </w:fldSimple>
        </w:p>
      </w:tc>
    </w:tr>
  </w:tbl>
  <w:p w14:paraId="396E2D7E" w14:textId="77777777" w:rsidR="004D1E10" w:rsidRPr="0087529F" w:rsidRDefault="004D1E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B7A69D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6EAF11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B74A4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C58676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81A1024"/>
    <w:styleLink w:val="ArticleSection"/>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ADEFE72"/>
    <w:styleLink w:val="1ai"/>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3"/>
    <w:multiLevelType w:val="singleLevel"/>
    <w:tmpl w:val="5AC233C2"/>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8"/>
    <w:multiLevelType w:val="singleLevel"/>
    <w:tmpl w:val="3E8AB5F4"/>
    <w:lvl w:ilvl="0">
      <w:start w:val="1"/>
      <w:numFmt w:val="decimal"/>
      <w:lvlText w:val="%1."/>
      <w:lvlJc w:val="left"/>
      <w:pPr>
        <w:tabs>
          <w:tab w:val="num" w:pos="360"/>
        </w:tabs>
        <w:ind w:left="360" w:hanging="360"/>
      </w:pPr>
    </w:lvl>
  </w:abstractNum>
  <w:abstractNum w:abstractNumId="8" w15:restartNumberingAfterBreak="0">
    <w:nsid w:val="FFFFFF89"/>
    <w:multiLevelType w:val="singleLevel"/>
    <w:tmpl w:val="1B62F1BA"/>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8AB481A"/>
    <w:multiLevelType w:val="multilevel"/>
    <w:tmpl w:val="22544628"/>
    <w:styleLink w:val="AECOMTableBullet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hint="default"/>
      </w:rPr>
    </w:lvl>
    <w:lvl w:ilvl="4">
      <w:start w:val="1"/>
      <w:numFmt w:val="decimal"/>
      <w:lvlText w:val="%1.%2.%3.%4.%5"/>
      <w:lvlJc w:val="left"/>
      <w:pPr>
        <w:ind w:left="0" w:firstLine="0"/>
      </w:pPr>
      <w:rPr>
        <w:rFonts w:hint="default"/>
      </w:rPr>
    </w:lvl>
    <w:lvl w:ilvl="5">
      <w:start w:val="1"/>
      <w:numFmt w:val="decimal"/>
      <w:lvlText w:val="%1.%2.%3.%4.%5.%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10" w15:restartNumberingAfterBreak="0">
    <w:nsid w:val="08D86F35"/>
    <w:multiLevelType w:val="hybridMultilevel"/>
    <w:tmpl w:val="21F40622"/>
    <w:lvl w:ilvl="0" w:tplc="BEAA31C4">
      <w:start w:val="1"/>
      <w:numFmt w:val="decimal"/>
      <w:lvlText w:val="%1)"/>
      <w:lvlJc w:val="left"/>
      <w:pPr>
        <w:ind w:left="720" w:hanging="360"/>
      </w:pPr>
    </w:lvl>
    <w:lvl w:ilvl="1" w:tplc="936AD118">
      <w:start w:val="1"/>
      <w:numFmt w:val="decimal"/>
      <w:lvlText w:val="%2)"/>
      <w:lvlJc w:val="left"/>
      <w:pPr>
        <w:ind w:left="720" w:hanging="360"/>
      </w:pPr>
    </w:lvl>
    <w:lvl w:ilvl="2" w:tplc="15D2A266">
      <w:start w:val="1"/>
      <w:numFmt w:val="decimal"/>
      <w:lvlText w:val="%3)"/>
      <w:lvlJc w:val="left"/>
      <w:pPr>
        <w:ind w:left="720" w:hanging="360"/>
      </w:pPr>
    </w:lvl>
    <w:lvl w:ilvl="3" w:tplc="A8207DA6">
      <w:start w:val="1"/>
      <w:numFmt w:val="decimal"/>
      <w:lvlText w:val="%4)"/>
      <w:lvlJc w:val="left"/>
      <w:pPr>
        <w:ind w:left="720" w:hanging="360"/>
      </w:pPr>
    </w:lvl>
    <w:lvl w:ilvl="4" w:tplc="D7323E14">
      <w:start w:val="1"/>
      <w:numFmt w:val="decimal"/>
      <w:lvlText w:val="%5)"/>
      <w:lvlJc w:val="left"/>
      <w:pPr>
        <w:ind w:left="720" w:hanging="360"/>
      </w:pPr>
    </w:lvl>
    <w:lvl w:ilvl="5" w:tplc="D708EB68">
      <w:start w:val="1"/>
      <w:numFmt w:val="decimal"/>
      <w:lvlText w:val="%6)"/>
      <w:lvlJc w:val="left"/>
      <w:pPr>
        <w:ind w:left="720" w:hanging="360"/>
      </w:pPr>
    </w:lvl>
    <w:lvl w:ilvl="6" w:tplc="A0D21DF8">
      <w:start w:val="1"/>
      <w:numFmt w:val="decimal"/>
      <w:lvlText w:val="%7)"/>
      <w:lvlJc w:val="left"/>
      <w:pPr>
        <w:ind w:left="720" w:hanging="360"/>
      </w:pPr>
    </w:lvl>
    <w:lvl w:ilvl="7" w:tplc="1EB8CF32">
      <w:start w:val="1"/>
      <w:numFmt w:val="decimal"/>
      <w:lvlText w:val="%8)"/>
      <w:lvlJc w:val="left"/>
      <w:pPr>
        <w:ind w:left="720" w:hanging="360"/>
      </w:pPr>
    </w:lvl>
    <w:lvl w:ilvl="8" w:tplc="6B18D34C">
      <w:start w:val="1"/>
      <w:numFmt w:val="decimal"/>
      <w:lvlText w:val="%9)"/>
      <w:lvlJc w:val="left"/>
      <w:pPr>
        <w:ind w:left="720" w:hanging="360"/>
      </w:pPr>
    </w:lvl>
  </w:abstractNum>
  <w:abstractNum w:abstractNumId="11" w15:restartNumberingAfterBreak="0">
    <w:nsid w:val="12225306"/>
    <w:multiLevelType w:val="hybridMultilevel"/>
    <w:tmpl w:val="B5809548"/>
    <w:lvl w:ilvl="0" w:tplc="6874B916">
      <w:start w:val="1"/>
      <w:numFmt w:val="decimal"/>
      <w:lvlText w:val="%1)"/>
      <w:lvlJc w:val="left"/>
      <w:pPr>
        <w:ind w:left="720" w:hanging="360"/>
      </w:pPr>
    </w:lvl>
    <w:lvl w:ilvl="1" w:tplc="29B215B6">
      <w:start w:val="1"/>
      <w:numFmt w:val="decimal"/>
      <w:lvlText w:val="%2)"/>
      <w:lvlJc w:val="left"/>
      <w:pPr>
        <w:ind w:left="720" w:hanging="360"/>
      </w:pPr>
    </w:lvl>
    <w:lvl w:ilvl="2" w:tplc="5F20B4AA">
      <w:start w:val="1"/>
      <w:numFmt w:val="decimal"/>
      <w:lvlText w:val="%3)"/>
      <w:lvlJc w:val="left"/>
      <w:pPr>
        <w:ind w:left="720" w:hanging="360"/>
      </w:pPr>
    </w:lvl>
    <w:lvl w:ilvl="3" w:tplc="8040978E">
      <w:start w:val="1"/>
      <w:numFmt w:val="decimal"/>
      <w:lvlText w:val="%4)"/>
      <w:lvlJc w:val="left"/>
      <w:pPr>
        <w:ind w:left="720" w:hanging="360"/>
      </w:pPr>
    </w:lvl>
    <w:lvl w:ilvl="4" w:tplc="8772BAD0">
      <w:start w:val="1"/>
      <w:numFmt w:val="decimal"/>
      <w:lvlText w:val="%5)"/>
      <w:lvlJc w:val="left"/>
      <w:pPr>
        <w:ind w:left="720" w:hanging="360"/>
      </w:pPr>
    </w:lvl>
    <w:lvl w:ilvl="5" w:tplc="4BDC841C">
      <w:start w:val="1"/>
      <w:numFmt w:val="decimal"/>
      <w:lvlText w:val="%6)"/>
      <w:lvlJc w:val="left"/>
      <w:pPr>
        <w:ind w:left="720" w:hanging="360"/>
      </w:pPr>
    </w:lvl>
    <w:lvl w:ilvl="6" w:tplc="A5B6D834">
      <w:start w:val="1"/>
      <w:numFmt w:val="decimal"/>
      <w:lvlText w:val="%7)"/>
      <w:lvlJc w:val="left"/>
      <w:pPr>
        <w:ind w:left="720" w:hanging="360"/>
      </w:pPr>
    </w:lvl>
    <w:lvl w:ilvl="7" w:tplc="D6FAC86A">
      <w:start w:val="1"/>
      <w:numFmt w:val="decimal"/>
      <w:lvlText w:val="%8)"/>
      <w:lvlJc w:val="left"/>
      <w:pPr>
        <w:ind w:left="720" w:hanging="360"/>
      </w:pPr>
    </w:lvl>
    <w:lvl w:ilvl="8" w:tplc="068C6318">
      <w:start w:val="1"/>
      <w:numFmt w:val="decimal"/>
      <w:lvlText w:val="%9)"/>
      <w:lvlJc w:val="left"/>
      <w:pPr>
        <w:ind w:left="720" w:hanging="360"/>
      </w:pPr>
    </w:lvl>
  </w:abstractNum>
  <w:abstractNum w:abstractNumId="12" w15:restartNumberingAfterBreak="0">
    <w:nsid w:val="168D45C2"/>
    <w:multiLevelType w:val="hybridMultilevel"/>
    <w:tmpl w:val="ACF6E4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785059C"/>
    <w:multiLevelType w:val="hybridMultilevel"/>
    <w:tmpl w:val="AB9E74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A8B00A2"/>
    <w:multiLevelType w:val="multilevel"/>
    <w:tmpl w:val="DB3C37A8"/>
    <w:name w:val="AECOM Outline numbering"/>
    <w:lvl w:ilvl="0">
      <w:start w:val="1"/>
      <w:numFmt w:val="upperLetter"/>
      <w:suff w:val="nothing"/>
      <w:lvlText w:val="Appendix %1  "/>
      <w:lvlJc w:val="left"/>
      <w:pPr>
        <w:ind w:left="0" w:firstLine="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20CD7DC2"/>
    <w:multiLevelType w:val="hybridMultilevel"/>
    <w:tmpl w:val="A644F08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316053C"/>
    <w:multiLevelType w:val="hybridMultilevel"/>
    <w:tmpl w:val="EA7299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35CF76F0"/>
    <w:multiLevelType w:val="hybridMultilevel"/>
    <w:tmpl w:val="309084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3754570F"/>
    <w:multiLevelType w:val="multilevel"/>
    <w:tmpl w:val="66AC3F00"/>
    <w:name w:val="AECOM Outline numbering3"/>
    <w:lvl w:ilvl="0">
      <w:start w:val="1"/>
      <w:numFmt w:val="upperLetter"/>
      <w:pStyle w:val="Appendix"/>
      <w:suff w:val="space"/>
      <w:lvlText w:val="Appendix %1"/>
      <w:lvlJc w:val="left"/>
      <w:pPr>
        <w:ind w:left="0" w:firstLine="0"/>
      </w:pPr>
      <w:rPr>
        <w:rFonts w:hint="default"/>
      </w:rPr>
    </w:lvl>
    <w:lvl w:ilvl="1">
      <w:start w:val="1"/>
      <w:numFmt w:val="decimal"/>
      <w:pStyle w:val="Appendixheading2"/>
      <w:lvlText w:val="%1.%2"/>
      <w:lvlJc w:val="left"/>
      <w:pPr>
        <w:ind w:left="357" w:hanging="357"/>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37A62492"/>
    <w:multiLevelType w:val="hybridMultilevel"/>
    <w:tmpl w:val="DB606D8A"/>
    <w:lvl w:ilvl="0" w:tplc="EF0054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3A383484"/>
    <w:multiLevelType w:val="multilevel"/>
    <w:tmpl w:val="60B68AA8"/>
    <w:styleLink w:val="AECOMTableNumbering"/>
    <w:lvl w:ilvl="0">
      <w:start w:val="1"/>
      <w:numFmt w:val="decimal"/>
      <w:pStyle w:val="TableListNumber"/>
      <w:lvlText w:val="%1."/>
      <w:lvlJc w:val="left"/>
      <w:pPr>
        <w:ind w:left="284" w:hanging="284"/>
      </w:pPr>
      <w:rPr>
        <w:rFonts w:hint="default"/>
      </w:rPr>
    </w:lvl>
    <w:lvl w:ilvl="1">
      <w:start w:val="1"/>
      <w:numFmt w:val="lowerLetter"/>
      <w:pStyle w:val="TableListNumber2"/>
      <w:lvlText w:val="%2."/>
      <w:lvlJc w:val="left"/>
      <w:pPr>
        <w:ind w:left="568" w:hanging="284"/>
      </w:pPr>
      <w:rPr>
        <w:rFonts w:hint="default"/>
      </w:rPr>
    </w:lvl>
    <w:lvl w:ilvl="2">
      <w:start w:val="1"/>
      <w:numFmt w:val="lowerRoman"/>
      <w:pStyle w:val="TableListNumber3"/>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lef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left"/>
      <w:pPr>
        <w:ind w:left="2556" w:hanging="284"/>
      </w:pPr>
      <w:rPr>
        <w:rFonts w:hint="default"/>
      </w:rPr>
    </w:lvl>
  </w:abstractNum>
  <w:abstractNum w:abstractNumId="21" w15:restartNumberingAfterBreak="0">
    <w:nsid w:val="3A5333BD"/>
    <w:multiLevelType w:val="multilevel"/>
    <w:tmpl w:val="AD0E7224"/>
    <w:name w:val="AECOM Outline numbering22"/>
    <w:lvl w:ilvl="0">
      <w:start w:val="15"/>
      <w:numFmt w:val="decimal"/>
      <w:lvlRestart w:val="0"/>
      <w:pStyle w:val="Heading1"/>
      <w:lvlText w:val="%1"/>
      <w:lvlJc w:val="left"/>
      <w:pPr>
        <w:ind w:left="850" w:hanging="850"/>
      </w:pPr>
      <w:rPr>
        <w:rFonts w:hint="default"/>
      </w:rPr>
    </w:lvl>
    <w:lvl w:ilvl="1">
      <w:start w:val="1"/>
      <w:numFmt w:val="decimal"/>
      <w:pStyle w:val="Heading2"/>
      <w:suff w:val="space"/>
      <w:lvlText w:val="%1.%2"/>
      <w:lvlJc w:val="left"/>
      <w:pPr>
        <w:ind w:left="1134" w:hanging="850"/>
      </w:pPr>
      <w:rPr>
        <w:rFonts w:hint="default"/>
      </w:rPr>
    </w:lvl>
    <w:lvl w:ilvl="2">
      <w:start w:val="1"/>
      <w:numFmt w:val="decimal"/>
      <w:pStyle w:val="Heading3"/>
      <w:lvlText w:val="%1.%2.%3"/>
      <w:lvlJc w:val="left"/>
      <w:pPr>
        <w:ind w:left="850" w:hanging="850"/>
      </w:pPr>
      <w:rPr>
        <w:rFonts w:hint="default"/>
      </w:rPr>
    </w:lvl>
    <w:lvl w:ilvl="3">
      <w:start w:val="1"/>
      <w:numFmt w:val="decimal"/>
      <w:pStyle w:val="Heading4"/>
      <w:lvlText w:val="%1.%2.%3.%4"/>
      <w:lvlJc w:val="left"/>
      <w:pPr>
        <w:ind w:left="850" w:hanging="850"/>
      </w:pPr>
      <w:rPr>
        <w:rFonts w:hint="default"/>
      </w:rPr>
    </w:lvl>
    <w:lvl w:ilvl="4">
      <w:start w:val="1"/>
      <w:numFmt w:val="none"/>
      <w:pStyle w:val="Heading5"/>
      <w:lvlText w:val=""/>
      <w:lvlJc w:val="left"/>
      <w:pPr>
        <w:ind w:left="0" w:firstLine="0"/>
      </w:pPr>
      <w:rPr>
        <w:rFonts w:hint="default"/>
      </w:rPr>
    </w:lvl>
    <w:lvl w:ilvl="5">
      <w:start w:val="1"/>
      <w:numFmt w:val="decimal"/>
      <w:pStyle w:val="Heading6"/>
      <w:lvlText w:val="%1.%2.%3.%4.%5.%6"/>
      <w:lvlJc w:val="left"/>
      <w:pPr>
        <w:ind w:left="850" w:hanging="850"/>
      </w:pPr>
      <w:rPr>
        <w:rFonts w:hint="default"/>
      </w:rPr>
    </w:lvl>
    <w:lvl w:ilvl="6">
      <w:start w:val="1"/>
      <w:numFmt w:val="none"/>
      <w:pStyle w:val="Heading7"/>
      <w:lvlText w:val=""/>
      <w:lvlJc w:val="left"/>
      <w:pPr>
        <w:ind w:left="850" w:hanging="850"/>
      </w:pPr>
      <w:rPr>
        <w:rFonts w:hint="default"/>
      </w:rPr>
    </w:lvl>
    <w:lvl w:ilvl="7">
      <w:start w:val="1"/>
      <w:numFmt w:val="lowerLetter"/>
      <w:pStyle w:val="Heading8"/>
      <w:lvlText w:val="%8."/>
      <w:lvlJc w:val="left"/>
      <w:pPr>
        <w:ind w:left="850" w:hanging="850"/>
      </w:pPr>
      <w:rPr>
        <w:rFonts w:hint="default"/>
      </w:rPr>
    </w:lvl>
    <w:lvl w:ilvl="8">
      <w:start w:val="1"/>
      <w:numFmt w:val="lowerRoman"/>
      <w:pStyle w:val="Heading9"/>
      <w:lvlText w:val="%9."/>
      <w:lvlJc w:val="left"/>
      <w:pPr>
        <w:ind w:left="850" w:hanging="850"/>
      </w:pPr>
      <w:rPr>
        <w:rFonts w:hint="default"/>
      </w:rPr>
    </w:lvl>
  </w:abstractNum>
  <w:abstractNum w:abstractNumId="22" w15:restartNumberingAfterBreak="0">
    <w:nsid w:val="3A627574"/>
    <w:multiLevelType w:val="hybridMultilevel"/>
    <w:tmpl w:val="D7D0F4F6"/>
    <w:lvl w:ilvl="0" w:tplc="EF00544C">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DBC101A"/>
    <w:multiLevelType w:val="hybridMultilevel"/>
    <w:tmpl w:val="F1E2FEF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F914E8B"/>
    <w:multiLevelType w:val="hybridMultilevel"/>
    <w:tmpl w:val="D33C2254"/>
    <w:lvl w:ilvl="0" w:tplc="6CD467B2">
      <w:start w:val="1"/>
      <w:numFmt w:val="decimal"/>
      <w:lvlText w:val="%1)"/>
      <w:lvlJc w:val="left"/>
      <w:pPr>
        <w:ind w:left="720" w:hanging="360"/>
      </w:pPr>
    </w:lvl>
    <w:lvl w:ilvl="1" w:tplc="7422A33A">
      <w:start w:val="1"/>
      <w:numFmt w:val="decimal"/>
      <w:lvlText w:val="%2)"/>
      <w:lvlJc w:val="left"/>
      <w:pPr>
        <w:ind w:left="720" w:hanging="360"/>
      </w:pPr>
    </w:lvl>
    <w:lvl w:ilvl="2" w:tplc="89C6DB14">
      <w:start w:val="1"/>
      <w:numFmt w:val="decimal"/>
      <w:lvlText w:val="%3)"/>
      <w:lvlJc w:val="left"/>
      <w:pPr>
        <w:ind w:left="720" w:hanging="360"/>
      </w:pPr>
    </w:lvl>
    <w:lvl w:ilvl="3" w:tplc="28C0A272">
      <w:start w:val="1"/>
      <w:numFmt w:val="decimal"/>
      <w:lvlText w:val="%4)"/>
      <w:lvlJc w:val="left"/>
      <w:pPr>
        <w:ind w:left="720" w:hanging="360"/>
      </w:pPr>
    </w:lvl>
    <w:lvl w:ilvl="4" w:tplc="8DEC412C">
      <w:start w:val="1"/>
      <w:numFmt w:val="decimal"/>
      <w:lvlText w:val="%5)"/>
      <w:lvlJc w:val="left"/>
      <w:pPr>
        <w:ind w:left="720" w:hanging="360"/>
      </w:pPr>
    </w:lvl>
    <w:lvl w:ilvl="5" w:tplc="9E709786">
      <w:start w:val="1"/>
      <w:numFmt w:val="decimal"/>
      <w:lvlText w:val="%6)"/>
      <w:lvlJc w:val="left"/>
      <w:pPr>
        <w:ind w:left="720" w:hanging="360"/>
      </w:pPr>
    </w:lvl>
    <w:lvl w:ilvl="6" w:tplc="7C6A6202">
      <w:start w:val="1"/>
      <w:numFmt w:val="decimal"/>
      <w:lvlText w:val="%7)"/>
      <w:lvlJc w:val="left"/>
      <w:pPr>
        <w:ind w:left="720" w:hanging="360"/>
      </w:pPr>
    </w:lvl>
    <w:lvl w:ilvl="7" w:tplc="6CF6862A">
      <w:start w:val="1"/>
      <w:numFmt w:val="decimal"/>
      <w:lvlText w:val="%8)"/>
      <w:lvlJc w:val="left"/>
      <w:pPr>
        <w:ind w:left="720" w:hanging="360"/>
      </w:pPr>
    </w:lvl>
    <w:lvl w:ilvl="8" w:tplc="7A0A2D4C">
      <w:start w:val="1"/>
      <w:numFmt w:val="decimal"/>
      <w:lvlText w:val="%9)"/>
      <w:lvlJc w:val="left"/>
      <w:pPr>
        <w:ind w:left="720" w:hanging="360"/>
      </w:pPr>
    </w:lvl>
  </w:abstractNum>
  <w:abstractNum w:abstractNumId="25" w15:restartNumberingAfterBreak="0">
    <w:nsid w:val="40C80AEF"/>
    <w:multiLevelType w:val="hybridMultilevel"/>
    <w:tmpl w:val="2D3CE11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C1F6D"/>
    <w:multiLevelType w:val="hybridMultilevel"/>
    <w:tmpl w:val="903239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644573A"/>
    <w:multiLevelType w:val="multilevel"/>
    <w:tmpl w:val="3F9A613A"/>
    <w:styleLink w:val="AECOMAppendix"/>
    <w:lvl w:ilvl="0">
      <w:start w:val="1"/>
      <w:numFmt w:val="bullet"/>
      <w:lvlText w:val=""/>
      <w:lvlJc w:val="left"/>
      <w:pPr>
        <w:ind w:left="284" w:hanging="284"/>
      </w:pPr>
      <w:rPr>
        <w:rFonts w:ascii="Symbol" w:hAnsi="Symbol" w:hint="default"/>
        <w:color w:val="auto"/>
      </w:rPr>
    </w:lvl>
    <w:lvl w:ilvl="1">
      <w:start w:val="1"/>
      <w:numFmt w:val="bullet"/>
      <w:lvlText w:val="o"/>
      <w:lvlJc w:val="left"/>
      <w:pPr>
        <w:ind w:left="568" w:hanging="284"/>
      </w:pPr>
      <w:rPr>
        <w:rFonts w:ascii="Courier New" w:hAnsi="Courier New" w:hint="default"/>
        <w:color w:val="auto"/>
      </w:rPr>
    </w:lvl>
    <w:lvl w:ilvl="2">
      <w:start w:val="1"/>
      <w:numFmt w:val="bullet"/>
      <w:lvlText w:val="─"/>
      <w:lvlJc w:val="left"/>
      <w:pPr>
        <w:ind w:left="852" w:hanging="284"/>
      </w:pPr>
      <w:rPr>
        <w:rFonts w:ascii="Calibri" w:hAnsi="Calibri" w:hint="default"/>
        <w:color w:val="auto"/>
      </w:rPr>
    </w:lvl>
    <w:lvl w:ilvl="3">
      <w:start w:val="1"/>
      <w:numFmt w:val="bullet"/>
      <w:lvlText w:val=""/>
      <w:lvlJc w:val="left"/>
      <w:pPr>
        <w:ind w:left="1136" w:hanging="284"/>
      </w:pPr>
      <w:rPr>
        <w:rFonts w:ascii="Symbol" w:hAnsi="Symbol" w:hint="default"/>
      </w:rPr>
    </w:lvl>
    <w:lvl w:ilvl="4">
      <w:start w:val="1"/>
      <w:numFmt w:val="bullet"/>
      <w:lvlText w:val="o"/>
      <w:lvlJc w:val="left"/>
      <w:pPr>
        <w:ind w:left="1420" w:hanging="284"/>
      </w:pPr>
      <w:rPr>
        <w:rFonts w:ascii="Courier New" w:hAnsi="Courier New" w:hint="default"/>
      </w:rPr>
    </w:lvl>
    <w:lvl w:ilvl="5">
      <w:start w:val="1"/>
      <w:numFmt w:val="bullet"/>
      <w:lvlText w:val=""/>
      <w:lvlJc w:val="left"/>
      <w:pPr>
        <w:tabs>
          <w:tab w:val="num" w:pos="2346"/>
        </w:tabs>
        <w:ind w:left="1704" w:hanging="284"/>
      </w:pPr>
      <w:rPr>
        <w:rFonts w:ascii="Wingdings" w:hAnsi="Wingdings" w:hint="default"/>
      </w:rPr>
    </w:lvl>
    <w:lvl w:ilvl="6">
      <w:start w:val="1"/>
      <w:numFmt w:val="bullet"/>
      <w:lvlText w:val=""/>
      <w:lvlJc w:val="left"/>
      <w:pPr>
        <w:tabs>
          <w:tab w:val="num" w:pos="2630"/>
        </w:tabs>
        <w:ind w:left="1988" w:hanging="284"/>
      </w:pPr>
      <w:rPr>
        <w:rFonts w:ascii="Symbol" w:hAnsi="Symbol" w:hint="default"/>
      </w:rPr>
    </w:lvl>
    <w:lvl w:ilvl="7">
      <w:start w:val="1"/>
      <w:numFmt w:val="bullet"/>
      <w:lvlText w:val="o"/>
      <w:lvlJc w:val="left"/>
      <w:pPr>
        <w:tabs>
          <w:tab w:val="num" w:pos="2914"/>
        </w:tabs>
        <w:ind w:left="2272" w:hanging="284"/>
      </w:pPr>
      <w:rPr>
        <w:rFonts w:ascii="Courier New" w:hAnsi="Courier New" w:cs="Courier New" w:hint="default"/>
      </w:rPr>
    </w:lvl>
    <w:lvl w:ilvl="8">
      <w:start w:val="1"/>
      <w:numFmt w:val="bullet"/>
      <w:lvlText w:val=""/>
      <w:lvlJc w:val="left"/>
      <w:pPr>
        <w:tabs>
          <w:tab w:val="num" w:pos="3198"/>
        </w:tabs>
        <w:ind w:left="2556" w:hanging="284"/>
      </w:pPr>
      <w:rPr>
        <w:rFonts w:ascii="Wingdings" w:hAnsi="Wingdings" w:hint="default"/>
      </w:rPr>
    </w:lvl>
  </w:abstractNum>
  <w:abstractNum w:abstractNumId="28" w15:restartNumberingAfterBreak="0">
    <w:nsid w:val="46E631D5"/>
    <w:multiLevelType w:val="hybridMultilevel"/>
    <w:tmpl w:val="033A01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470976F7"/>
    <w:multiLevelType w:val="hybridMultilevel"/>
    <w:tmpl w:val="89BED9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4C662F9C"/>
    <w:multiLevelType w:val="hybridMultilevel"/>
    <w:tmpl w:val="408A40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4EDB5F69"/>
    <w:multiLevelType w:val="multilevel"/>
    <w:tmpl w:val="4374215A"/>
    <w:styleLink w:val="AECOM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4F926A09"/>
    <w:multiLevelType w:val="multilevel"/>
    <w:tmpl w:val="99F01D82"/>
    <w:lvl w:ilvl="0">
      <w:start w:val="1"/>
      <w:numFmt w:val="bullet"/>
      <w:pStyle w:val="TableListBullet"/>
      <w:lvlText w:val=""/>
      <w:lvlJc w:val="left"/>
      <w:pPr>
        <w:ind w:left="284" w:hanging="284"/>
      </w:pPr>
      <w:rPr>
        <w:rFonts w:ascii="Symbol" w:hAnsi="Symbol" w:hint="default"/>
        <w:color w:val="auto"/>
      </w:rPr>
    </w:lvl>
    <w:lvl w:ilvl="1">
      <w:start w:val="1"/>
      <w:numFmt w:val="bullet"/>
      <w:pStyle w:val="TableListBullet2"/>
      <w:lvlText w:val="─"/>
      <w:lvlJc w:val="left"/>
      <w:pPr>
        <w:ind w:left="568" w:hanging="284"/>
      </w:pPr>
      <w:rPr>
        <w:rFonts w:ascii="Calibri" w:hAnsi="Calibri" w:hint="default"/>
        <w:color w:val="auto"/>
      </w:rPr>
    </w:lvl>
    <w:lvl w:ilvl="2">
      <w:start w:val="1"/>
      <w:numFmt w:val="bullet"/>
      <w:pStyle w:val="TableListBullet3"/>
      <w:lvlText w:val=""/>
      <w:lvlJc w:val="left"/>
      <w:pPr>
        <w:ind w:left="852" w:hanging="284"/>
      </w:pPr>
      <w:rPr>
        <w:rFonts w:ascii="Wingdings" w:hAnsi="Wingdings" w:hint="default"/>
      </w:rPr>
    </w:lvl>
    <w:lvl w:ilvl="3">
      <w:start w:val="1"/>
      <w:numFmt w:val="bullet"/>
      <w:lvlText w:val=""/>
      <w:lvlJc w:val="left"/>
      <w:pPr>
        <w:ind w:left="1136" w:hanging="284"/>
      </w:pPr>
      <w:rPr>
        <w:rFonts w:ascii="Symbol" w:hAnsi="Symbol" w:hint="default"/>
        <w:color w:val="auto"/>
      </w:rPr>
    </w:lvl>
    <w:lvl w:ilvl="4">
      <w:start w:val="1"/>
      <w:numFmt w:val="bullet"/>
      <w:lvlText w:val="─"/>
      <w:lvlJc w:val="left"/>
      <w:pPr>
        <w:ind w:left="1420" w:hanging="284"/>
      </w:pPr>
      <w:rPr>
        <w:rFonts w:ascii="Calibri" w:hAnsi="Calibri" w:hint="default"/>
        <w:color w:val="auto"/>
      </w:rPr>
    </w:lvl>
    <w:lvl w:ilvl="5">
      <w:start w:val="1"/>
      <w:numFmt w:val="bullet"/>
      <w:lvlText w:val=""/>
      <w:lvlJc w:val="left"/>
      <w:pPr>
        <w:ind w:left="1704" w:hanging="284"/>
      </w:pPr>
      <w:rPr>
        <w:rFonts w:ascii="Wingdings" w:hAnsi="Wingdings" w:hint="default"/>
      </w:rPr>
    </w:lvl>
    <w:lvl w:ilvl="6">
      <w:start w:val="1"/>
      <w:numFmt w:val="bullet"/>
      <w:lvlText w:val=""/>
      <w:lvlJc w:val="left"/>
      <w:pPr>
        <w:ind w:left="1988" w:hanging="284"/>
      </w:pPr>
      <w:rPr>
        <w:rFonts w:ascii="Symbol" w:hAnsi="Symbol" w:hint="default"/>
        <w:color w:val="auto"/>
      </w:rPr>
    </w:lvl>
    <w:lvl w:ilvl="7">
      <w:start w:val="1"/>
      <w:numFmt w:val="bullet"/>
      <w:lvlText w:val="─"/>
      <w:lvlJc w:val="left"/>
      <w:pPr>
        <w:ind w:left="2272" w:hanging="284"/>
      </w:pPr>
      <w:rPr>
        <w:rFonts w:ascii="Calibri" w:hAnsi="Calibri" w:hint="default"/>
        <w:color w:val="auto"/>
      </w:rPr>
    </w:lvl>
    <w:lvl w:ilvl="8">
      <w:start w:val="1"/>
      <w:numFmt w:val="bullet"/>
      <w:lvlText w:val=""/>
      <w:lvlJc w:val="left"/>
      <w:pPr>
        <w:ind w:left="2556" w:hanging="284"/>
      </w:pPr>
      <w:rPr>
        <w:rFonts w:ascii="Wingdings" w:hAnsi="Wingdings" w:hint="default"/>
      </w:rPr>
    </w:lvl>
  </w:abstractNum>
  <w:abstractNum w:abstractNumId="33" w15:restartNumberingAfterBreak="0">
    <w:nsid w:val="51880F48"/>
    <w:multiLevelType w:val="multilevel"/>
    <w:tmpl w:val="5B6227C6"/>
    <w:styleLink w:val="11111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tabs>
          <w:tab w:val="num" w:pos="1431"/>
        </w:tabs>
        <w:ind w:left="1428" w:hanging="357"/>
      </w:pPr>
      <w:rPr>
        <w:rFonts w:hint="default"/>
      </w:rPr>
    </w:lvl>
    <w:lvl w:ilvl="4">
      <w:start w:val="1"/>
      <w:numFmt w:val="lowerLetter"/>
      <w:lvlText w:val="%5."/>
      <w:lvlJc w:val="left"/>
      <w:pPr>
        <w:tabs>
          <w:tab w:val="num" w:pos="1788"/>
        </w:tabs>
        <w:ind w:left="1785" w:hanging="357"/>
      </w:pPr>
      <w:rPr>
        <w:rFonts w:hint="default"/>
      </w:rPr>
    </w:lvl>
    <w:lvl w:ilvl="5">
      <w:start w:val="1"/>
      <w:numFmt w:val="lowerRoman"/>
      <w:lvlText w:val="%6."/>
      <w:lvlJc w:val="right"/>
      <w:pPr>
        <w:tabs>
          <w:tab w:val="num" w:pos="2145"/>
        </w:tabs>
        <w:ind w:left="2142" w:hanging="357"/>
      </w:pPr>
      <w:rPr>
        <w:rFonts w:hint="default"/>
      </w:rPr>
    </w:lvl>
    <w:lvl w:ilvl="6">
      <w:start w:val="1"/>
      <w:numFmt w:val="decimal"/>
      <w:lvlText w:val="%7."/>
      <w:lvlJc w:val="left"/>
      <w:pPr>
        <w:tabs>
          <w:tab w:val="num" w:pos="2502"/>
        </w:tabs>
        <w:ind w:left="2499" w:hanging="357"/>
      </w:pPr>
      <w:rPr>
        <w:rFonts w:hint="default"/>
      </w:rPr>
    </w:lvl>
    <w:lvl w:ilvl="7">
      <w:start w:val="1"/>
      <w:numFmt w:val="lowerLetter"/>
      <w:lvlText w:val="%8."/>
      <w:lvlJc w:val="left"/>
      <w:pPr>
        <w:tabs>
          <w:tab w:val="num" w:pos="2859"/>
        </w:tabs>
        <w:ind w:left="2856" w:hanging="357"/>
      </w:pPr>
      <w:rPr>
        <w:rFonts w:hint="default"/>
      </w:rPr>
    </w:lvl>
    <w:lvl w:ilvl="8">
      <w:start w:val="1"/>
      <w:numFmt w:val="lowerRoman"/>
      <w:lvlText w:val="%9."/>
      <w:lvlJc w:val="right"/>
      <w:pPr>
        <w:tabs>
          <w:tab w:val="num" w:pos="3216"/>
        </w:tabs>
        <w:ind w:left="3213" w:hanging="357"/>
      </w:pPr>
      <w:rPr>
        <w:rFonts w:hint="default"/>
      </w:rPr>
    </w:lvl>
  </w:abstractNum>
  <w:abstractNum w:abstractNumId="34" w15:restartNumberingAfterBreak="0">
    <w:nsid w:val="5571285C"/>
    <w:multiLevelType w:val="multilevel"/>
    <w:tmpl w:val="6C36E04A"/>
    <w:name w:val="AECOM Outline numbering2"/>
    <w:lvl w:ilvl="0">
      <w:start w:val="1"/>
      <w:numFmt w:val="decimal"/>
      <w:lvlRestart w:val="0"/>
      <w:lvlText w:val="%1."/>
      <w:lvlJc w:val="left"/>
      <w:pPr>
        <w:ind w:left="850" w:hanging="850"/>
      </w:pPr>
      <w:rPr>
        <w:rFonts w:hint="default"/>
      </w:rPr>
    </w:lvl>
    <w:lvl w:ilvl="1">
      <w:start w:val="1"/>
      <w:numFmt w:val="decimal"/>
      <w:lvlText w:val="%1.%2"/>
      <w:lvlJc w:val="left"/>
      <w:pPr>
        <w:ind w:left="850" w:hanging="850"/>
      </w:pPr>
      <w:rPr>
        <w:rFonts w:hint="default"/>
      </w:rPr>
    </w:lvl>
    <w:lvl w:ilvl="2">
      <w:start w:val="1"/>
      <w:numFmt w:val="decimal"/>
      <w:lvlText w:val="%1.%2.%3"/>
      <w:lvlJc w:val="left"/>
      <w:pPr>
        <w:ind w:left="850" w:hanging="850"/>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850" w:hanging="850"/>
      </w:pPr>
      <w:rPr>
        <w:rFonts w:hint="default"/>
      </w:rPr>
    </w:lvl>
    <w:lvl w:ilvl="5">
      <w:start w:val="1"/>
      <w:numFmt w:val="decimal"/>
      <w:lvlText w:val="%1.%2.%3.%4.%5.%6"/>
      <w:lvlJc w:val="left"/>
      <w:pPr>
        <w:ind w:left="850" w:hanging="850"/>
      </w:pPr>
      <w:rPr>
        <w:rFonts w:hint="default"/>
      </w:rPr>
    </w:lvl>
    <w:lvl w:ilvl="6">
      <w:start w:val="1"/>
      <w:numFmt w:val="none"/>
      <w:lvlText w:val=""/>
      <w:lvlJc w:val="left"/>
      <w:pPr>
        <w:ind w:left="850" w:hanging="850"/>
      </w:pPr>
      <w:rPr>
        <w:rFonts w:hint="default"/>
      </w:rPr>
    </w:lvl>
    <w:lvl w:ilvl="7">
      <w:start w:val="1"/>
      <w:numFmt w:val="lowerLetter"/>
      <w:lvlText w:val="%8."/>
      <w:lvlJc w:val="left"/>
      <w:pPr>
        <w:ind w:left="850" w:hanging="850"/>
      </w:pPr>
      <w:rPr>
        <w:rFonts w:hint="default"/>
      </w:rPr>
    </w:lvl>
    <w:lvl w:ilvl="8">
      <w:start w:val="1"/>
      <w:numFmt w:val="lowerRoman"/>
      <w:lvlText w:val="%9."/>
      <w:lvlJc w:val="left"/>
      <w:pPr>
        <w:ind w:left="850" w:hanging="850"/>
      </w:pPr>
      <w:rPr>
        <w:rFonts w:hint="default"/>
      </w:rPr>
    </w:lvl>
  </w:abstractNum>
  <w:abstractNum w:abstractNumId="35" w15:restartNumberingAfterBreak="0">
    <w:nsid w:val="5B0C28C9"/>
    <w:multiLevelType w:val="hybridMultilevel"/>
    <w:tmpl w:val="D43A4186"/>
    <w:lvl w:ilvl="0" w:tplc="2A52D072">
      <w:start w:val="1"/>
      <w:numFmt w:val="decimal"/>
      <w:lvlText w:val="%1)"/>
      <w:lvlJc w:val="left"/>
      <w:pPr>
        <w:ind w:left="720" w:hanging="360"/>
      </w:pPr>
    </w:lvl>
    <w:lvl w:ilvl="1" w:tplc="308A7486">
      <w:start w:val="1"/>
      <w:numFmt w:val="decimal"/>
      <w:lvlText w:val="%2)"/>
      <w:lvlJc w:val="left"/>
      <w:pPr>
        <w:ind w:left="720" w:hanging="360"/>
      </w:pPr>
    </w:lvl>
    <w:lvl w:ilvl="2" w:tplc="A8A8A660">
      <w:start w:val="1"/>
      <w:numFmt w:val="decimal"/>
      <w:lvlText w:val="%3)"/>
      <w:lvlJc w:val="left"/>
      <w:pPr>
        <w:ind w:left="720" w:hanging="360"/>
      </w:pPr>
    </w:lvl>
    <w:lvl w:ilvl="3" w:tplc="1F1E3B50">
      <w:start w:val="1"/>
      <w:numFmt w:val="decimal"/>
      <w:lvlText w:val="%4)"/>
      <w:lvlJc w:val="left"/>
      <w:pPr>
        <w:ind w:left="720" w:hanging="360"/>
      </w:pPr>
    </w:lvl>
    <w:lvl w:ilvl="4" w:tplc="C6507764">
      <w:start w:val="1"/>
      <w:numFmt w:val="decimal"/>
      <w:lvlText w:val="%5)"/>
      <w:lvlJc w:val="left"/>
      <w:pPr>
        <w:ind w:left="720" w:hanging="360"/>
      </w:pPr>
    </w:lvl>
    <w:lvl w:ilvl="5" w:tplc="9CD2A610">
      <w:start w:val="1"/>
      <w:numFmt w:val="decimal"/>
      <w:lvlText w:val="%6)"/>
      <w:lvlJc w:val="left"/>
      <w:pPr>
        <w:ind w:left="720" w:hanging="360"/>
      </w:pPr>
    </w:lvl>
    <w:lvl w:ilvl="6" w:tplc="2ECCD07E">
      <w:start w:val="1"/>
      <w:numFmt w:val="decimal"/>
      <w:lvlText w:val="%7)"/>
      <w:lvlJc w:val="left"/>
      <w:pPr>
        <w:ind w:left="720" w:hanging="360"/>
      </w:pPr>
    </w:lvl>
    <w:lvl w:ilvl="7" w:tplc="0A8ACFEC">
      <w:start w:val="1"/>
      <w:numFmt w:val="decimal"/>
      <w:lvlText w:val="%8)"/>
      <w:lvlJc w:val="left"/>
      <w:pPr>
        <w:ind w:left="720" w:hanging="360"/>
      </w:pPr>
    </w:lvl>
    <w:lvl w:ilvl="8" w:tplc="4BF67B26">
      <w:start w:val="1"/>
      <w:numFmt w:val="decimal"/>
      <w:lvlText w:val="%9)"/>
      <w:lvlJc w:val="left"/>
      <w:pPr>
        <w:ind w:left="720" w:hanging="360"/>
      </w:pPr>
    </w:lvl>
  </w:abstractNum>
  <w:abstractNum w:abstractNumId="36" w15:restartNumberingAfterBreak="0">
    <w:nsid w:val="5BC55643"/>
    <w:multiLevelType w:val="hybridMultilevel"/>
    <w:tmpl w:val="180E54E4"/>
    <w:lvl w:ilvl="0" w:tplc="0844673C">
      <w:start w:val="1"/>
      <w:numFmt w:val="decimal"/>
      <w:lvlText w:val="%1)"/>
      <w:lvlJc w:val="left"/>
      <w:pPr>
        <w:ind w:left="720" w:hanging="360"/>
      </w:pPr>
    </w:lvl>
    <w:lvl w:ilvl="1" w:tplc="FFAAB2A6">
      <w:start w:val="1"/>
      <w:numFmt w:val="decimal"/>
      <w:lvlText w:val="%2)"/>
      <w:lvlJc w:val="left"/>
      <w:pPr>
        <w:ind w:left="720" w:hanging="360"/>
      </w:pPr>
    </w:lvl>
    <w:lvl w:ilvl="2" w:tplc="05D63570">
      <w:start w:val="1"/>
      <w:numFmt w:val="decimal"/>
      <w:lvlText w:val="%3)"/>
      <w:lvlJc w:val="left"/>
      <w:pPr>
        <w:ind w:left="720" w:hanging="360"/>
      </w:pPr>
    </w:lvl>
    <w:lvl w:ilvl="3" w:tplc="56BE2CB2">
      <w:start w:val="1"/>
      <w:numFmt w:val="decimal"/>
      <w:lvlText w:val="%4)"/>
      <w:lvlJc w:val="left"/>
      <w:pPr>
        <w:ind w:left="720" w:hanging="360"/>
      </w:pPr>
    </w:lvl>
    <w:lvl w:ilvl="4" w:tplc="F5A6AB04">
      <w:start w:val="1"/>
      <w:numFmt w:val="decimal"/>
      <w:lvlText w:val="%5)"/>
      <w:lvlJc w:val="left"/>
      <w:pPr>
        <w:ind w:left="720" w:hanging="360"/>
      </w:pPr>
    </w:lvl>
    <w:lvl w:ilvl="5" w:tplc="2654B986">
      <w:start w:val="1"/>
      <w:numFmt w:val="decimal"/>
      <w:lvlText w:val="%6)"/>
      <w:lvlJc w:val="left"/>
      <w:pPr>
        <w:ind w:left="720" w:hanging="360"/>
      </w:pPr>
    </w:lvl>
    <w:lvl w:ilvl="6" w:tplc="F5B0E76E">
      <w:start w:val="1"/>
      <w:numFmt w:val="decimal"/>
      <w:lvlText w:val="%7)"/>
      <w:lvlJc w:val="left"/>
      <w:pPr>
        <w:ind w:left="720" w:hanging="360"/>
      </w:pPr>
    </w:lvl>
    <w:lvl w:ilvl="7" w:tplc="035418FA">
      <w:start w:val="1"/>
      <w:numFmt w:val="decimal"/>
      <w:lvlText w:val="%8)"/>
      <w:lvlJc w:val="left"/>
      <w:pPr>
        <w:ind w:left="720" w:hanging="360"/>
      </w:pPr>
    </w:lvl>
    <w:lvl w:ilvl="8" w:tplc="6F34BA4A">
      <w:start w:val="1"/>
      <w:numFmt w:val="decimal"/>
      <w:lvlText w:val="%9)"/>
      <w:lvlJc w:val="left"/>
      <w:pPr>
        <w:ind w:left="720" w:hanging="360"/>
      </w:pPr>
    </w:lvl>
  </w:abstractNum>
  <w:abstractNum w:abstractNumId="37" w15:restartNumberingAfterBreak="0">
    <w:nsid w:val="601D098F"/>
    <w:multiLevelType w:val="hybridMultilevel"/>
    <w:tmpl w:val="E850E9EC"/>
    <w:lvl w:ilvl="0" w:tplc="A052FDCE">
      <w:start w:val="1"/>
      <w:numFmt w:val="decimal"/>
      <w:lvlText w:val="%1)"/>
      <w:lvlJc w:val="left"/>
      <w:pPr>
        <w:ind w:left="720" w:hanging="360"/>
      </w:pPr>
    </w:lvl>
    <w:lvl w:ilvl="1" w:tplc="6E703940">
      <w:start w:val="1"/>
      <w:numFmt w:val="decimal"/>
      <w:lvlText w:val="%2)"/>
      <w:lvlJc w:val="left"/>
      <w:pPr>
        <w:ind w:left="720" w:hanging="360"/>
      </w:pPr>
    </w:lvl>
    <w:lvl w:ilvl="2" w:tplc="9E68AB74">
      <w:start w:val="1"/>
      <w:numFmt w:val="decimal"/>
      <w:lvlText w:val="%3)"/>
      <w:lvlJc w:val="left"/>
      <w:pPr>
        <w:ind w:left="720" w:hanging="360"/>
      </w:pPr>
    </w:lvl>
    <w:lvl w:ilvl="3" w:tplc="006C659A">
      <w:start w:val="1"/>
      <w:numFmt w:val="decimal"/>
      <w:lvlText w:val="%4)"/>
      <w:lvlJc w:val="left"/>
      <w:pPr>
        <w:ind w:left="720" w:hanging="360"/>
      </w:pPr>
    </w:lvl>
    <w:lvl w:ilvl="4" w:tplc="4E2EC20A">
      <w:start w:val="1"/>
      <w:numFmt w:val="decimal"/>
      <w:lvlText w:val="%5)"/>
      <w:lvlJc w:val="left"/>
      <w:pPr>
        <w:ind w:left="720" w:hanging="360"/>
      </w:pPr>
    </w:lvl>
    <w:lvl w:ilvl="5" w:tplc="8800FA74">
      <w:start w:val="1"/>
      <w:numFmt w:val="decimal"/>
      <w:lvlText w:val="%6)"/>
      <w:lvlJc w:val="left"/>
      <w:pPr>
        <w:ind w:left="720" w:hanging="360"/>
      </w:pPr>
    </w:lvl>
    <w:lvl w:ilvl="6" w:tplc="E626DC4E">
      <w:start w:val="1"/>
      <w:numFmt w:val="decimal"/>
      <w:lvlText w:val="%7)"/>
      <w:lvlJc w:val="left"/>
      <w:pPr>
        <w:ind w:left="720" w:hanging="360"/>
      </w:pPr>
    </w:lvl>
    <w:lvl w:ilvl="7" w:tplc="2A988CC0">
      <w:start w:val="1"/>
      <w:numFmt w:val="decimal"/>
      <w:lvlText w:val="%8)"/>
      <w:lvlJc w:val="left"/>
      <w:pPr>
        <w:ind w:left="720" w:hanging="360"/>
      </w:pPr>
    </w:lvl>
    <w:lvl w:ilvl="8" w:tplc="36FCEE92">
      <w:start w:val="1"/>
      <w:numFmt w:val="decimal"/>
      <w:lvlText w:val="%9)"/>
      <w:lvlJc w:val="left"/>
      <w:pPr>
        <w:ind w:left="720" w:hanging="360"/>
      </w:pPr>
    </w:lvl>
  </w:abstractNum>
  <w:abstractNum w:abstractNumId="38" w15:restartNumberingAfterBreak="0">
    <w:nsid w:val="659A027C"/>
    <w:multiLevelType w:val="multilevel"/>
    <w:tmpl w:val="ACFCE65E"/>
    <w:lvl w:ilvl="0">
      <w:start w:val="1"/>
      <w:numFmt w:val="decimal"/>
      <w:pStyle w:val="ListNumber"/>
      <w:lvlText w:val="%1."/>
      <w:lvlJc w:val="left"/>
      <w:pPr>
        <w:ind w:left="425" w:hanging="425"/>
      </w:pPr>
      <w:rPr>
        <w:rFonts w:hint="default"/>
      </w:rPr>
    </w:lvl>
    <w:lvl w:ilvl="1">
      <w:start w:val="1"/>
      <w:numFmt w:val="lowerLetter"/>
      <w:pStyle w:val="ListNumber2"/>
      <w:lvlText w:val="%2."/>
      <w:lvlJc w:val="left"/>
      <w:pPr>
        <w:tabs>
          <w:tab w:val="num" w:pos="850"/>
        </w:tabs>
        <w:ind w:left="850" w:hanging="425"/>
      </w:pPr>
      <w:rPr>
        <w:rFonts w:hint="default"/>
      </w:rPr>
    </w:lvl>
    <w:lvl w:ilvl="2">
      <w:start w:val="1"/>
      <w:numFmt w:val="lowerRoman"/>
      <w:pStyle w:val="ListNumber3"/>
      <w:lvlText w:val="%3."/>
      <w:lvlJc w:val="left"/>
      <w:pPr>
        <w:tabs>
          <w:tab w:val="num" w:pos="1275"/>
        </w:tabs>
        <w:ind w:left="1275" w:hanging="425"/>
      </w:pPr>
      <w:rPr>
        <w:rFonts w:hint="default"/>
      </w:rPr>
    </w:lvl>
    <w:lvl w:ilvl="3">
      <w:start w:val="1"/>
      <w:numFmt w:val="decimal"/>
      <w:lvlText w:val="%4."/>
      <w:lvlJc w:val="left"/>
      <w:pPr>
        <w:tabs>
          <w:tab w:val="num" w:pos="1700"/>
        </w:tabs>
        <w:ind w:left="1700" w:hanging="425"/>
      </w:pPr>
      <w:rPr>
        <w:rFonts w:hint="default"/>
      </w:rPr>
    </w:lvl>
    <w:lvl w:ilvl="4">
      <w:start w:val="1"/>
      <w:numFmt w:val="lowerLetter"/>
      <w:lvlText w:val="%5."/>
      <w:lvlJc w:val="left"/>
      <w:pPr>
        <w:tabs>
          <w:tab w:val="num" w:pos="2125"/>
        </w:tabs>
        <w:ind w:left="2125" w:hanging="425"/>
      </w:pPr>
      <w:rPr>
        <w:rFonts w:hint="default"/>
      </w:rPr>
    </w:lvl>
    <w:lvl w:ilvl="5">
      <w:start w:val="1"/>
      <w:numFmt w:val="lowerRoman"/>
      <w:lvlText w:val="%6."/>
      <w:lvlJc w:val="right"/>
      <w:pPr>
        <w:tabs>
          <w:tab w:val="num" w:pos="2550"/>
        </w:tabs>
        <w:ind w:left="2550" w:hanging="425"/>
      </w:pPr>
      <w:rPr>
        <w:rFonts w:hint="default"/>
      </w:rPr>
    </w:lvl>
    <w:lvl w:ilvl="6">
      <w:start w:val="1"/>
      <w:numFmt w:val="decimal"/>
      <w:lvlText w:val="%7."/>
      <w:lvlJc w:val="left"/>
      <w:pPr>
        <w:tabs>
          <w:tab w:val="num" w:pos="2975"/>
        </w:tabs>
        <w:ind w:left="2975" w:hanging="425"/>
      </w:pPr>
      <w:rPr>
        <w:rFonts w:hint="default"/>
      </w:rPr>
    </w:lvl>
    <w:lvl w:ilvl="7">
      <w:start w:val="1"/>
      <w:numFmt w:val="lowerLetter"/>
      <w:lvlText w:val="%8."/>
      <w:lvlJc w:val="left"/>
      <w:pPr>
        <w:tabs>
          <w:tab w:val="num" w:pos="3400"/>
        </w:tabs>
        <w:ind w:left="3400" w:hanging="425"/>
      </w:pPr>
      <w:rPr>
        <w:rFonts w:hint="default"/>
      </w:rPr>
    </w:lvl>
    <w:lvl w:ilvl="8">
      <w:start w:val="1"/>
      <w:numFmt w:val="lowerRoman"/>
      <w:lvlText w:val="%9."/>
      <w:lvlJc w:val="right"/>
      <w:pPr>
        <w:tabs>
          <w:tab w:val="num" w:pos="3825"/>
        </w:tabs>
        <w:ind w:left="3825" w:hanging="425"/>
      </w:pPr>
      <w:rPr>
        <w:rFonts w:hint="default"/>
      </w:rPr>
    </w:lvl>
  </w:abstractNum>
  <w:abstractNum w:abstractNumId="39" w15:restartNumberingAfterBreak="0">
    <w:nsid w:val="68F67B9E"/>
    <w:multiLevelType w:val="hybridMultilevel"/>
    <w:tmpl w:val="3A62111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0" w15:restartNumberingAfterBreak="0">
    <w:nsid w:val="6EFE498B"/>
    <w:multiLevelType w:val="multilevel"/>
    <w:tmpl w:val="D88893D6"/>
    <w:lvl w:ilvl="0">
      <w:start w:val="1"/>
      <w:numFmt w:val="bullet"/>
      <w:lvlText w:val=""/>
      <w:lvlJc w:val="left"/>
      <w:pPr>
        <w:tabs>
          <w:tab w:val="num" w:pos="425"/>
        </w:tabs>
        <w:ind w:left="425" w:hanging="425"/>
      </w:pPr>
      <w:rPr>
        <w:rFonts w:ascii="Symbol" w:hAnsi="Symbol" w:hint="default"/>
        <w:color w:val="auto"/>
      </w:rPr>
    </w:lvl>
    <w:lvl w:ilvl="1">
      <w:start w:val="1"/>
      <w:numFmt w:val="bullet"/>
      <w:pStyle w:val="ListBullet2"/>
      <w:lvlText w:val="─"/>
      <w:lvlJc w:val="left"/>
      <w:pPr>
        <w:tabs>
          <w:tab w:val="num" w:pos="851"/>
        </w:tabs>
        <w:ind w:left="850" w:hanging="425"/>
      </w:pPr>
      <w:rPr>
        <w:rFonts w:ascii="Calibri" w:hAnsi="Calibri" w:hint="default"/>
        <w:color w:val="auto"/>
      </w:rPr>
    </w:lvl>
    <w:lvl w:ilvl="2">
      <w:start w:val="1"/>
      <w:numFmt w:val="bullet"/>
      <w:pStyle w:val="ListBullet3"/>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abstractNum w:abstractNumId="41" w15:restartNumberingAfterBreak="0">
    <w:nsid w:val="70357E1E"/>
    <w:multiLevelType w:val="hybridMultilevel"/>
    <w:tmpl w:val="39803AE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70B808DF"/>
    <w:multiLevelType w:val="hybridMultilevel"/>
    <w:tmpl w:val="29CAA0F0"/>
    <w:lvl w:ilvl="0" w:tplc="C3B0E8C6">
      <w:start w:val="1"/>
      <w:numFmt w:val="decimal"/>
      <w:lvlText w:val="%1)"/>
      <w:lvlJc w:val="left"/>
      <w:pPr>
        <w:ind w:left="720" w:hanging="360"/>
      </w:pPr>
    </w:lvl>
    <w:lvl w:ilvl="1" w:tplc="A6548452">
      <w:start w:val="1"/>
      <w:numFmt w:val="decimal"/>
      <w:lvlText w:val="%2)"/>
      <w:lvlJc w:val="left"/>
      <w:pPr>
        <w:ind w:left="720" w:hanging="360"/>
      </w:pPr>
    </w:lvl>
    <w:lvl w:ilvl="2" w:tplc="A5BCB532">
      <w:start w:val="1"/>
      <w:numFmt w:val="decimal"/>
      <w:lvlText w:val="%3)"/>
      <w:lvlJc w:val="left"/>
      <w:pPr>
        <w:ind w:left="720" w:hanging="360"/>
      </w:pPr>
    </w:lvl>
    <w:lvl w:ilvl="3" w:tplc="F6BA0896">
      <w:start w:val="1"/>
      <w:numFmt w:val="decimal"/>
      <w:lvlText w:val="%4)"/>
      <w:lvlJc w:val="left"/>
      <w:pPr>
        <w:ind w:left="720" w:hanging="360"/>
      </w:pPr>
    </w:lvl>
    <w:lvl w:ilvl="4" w:tplc="CBF4E67A">
      <w:start w:val="1"/>
      <w:numFmt w:val="decimal"/>
      <w:lvlText w:val="%5)"/>
      <w:lvlJc w:val="left"/>
      <w:pPr>
        <w:ind w:left="720" w:hanging="360"/>
      </w:pPr>
    </w:lvl>
    <w:lvl w:ilvl="5" w:tplc="6BD0A5C4">
      <w:start w:val="1"/>
      <w:numFmt w:val="decimal"/>
      <w:lvlText w:val="%6)"/>
      <w:lvlJc w:val="left"/>
      <w:pPr>
        <w:ind w:left="720" w:hanging="360"/>
      </w:pPr>
    </w:lvl>
    <w:lvl w:ilvl="6" w:tplc="E1481A26">
      <w:start w:val="1"/>
      <w:numFmt w:val="decimal"/>
      <w:lvlText w:val="%7)"/>
      <w:lvlJc w:val="left"/>
      <w:pPr>
        <w:ind w:left="720" w:hanging="360"/>
      </w:pPr>
    </w:lvl>
    <w:lvl w:ilvl="7" w:tplc="8E48D782">
      <w:start w:val="1"/>
      <w:numFmt w:val="decimal"/>
      <w:lvlText w:val="%8)"/>
      <w:lvlJc w:val="left"/>
      <w:pPr>
        <w:ind w:left="720" w:hanging="360"/>
      </w:pPr>
    </w:lvl>
    <w:lvl w:ilvl="8" w:tplc="1E982664">
      <w:start w:val="1"/>
      <w:numFmt w:val="decimal"/>
      <w:lvlText w:val="%9)"/>
      <w:lvlJc w:val="left"/>
      <w:pPr>
        <w:ind w:left="720" w:hanging="360"/>
      </w:pPr>
    </w:lvl>
  </w:abstractNum>
  <w:abstractNum w:abstractNumId="43" w15:restartNumberingAfterBreak="0">
    <w:nsid w:val="71D42692"/>
    <w:multiLevelType w:val="hybridMultilevel"/>
    <w:tmpl w:val="D8E8F406"/>
    <w:lvl w:ilvl="0" w:tplc="3C3AEF4E">
      <w:start w:val="1"/>
      <w:numFmt w:val="decimal"/>
      <w:lvlText w:val="%1)"/>
      <w:lvlJc w:val="left"/>
      <w:pPr>
        <w:ind w:left="720" w:hanging="360"/>
      </w:pPr>
    </w:lvl>
    <w:lvl w:ilvl="1" w:tplc="2098DB2C">
      <w:start w:val="1"/>
      <w:numFmt w:val="decimal"/>
      <w:lvlText w:val="%2)"/>
      <w:lvlJc w:val="left"/>
      <w:pPr>
        <w:ind w:left="720" w:hanging="360"/>
      </w:pPr>
    </w:lvl>
    <w:lvl w:ilvl="2" w:tplc="C12EB6DE">
      <w:start w:val="1"/>
      <w:numFmt w:val="decimal"/>
      <w:lvlText w:val="%3)"/>
      <w:lvlJc w:val="left"/>
      <w:pPr>
        <w:ind w:left="720" w:hanging="360"/>
      </w:pPr>
    </w:lvl>
    <w:lvl w:ilvl="3" w:tplc="DFF44842">
      <w:start w:val="1"/>
      <w:numFmt w:val="decimal"/>
      <w:lvlText w:val="%4)"/>
      <w:lvlJc w:val="left"/>
      <w:pPr>
        <w:ind w:left="720" w:hanging="360"/>
      </w:pPr>
    </w:lvl>
    <w:lvl w:ilvl="4" w:tplc="9BDE1C3A">
      <w:start w:val="1"/>
      <w:numFmt w:val="decimal"/>
      <w:lvlText w:val="%5)"/>
      <w:lvlJc w:val="left"/>
      <w:pPr>
        <w:ind w:left="720" w:hanging="360"/>
      </w:pPr>
    </w:lvl>
    <w:lvl w:ilvl="5" w:tplc="44862898">
      <w:start w:val="1"/>
      <w:numFmt w:val="decimal"/>
      <w:lvlText w:val="%6)"/>
      <w:lvlJc w:val="left"/>
      <w:pPr>
        <w:ind w:left="720" w:hanging="360"/>
      </w:pPr>
    </w:lvl>
    <w:lvl w:ilvl="6" w:tplc="D69E0B86">
      <w:start w:val="1"/>
      <w:numFmt w:val="decimal"/>
      <w:lvlText w:val="%7)"/>
      <w:lvlJc w:val="left"/>
      <w:pPr>
        <w:ind w:left="720" w:hanging="360"/>
      </w:pPr>
    </w:lvl>
    <w:lvl w:ilvl="7" w:tplc="84E488C4">
      <w:start w:val="1"/>
      <w:numFmt w:val="decimal"/>
      <w:lvlText w:val="%8)"/>
      <w:lvlJc w:val="left"/>
      <w:pPr>
        <w:ind w:left="720" w:hanging="360"/>
      </w:pPr>
    </w:lvl>
    <w:lvl w:ilvl="8" w:tplc="28BE4CBE">
      <w:start w:val="1"/>
      <w:numFmt w:val="decimal"/>
      <w:lvlText w:val="%9)"/>
      <w:lvlJc w:val="left"/>
      <w:pPr>
        <w:ind w:left="720" w:hanging="360"/>
      </w:pPr>
    </w:lvl>
  </w:abstractNum>
  <w:abstractNum w:abstractNumId="44" w15:restartNumberingAfterBreak="0">
    <w:nsid w:val="73140634"/>
    <w:multiLevelType w:val="hybridMultilevel"/>
    <w:tmpl w:val="54A0E6B6"/>
    <w:lvl w:ilvl="0" w:tplc="666CD5AC">
      <w:start w:val="1"/>
      <w:numFmt w:val="decimal"/>
      <w:lvlText w:val="%1)"/>
      <w:lvlJc w:val="left"/>
      <w:pPr>
        <w:ind w:left="720" w:hanging="360"/>
      </w:pPr>
    </w:lvl>
    <w:lvl w:ilvl="1" w:tplc="CD249A72">
      <w:start w:val="1"/>
      <w:numFmt w:val="decimal"/>
      <w:lvlText w:val="%2)"/>
      <w:lvlJc w:val="left"/>
      <w:pPr>
        <w:ind w:left="720" w:hanging="360"/>
      </w:pPr>
    </w:lvl>
    <w:lvl w:ilvl="2" w:tplc="AF12F698">
      <w:start w:val="1"/>
      <w:numFmt w:val="decimal"/>
      <w:lvlText w:val="%3)"/>
      <w:lvlJc w:val="left"/>
      <w:pPr>
        <w:ind w:left="720" w:hanging="360"/>
      </w:pPr>
    </w:lvl>
    <w:lvl w:ilvl="3" w:tplc="D85CDDFC">
      <w:start w:val="1"/>
      <w:numFmt w:val="decimal"/>
      <w:lvlText w:val="%4)"/>
      <w:lvlJc w:val="left"/>
      <w:pPr>
        <w:ind w:left="720" w:hanging="360"/>
      </w:pPr>
    </w:lvl>
    <w:lvl w:ilvl="4" w:tplc="BF86174C">
      <w:start w:val="1"/>
      <w:numFmt w:val="decimal"/>
      <w:lvlText w:val="%5)"/>
      <w:lvlJc w:val="left"/>
      <w:pPr>
        <w:ind w:left="720" w:hanging="360"/>
      </w:pPr>
    </w:lvl>
    <w:lvl w:ilvl="5" w:tplc="15BAE2F6">
      <w:start w:val="1"/>
      <w:numFmt w:val="decimal"/>
      <w:lvlText w:val="%6)"/>
      <w:lvlJc w:val="left"/>
      <w:pPr>
        <w:ind w:left="720" w:hanging="360"/>
      </w:pPr>
    </w:lvl>
    <w:lvl w:ilvl="6" w:tplc="88661902">
      <w:start w:val="1"/>
      <w:numFmt w:val="decimal"/>
      <w:lvlText w:val="%7)"/>
      <w:lvlJc w:val="left"/>
      <w:pPr>
        <w:ind w:left="720" w:hanging="360"/>
      </w:pPr>
    </w:lvl>
    <w:lvl w:ilvl="7" w:tplc="E51056F2">
      <w:start w:val="1"/>
      <w:numFmt w:val="decimal"/>
      <w:lvlText w:val="%8)"/>
      <w:lvlJc w:val="left"/>
      <w:pPr>
        <w:ind w:left="720" w:hanging="360"/>
      </w:pPr>
    </w:lvl>
    <w:lvl w:ilvl="8" w:tplc="DA00C52E">
      <w:start w:val="1"/>
      <w:numFmt w:val="decimal"/>
      <w:lvlText w:val="%9)"/>
      <w:lvlJc w:val="left"/>
      <w:pPr>
        <w:ind w:left="720" w:hanging="360"/>
      </w:pPr>
    </w:lvl>
  </w:abstractNum>
  <w:abstractNum w:abstractNumId="45" w15:restartNumberingAfterBreak="0">
    <w:nsid w:val="745F3632"/>
    <w:multiLevelType w:val="hybridMultilevel"/>
    <w:tmpl w:val="9DAEB1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75E63D4A"/>
    <w:multiLevelType w:val="multilevel"/>
    <w:tmpl w:val="4374215A"/>
    <w:styleLink w:val="AECOMSectionnumbering"/>
    <w:lvl w:ilvl="0">
      <w:start w:val="1"/>
      <w:numFmt w:val="bullet"/>
      <w:lvlText w:val=""/>
      <w:lvlJc w:val="left"/>
      <w:pPr>
        <w:tabs>
          <w:tab w:val="num" w:pos="360"/>
        </w:tabs>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7" w15:restartNumberingAfterBreak="0">
    <w:nsid w:val="7AB124CA"/>
    <w:multiLevelType w:val="multilevel"/>
    <w:tmpl w:val="39643158"/>
    <w:lvl w:ilvl="0">
      <w:start w:val="1"/>
      <w:numFmt w:val="bullet"/>
      <w:lvlText w:val=""/>
      <w:lvlJc w:val="left"/>
      <w:pPr>
        <w:tabs>
          <w:tab w:val="num" w:pos="425"/>
        </w:tabs>
        <w:ind w:left="425" w:hanging="425"/>
      </w:pPr>
      <w:rPr>
        <w:rFonts w:ascii="Symbol" w:hAnsi="Symbol" w:hint="default"/>
        <w:color w:val="auto"/>
      </w:rPr>
    </w:lvl>
    <w:lvl w:ilvl="1">
      <w:start w:val="1"/>
      <w:numFmt w:val="bullet"/>
      <w:lvlText w:val=""/>
      <w:lvlJc w:val="left"/>
      <w:pPr>
        <w:ind w:left="360" w:hanging="360"/>
      </w:pPr>
      <w:rPr>
        <w:rFonts w:ascii="Symbol" w:hAnsi="Symbol" w:hint="default"/>
      </w:rPr>
    </w:lvl>
    <w:lvl w:ilvl="2">
      <w:start w:val="1"/>
      <w:numFmt w:val="bullet"/>
      <w:lvlText w:val=""/>
      <w:lvlJc w:val="left"/>
      <w:pPr>
        <w:tabs>
          <w:tab w:val="num" w:pos="1276"/>
        </w:tabs>
        <w:ind w:left="1275" w:hanging="425"/>
      </w:pPr>
      <w:rPr>
        <w:rFonts w:ascii="Wingdings" w:hAnsi="Wingdings" w:hint="default"/>
        <w:color w:val="auto"/>
      </w:rPr>
    </w:lvl>
    <w:lvl w:ilvl="3">
      <w:start w:val="1"/>
      <w:numFmt w:val="bullet"/>
      <w:lvlText w:val=""/>
      <w:lvlJc w:val="left"/>
      <w:pPr>
        <w:ind w:left="1700" w:hanging="425"/>
      </w:pPr>
      <w:rPr>
        <w:rFonts w:ascii="Symbol" w:hAnsi="Symbol" w:hint="default"/>
      </w:rPr>
    </w:lvl>
    <w:lvl w:ilvl="4">
      <w:start w:val="1"/>
      <w:numFmt w:val="bullet"/>
      <w:lvlText w:val="─"/>
      <w:lvlJc w:val="left"/>
      <w:pPr>
        <w:ind w:left="2125" w:hanging="425"/>
      </w:pPr>
      <w:rPr>
        <w:rFonts w:ascii="Calibri" w:hAnsi="Calibri" w:hint="default"/>
        <w:color w:val="auto"/>
      </w:rPr>
    </w:lvl>
    <w:lvl w:ilvl="5">
      <w:start w:val="1"/>
      <w:numFmt w:val="bullet"/>
      <w:lvlText w:val=""/>
      <w:lvlJc w:val="left"/>
      <w:pPr>
        <w:tabs>
          <w:tab w:val="num" w:pos="2346"/>
        </w:tabs>
        <w:ind w:left="2550" w:hanging="425"/>
      </w:pPr>
      <w:rPr>
        <w:rFonts w:ascii="Wingdings" w:hAnsi="Wingdings" w:hint="default"/>
      </w:rPr>
    </w:lvl>
    <w:lvl w:ilvl="6">
      <w:start w:val="1"/>
      <w:numFmt w:val="bullet"/>
      <w:lvlText w:val=""/>
      <w:lvlJc w:val="left"/>
      <w:pPr>
        <w:tabs>
          <w:tab w:val="num" w:pos="2630"/>
        </w:tabs>
        <w:ind w:left="2975" w:hanging="425"/>
      </w:pPr>
      <w:rPr>
        <w:rFonts w:ascii="Symbol" w:hAnsi="Symbol" w:hint="default"/>
      </w:rPr>
    </w:lvl>
    <w:lvl w:ilvl="7">
      <w:start w:val="1"/>
      <w:numFmt w:val="bullet"/>
      <w:lvlText w:val="─"/>
      <w:lvlJc w:val="left"/>
      <w:pPr>
        <w:tabs>
          <w:tab w:val="num" w:pos="2914"/>
        </w:tabs>
        <w:ind w:left="3400" w:hanging="425"/>
      </w:pPr>
      <w:rPr>
        <w:rFonts w:ascii="Calibri" w:hAnsi="Calibri" w:hint="default"/>
        <w:color w:val="auto"/>
      </w:rPr>
    </w:lvl>
    <w:lvl w:ilvl="8">
      <w:start w:val="1"/>
      <w:numFmt w:val="bullet"/>
      <w:lvlText w:val=""/>
      <w:lvlJc w:val="left"/>
      <w:pPr>
        <w:tabs>
          <w:tab w:val="num" w:pos="3198"/>
        </w:tabs>
        <w:ind w:left="3825" w:hanging="425"/>
      </w:pPr>
      <w:rPr>
        <w:rFonts w:ascii="Wingdings" w:hAnsi="Wingdings" w:hint="default"/>
      </w:rPr>
    </w:lvl>
  </w:abstractNum>
  <w:num w:numId="1" w16cid:durableId="2135635180">
    <w:abstractNumId w:val="7"/>
  </w:num>
  <w:num w:numId="2" w16cid:durableId="387923486">
    <w:abstractNumId w:val="3"/>
  </w:num>
  <w:num w:numId="3" w16cid:durableId="1705712907">
    <w:abstractNumId w:val="31"/>
  </w:num>
  <w:num w:numId="4" w16cid:durableId="2025135039">
    <w:abstractNumId w:val="27"/>
  </w:num>
  <w:num w:numId="5" w16cid:durableId="580794723">
    <w:abstractNumId w:val="46"/>
  </w:num>
  <w:num w:numId="6" w16cid:durableId="639068601">
    <w:abstractNumId w:val="33"/>
  </w:num>
  <w:num w:numId="7" w16cid:durableId="973021422">
    <w:abstractNumId w:val="5"/>
  </w:num>
  <w:num w:numId="8" w16cid:durableId="1792550189">
    <w:abstractNumId w:val="4"/>
  </w:num>
  <w:num w:numId="9" w16cid:durableId="890069573">
    <w:abstractNumId w:val="1"/>
  </w:num>
  <w:num w:numId="10" w16cid:durableId="1665545834">
    <w:abstractNumId w:val="0"/>
  </w:num>
  <w:num w:numId="11" w16cid:durableId="1665008783">
    <w:abstractNumId w:val="9"/>
  </w:num>
  <w:num w:numId="12" w16cid:durableId="1174340146">
    <w:abstractNumId w:val="14"/>
  </w:num>
  <w:num w:numId="13" w16cid:durableId="159004624">
    <w:abstractNumId w:val="40"/>
  </w:num>
  <w:num w:numId="14" w16cid:durableId="91972502">
    <w:abstractNumId w:val="38"/>
  </w:num>
  <w:num w:numId="15" w16cid:durableId="2116359737">
    <w:abstractNumId w:val="20"/>
  </w:num>
  <w:num w:numId="16" w16cid:durableId="1826043905">
    <w:abstractNumId w:val="32"/>
  </w:num>
  <w:num w:numId="17" w16cid:durableId="2117095775">
    <w:abstractNumId w:val="18"/>
  </w:num>
  <w:num w:numId="18" w16cid:durableId="28721247">
    <w:abstractNumId w:val="21"/>
  </w:num>
  <w:num w:numId="19" w16cid:durableId="1820920233">
    <w:abstractNumId w:val="35"/>
  </w:num>
  <w:num w:numId="20" w16cid:durableId="59211129">
    <w:abstractNumId w:val="44"/>
  </w:num>
  <w:num w:numId="21" w16cid:durableId="218981434">
    <w:abstractNumId w:val="37"/>
  </w:num>
  <w:num w:numId="22" w16cid:durableId="437870948">
    <w:abstractNumId w:val="24"/>
  </w:num>
  <w:num w:numId="23" w16cid:durableId="441613802">
    <w:abstractNumId w:val="36"/>
  </w:num>
  <w:num w:numId="24" w16cid:durableId="726689590">
    <w:abstractNumId w:val="42"/>
  </w:num>
  <w:num w:numId="25" w16cid:durableId="850678838">
    <w:abstractNumId w:val="43"/>
  </w:num>
  <w:num w:numId="26" w16cid:durableId="1636644321">
    <w:abstractNumId w:val="10"/>
  </w:num>
  <w:num w:numId="27" w16cid:durableId="97482164">
    <w:abstractNumId w:val="11"/>
  </w:num>
  <w:num w:numId="28" w16cid:durableId="1020737137">
    <w:abstractNumId w:val="8"/>
  </w:num>
  <w:num w:numId="29" w16cid:durableId="886407084">
    <w:abstractNumId w:val="25"/>
  </w:num>
  <w:num w:numId="30" w16cid:durableId="1350447587">
    <w:abstractNumId w:val="15"/>
  </w:num>
  <w:num w:numId="31" w16cid:durableId="1930962647">
    <w:abstractNumId w:val="30"/>
  </w:num>
  <w:num w:numId="32" w16cid:durableId="1817146309">
    <w:abstractNumId w:val="13"/>
  </w:num>
  <w:num w:numId="33" w16cid:durableId="67308323">
    <w:abstractNumId w:val="45"/>
  </w:num>
  <w:num w:numId="34" w16cid:durableId="977809009">
    <w:abstractNumId w:val="22"/>
  </w:num>
  <w:num w:numId="35" w16cid:durableId="958032612">
    <w:abstractNumId w:val="19"/>
  </w:num>
  <w:num w:numId="36" w16cid:durableId="1133248809">
    <w:abstractNumId w:val="23"/>
  </w:num>
  <w:num w:numId="37" w16cid:durableId="81490178">
    <w:abstractNumId w:val="47"/>
  </w:num>
  <w:num w:numId="38" w16cid:durableId="509638070">
    <w:abstractNumId w:val="12"/>
  </w:num>
  <w:num w:numId="39" w16cid:durableId="1553229522">
    <w:abstractNumId w:val="29"/>
  </w:num>
  <w:num w:numId="40" w16cid:durableId="1622420171">
    <w:abstractNumId w:val="41"/>
  </w:num>
  <w:num w:numId="41" w16cid:durableId="901524056">
    <w:abstractNumId w:val="17"/>
  </w:num>
  <w:num w:numId="42" w16cid:durableId="1995331397">
    <w:abstractNumId w:val="26"/>
  </w:num>
  <w:num w:numId="43" w16cid:durableId="1859656182">
    <w:abstractNumId w:val="16"/>
  </w:num>
  <w:num w:numId="44" w16cid:durableId="1296568830">
    <w:abstractNumId w:val="0"/>
    <w:lvlOverride w:ilvl="2">
      <w:lvl w:ilvl="2">
        <w:start w:val="1"/>
        <w:numFmt w:val="decimal"/>
        <w:lvlText w:val="%1.%2.%3"/>
        <w:lvlJc w:val="left"/>
        <w:pPr>
          <w:ind w:left="1080" w:hanging="360"/>
        </w:pPr>
        <w:rPr>
          <w:rFonts w:hint="default"/>
        </w:rPr>
      </w:lvl>
    </w:lvlOverride>
  </w:num>
  <w:num w:numId="45" w16cid:durableId="1308126243">
    <w:abstractNumId w:val="28"/>
  </w:num>
  <w:num w:numId="46" w16cid:durableId="275717582">
    <w:abstractNumId w:val="7"/>
  </w:num>
  <w:num w:numId="47" w16cid:durableId="1661347808">
    <w:abstractNumId w:val="3"/>
  </w:num>
  <w:num w:numId="48" w16cid:durableId="361901238">
    <w:abstractNumId w:val="2"/>
  </w:num>
  <w:num w:numId="49" w16cid:durableId="774636481">
    <w:abstractNumId w:val="6"/>
  </w:num>
  <w:num w:numId="50" w16cid:durableId="146480232">
    <w:abstractNumId w:val="3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9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CTIVATED" w:val="1"/>
    <w:docVar w:name="CaptionHeadingNumber" w:val="0"/>
    <w:docVar w:name="cbTextLanguage_ListCount" w:val="0"/>
    <w:docVar w:name="cbTextLanguage_ListIndex" w:val="-1"/>
    <w:docVar w:name="CheckBox2" w:val="0"/>
    <w:docVar w:name="chkAccessibleFormat" w:val="0"/>
    <w:docVar w:name="chkChangeCoverImage" w:val="0"/>
    <w:docVar w:name="chkDraft" w:val="-1"/>
    <w:docVar w:name="chkFileName" w:val="0"/>
    <w:docVar w:name="chkFileNamePath" w:val="0"/>
    <w:docVar w:name="chkIncludeClientInHedaer" w:val="0"/>
    <w:docVar w:name="chkIncludeClientonCover" w:val="0"/>
    <w:docVar w:name="chkOfficeAddressBackcover" w:val="0"/>
    <w:docVar w:name="chkPrintedOnRecycledPaper" w:val="0"/>
    <w:docVar w:name="chkQITableSeal" w:val="0"/>
    <w:docVar w:name="chkSaveFooterDetails" w:val="0"/>
    <w:docVar w:name="chkSaveOfficeAddress" w:val="0"/>
    <w:docVar w:name="chkScholars" w:val="0"/>
    <w:docVar w:name="chkTagLine" w:val="-1"/>
    <w:docVar w:name="chkUKILongformLimitations" w:val="0"/>
    <w:docVar w:name="chkWhiteBorder" w:val="0"/>
    <w:docVar w:name="dv_selected_country" w:val="Ireland"/>
    <w:docVar w:name="lbANZDisclaimers_ListCount" w:val="0"/>
    <w:docVar w:name="lbANZDisclaimers_ListIndex" w:val="-1"/>
    <w:docVar w:name="lbANZLimitations_ListCount" w:val="0"/>
    <w:docVar w:name="lbANZLimitations_ListIndex" w:val="-1"/>
    <w:docVar w:name="lbAuthor_ListCount" w:val="0"/>
    <w:docVar w:name="lbAuthor_ListIndex" w:val="-1"/>
    <w:docVar w:name="lbImages_ListCount" w:val="0"/>
    <w:docVar w:name="lbImages_ListIndex" w:val="-1"/>
    <w:docVar w:name="lbProtectiveMarkings_0" w:val="None"/>
    <w:docVar w:name="lbProtectiveMarkings_0_0" w:val="None"/>
    <w:docVar w:name="lbProtectiveMarkings_1" w:val="PUBLIC"/>
    <w:docVar w:name="lbProtectiveMarkings_1_0" w:val="PUBLIC"/>
    <w:docVar w:name="lbProtectiveMarkings_2" w:val="OFFICIAL"/>
    <w:docVar w:name="lbProtectiveMarkings_2_0" w:val="OFFICIAL"/>
    <w:docVar w:name="lbProtectiveMarkings_3" w:val="COMPANY CONFIDENTIAL"/>
    <w:docVar w:name="lbProtectiveMarkings_3_0" w:val="COMPANY CONFIDENTIAL"/>
    <w:docVar w:name="lbProtectiveMarkings_4" w:val="COMMERCIAL IN CONFIDENCE"/>
    <w:docVar w:name="lbProtectiveMarkings_4_0" w:val="COMMERCIAL IN CONFIDENCE"/>
    <w:docVar w:name="lbProtectiveMarkings_5" w:val="DRAFT"/>
    <w:docVar w:name="lbProtectiveMarkings_5_0" w:val="DRAFT"/>
    <w:docVar w:name="lbProtectiveMarkings_6" w:val="Free-type ...  (use a comma to denote a new line)"/>
    <w:docVar w:name="lbProtectiveMarkings_6_0" w:val="Free-type ...  (use a comma to denote a new line)"/>
    <w:docVar w:name="lbProtectiveMarkings_ListCount" w:val="7"/>
    <w:docVar w:name="lbProtectiveMarkings_ListIndex" w:val="-1"/>
    <w:docVar w:name="optA3Landscape" w:val="0"/>
    <w:docVar w:name="optA4" w:val="-1"/>
    <w:docVar w:name="optA4Landscape" w:val="0"/>
    <w:docVar w:name="optA4Portrait" w:val="-1"/>
    <w:docVar w:name="optAA1column" w:val="-1"/>
    <w:docVar w:name="optAA2column" w:val="0"/>
    <w:docVar w:name="optAA3column" w:val="0"/>
    <w:docVar w:name="optArcColour1" w:val="0"/>
    <w:docVar w:name="optArcColour2" w:val="0"/>
    <w:docVar w:name="optArcColour3" w:val="-1"/>
    <w:docVar w:name="optArcColour4" w:val="0"/>
    <w:docVar w:name="optArcColour5" w:val="0"/>
    <w:docVar w:name="optArcDOWN" w:val="0"/>
    <w:docVar w:name="optArcUP" w:val="-1"/>
    <w:docVar w:name="optBW" w:val="0"/>
    <w:docVar w:name="optChangeFontAECOMSans" w:val="0"/>
    <w:docVar w:name="optChangeFontArial" w:val="-1"/>
    <w:docVar w:name="optCoverColour1" w:val="0"/>
    <w:docVar w:name="optCoverColour2" w:val="-1"/>
    <w:docVar w:name="optCoverColour3" w:val="0"/>
    <w:docVar w:name="optCoverColour4" w:val="0"/>
    <w:docVar w:name="optCoverColour5" w:val="0"/>
    <w:docVar w:name="optCoversheet" w:val="0"/>
    <w:docVar w:name="optDoubleSided" w:val="0"/>
    <w:docVar w:name="optFont10" w:val="0"/>
    <w:docVar w:name="optFont11" w:val="0"/>
    <w:docVar w:name="optFont12" w:val="0"/>
    <w:docVar w:name="optFont9" w:val="-1"/>
    <w:docVar w:name="optFontAccessibility" w:val="0"/>
    <w:docVar w:name="optGraphicFull" w:val="0"/>
    <w:docVar w:name="optHeading1Font18" w:val="0"/>
    <w:docVar w:name="optHeading1Font21" w:val="0"/>
    <w:docVar w:name="optHeading1Font24" w:val="-1"/>
    <w:docVar w:name="optImagesAECOM" w:val="0"/>
    <w:docVar w:name="optImagesBrowse" w:val="0"/>
    <w:docVar w:name="optLetter" w:val="0"/>
    <w:docVar w:name="optLogo" w:val="-1"/>
    <w:docVar w:name="optNoLogo" w:val="0"/>
    <w:docVar w:name="optNumberedHeadings" w:val="0"/>
    <w:docVar w:name="optNumberedHeadingsParagraphs" w:val="-1"/>
    <w:docVar w:name="optP0" w:val="0"/>
    <w:docVar w:name="optP1" w:val="0"/>
    <w:docVar w:name="optP2" w:val="0"/>
    <w:docVar w:name="optP3" w:val="0"/>
    <w:docVar w:name="optP4" w:val="0"/>
    <w:docVar w:name="optP5" w:val="0"/>
    <w:docVar w:name="optP6" w:val="0"/>
    <w:docVar w:name="optPhotoFull" w:val="0"/>
    <w:docVar w:name="optPhotoGrahicHalf" w:val="0"/>
    <w:docVar w:name="optPlainBlue" w:val="0"/>
    <w:docVar w:name="optProposal" w:val="0"/>
    <w:docVar w:name="optS0" w:val="0"/>
    <w:docVar w:name="optS1" w:val="0"/>
    <w:docVar w:name="optS2" w:val="0"/>
    <w:docVar w:name="optS3" w:val="0"/>
    <w:docVar w:name="optS4" w:val="0"/>
    <w:docVar w:name="optS5" w:val="0"/>
    <w:docVar w:name="optS6" w:val="0"/>
    <w:docVar w:name="optSingleSided" w:val="-1"/>
    <w:docVar w:name="optTechnicalReport" w:val="-1"/>
    <w:docVar w:name="optTender" w:val="0"/>
    <w:docVar w:name="optUnNumberedHeadings" w:val="0"/>
    <w:docVar w:name="optUSLetterLandscape" w:val="0"/>
    <w:docVar w:name="optUSLetterPortrait" w:val="0"/>
    <w:docVar w:name="RERUN" w:val="1"/>
    <w:docVar w:name="SelectedCountry" w:val="0"/>
    <w:docVar w:name="SelectedEntity" w:val="0"/>
    <w:docVar w:name="SelectedGeo" w:val="0"/>
    <w:docVar w:name="SelectedLanguage" w:val="0"/>
    <w:docVar w:name="SelectedOffice" w:val="1"/>
    <w:docVar w:name="SelectedPageLayout" w:val="3"/>
    <w:docVar w:name="SelectedRegion" w:val="1"/>
    <w:docVar w:name="tbClient" w:val="South Dublin County Council "/>
    <w:docVar w:name="tbDate" w:val="19 December 2025"/>
    <w:docVar w:name="tbDocumentTitle" w:val="SDCC Rathcoole Housing Development"/>
    <w:docVar w:name="tbFooterDetails" w:val="AECOM Ireland Limited registered in Ireland, company number 315981._x000d__x000a_"/>
    <w:docVar w:name="tbImage" w:val="None"/>
    <w:docVar w:name="tbOfficeAddress" w:val="AECOM Ireland Limited_x000d__x000a_4th Floor_x000d__x000a_Adelphi Plaza_x000d__x000a_Georges Street Upper_x000d__x000a_Dun Laoghaire_x000d__x000a_Co. Dublin A96 T927_x000d__x000a_Ireland_x000d__x000a__x000d__x000a_T: +353 1 696 6220_x000d__x000a_aecom.com"/>
    <w:docVar w:name="tbSubtitle" w:val="Environmental Impact Assessment Report"/>
    <w:docVar w:name="TranslateChart" w:val="Chart"/>
    <w:docVar w:name="TranslateFigure" w:val="Figure"/>
    <w:docVar w:name="TranslateTable" w:val="Table"/>
  </w:docVars>
  <w:rsids>
    <w:rsidRoot w:val="0087529F"/>
    <w:rsid w:val="000005B3"/>
    <w:rsid w:val="00001168"/>
    <w:rsid w:val="00001D60"/>
    <w:rsid w:val="00001F23"/>
    <w:rsid w:val="00003BAF"/>
    <w:rsid w:val="00004662"/>
    <w:rsid w:val="00004667"/>
    <w:rsid w:val="00004730"/>
    <w:rsid w:val="0000567F"/>
    <w:rsid w:val="00005796"/>
    <w:rsid w:val="0000740C"/>
    <w:rsid w:val="00007C41"/>
    <w:rsid w:val="00007FB3"/>
    <w:rsid w:val="000102F4"/>
    <w:rsid w:val="00010449"/>
    <w:rsid w:val="00010A5D"/>
    <w:rsid w:val="00011B0A"/>
    <w:rsid w:val="00012A6F"/>
    <w:rsid w:val="000144E9"/>
    <w:rsid w:val="000148B7"/>
    <w:rsid w:val="00014FBA"/>
    <w:rsid w:val="00016970"/>
    <w:rsid w:val="000175D2"/>
    <w:rsid w:val="0001766E"/>
    <w:rsid w:val="000177B9"/>
    <w:rsid w:val="000203AC"/>
    <w:rsid w:val="00022579"/>
    <w:rsid w:val="00022D23"/>
    <w:rsid w:val="00023F39"/>
    <w:rsid w:val="00024BC7"/>
    <w:rsid w:val="00027303"/>
    <w:rsid w:val="00027383"/>
    <w:rsid w:val="0002785C"/>
    <w:rsid w:val="0003139A"/>
    <w:rsid w:val="0003173A"/>
    <w:rsid w:val="000319A4"/>
    <w:rsid w:val="0003297A"/>
    <w:rsid w:val="00032A5B"/>
    <w:rsid w:val="00032CFF"/>
    <w:rsid w:val="0003401A"/>
    <w:rsid w:val="00035066"/>
    <w:rsid w:val="00035726"/>
    <w:rsid w:val="000364E3"/>
    <w:rsid w:val="000365FF"/>
    <w:rsid w:val="000368F0"/>
    <w:rsid w:val="000370B1"/>
    <w:rsid w:val="00040514"/>
    <w:rsid w:val="00042502"/>
    <w:rsid w:val="00045565"/>
    <w:rsid w:val="0004726B"/>
    <w:rsid w:val="00047F34"/>
    <w:rsid w:val="00050057"/>
    <w:rsid w:val="000517CF"/>
    <w:rsid w:val="0005363D"/>
    <w:rsid w:val="00053787"/>
    <w:rsid w:val="000537D2"/>
    <w:rsid w:val="00053F18"/>
    <w:rsid w:val="0005776B"/>
    <w:rsid w:val="0005782B"/>
    <w:rsid w:val="000579F8"/>
    <w:rsid w:val="00061437"/>
    <w:rsid w:val="00062740"/>
    <w:rsid w:val="00062EC2"/>
    <w:rsid w:val="00064D84"/>
    <w:rsid w:val="0006526E"/>
    <w:rsid w:val="000652F7"/>
    <w:rsid w:val="0006574B"/>
    <w:rsid w:val="00065862"/>
    <w:rsid w:val="0006598D"/>
    <w:rsid w:val="00065EAC"/>
    <w:rsid w:val="000663FA"/>
    <w:rsid w:val="00066A8B"/>
    <w:rsid w:val="00066EAD"/>
    <w:rsid w:val="00067457"/>
    <w:rsid w:val="00067606"/>
    <w:rsid w:val="000677D6"/>
    <w:rsid w:val="000678C6"/>
    <w:rsid w:val="00070695"/>
    <w:rsid w:val="000738BF"/>
    <w:rsid w:val="0007413E"/>
    <w:rsid w:val="0007475D"/>
    <w:rsid w:val="000757C2"/>
    <w:rsid w:val="00076201"/>
    <w:rsid w:val="000765C0"/>
    <w:rsid w:val="00076C79"/>
    <w:rsid w:val="00077C98"/>
    <w:rsid w:val="00080E13"/>
    <w:rsid w:val="0008106E"/>
    <w:rsid w:val="00082023"/>
    <w:rsid w:val="00082797"/>
    <w:rsid w:val="00083354"/>
    <w:rsid w:val="00083715"/>
    <w:rsid w:val="000840C5"/>
    <w:rsid w:val="00084A58"/>
    <w:rsid w:val="0008533E"/>
    <w:rsid w:val="00085367"/>
    <w:rsid w:val="00085D07"/>
    <w:rsid w:val="00086A8C"/>
    <w:rsid w:val="0008756F"/>
    <w:rsid w:val="00087D13"/>
    <w:rsid w:val="000908AE"/>
    <w:rsid w:val="0009153B"/>
    <w:rsid w:val="00091B2D"/>
    <w:rsid w:val="00092FD0"/>
    <w:rsid w:val="000941FF"/>
    <w:rsid w:val="00094484"/>
    <w:rsid w:val="00095B36"/>
    <w:rsid w:val="00095B8D"/>
    <w:rsid w:val="00095E83"/>
    <w:rsid w:val="0009611E"/>
    <w:rsid w:val="00096AA8"/>
    <w:rsid w:val="00097E04"/>
    <w:rsid w:val="000A14DC"/>
    <w:rsid w:val="000A1A2B"/>
    <w:rsid w:val="000A2D0C"/>
    <w:rsid w:val="000A325E"/>
    <w:rsid w:val="000A3D25"/>
    <w:rsid w:val="000A51D1"/>
    <w:rsid w:val="000A5700"/>
    <w:rsid w:val="000A5E31"/>
    <w:rsid w:val="000A6A13"/>
    <w:rsid w:val="000A78F5"/>
    <w:rsid w:val="000A7E9F"/>
    <w:rsid w:val="000B28E6"/>
    <w:rsid w:val="000B3043"/>
    <w:rsid w:val="000B566E"/>
    <w:rsid w:val="000B6940"/>
    <w:rsid w:val="000B73C5"/>
    <w:rsid w:val="000C014C"/>
    <w:rsid w:val="000C07D7"/>
    <w:rsid w:val="000C0826"/>
    <w:rsid w:val="000C0D5A"/>
    <w:rsid w:val="000C0FDF"/>
    <w:rsid w:val="000C1E5B"/>
    <w:rsid w:val="000C2D32"/>
    <w:rsid w:val="000C2F6C"/>
    <w:rsid w:val="000C334B"/>
    <w:rsid w:val="000C341A"/>
    <w:rsid w:val="000C39CB"/>
    <w:rsid w:val="000C3B9A"/>
    <w:rsid w:val="000C3C1D"/>
    <w:rsid w:val="000C6D3B"/>
    <w:rsid w:val="000C6F21"/>
    <w:rsid w:val="000C7124"/>
    <w:rsid w:val="000D1232"/>
    <w:rsid w:val="000D13AF"/>
    <w:rsid w:val="000D19B5"/>
    <w:rsid w:val="000D282F"/>
    <w:rsid w:val="000D307D"/>
    <w:rsid w:val="000D37A9"/>
    <w:rsid w:val="000D3B96"/>
    <w:rsid w:val="000D3FE9"/>
    <w:rsid w:val="000D71E6"/>
    <w:rsid w:val="000D7939"/>
    <w:rsid w:val="000D7D92"/>
    <w:rsid w:val="000E4587"/>
    <w:rsid w:val="000E493A"/>
    <w:rsid w:val="000E4F2A"/>
    <w:rsid w:val="000F0027"/>
    <w:rsid w:val="000F10ED"/>
    <w:rsid w:val="000F22FF"/>
    <w:rsid w:val="000F2C08"/>
    <w:rsid w:val="000F30E7"/>
    <w:rsid w:val="000F401F"/>
    <w:rsid w:val="000F4ABC"/>
    <w:rsid w:val="000F5328"/>
    <w:rsid w:val="000F5FD2"/>
    <w:rsid w:val="000F66C9"/>
    <w:rsid w:val="000F67EA"/>
    <w:rsid w:val="000F6CC0"/>
    <w:rsid w:val="000F6D56"/>
    <w:rsid w:val="000F72BD"/>
    <w:rsid w:val="001014F4"/>
    <w:rsid w:val="00101CCE"/>
    <w:rsid w:val="00101E88"/>
    <w:rsid w:val="0010243E"/>
    <w:rsid w:val="0010409E"/>
    <w:rsid w:val="00104CB5"/>
    <w:rsid w:val="001074D5"/>
    <w:rsid w:val="001077C0"/>
    <w:rsid w:val="00110478"/>
    <w:rsid w:val="00111E5B"/>
    <w:rsid w:val="00112827"/>
    <w:rsid w:val="00113896"/>
    <w:rsid w:val="001156C9"/>
    <w:rsid w:val="00115CA4"/>
    <w:rsid w:val="00120348"/>
    <w:rsid w:val="0012093B"/>
    <w:rsid w:val="00121BD3"/>
    <w:rsid w:val="00122D43"/>
    <w:rsid w:val="00122D95"/>
    <w:rsid w:val="0012341F"/>
    <w:rsid w:val="00124CC4"/>
    <w:rsid w:val="0012660E"/>
    <w:rsid w:val="0012697D"/>
    <w:rsid w:val="00126E75"/>
    <w:rsid w:val="0012700E"/>
    <w:rsid w:val="00127AF4"/>
    <w:rsid w:val="00130B8C"/>
    <w:rsid w:val="00131422"/>
    <w:rsid w:val="001315BF"/>
    <w:rsid w:val="00132860"/>
    <w:rsid w:val="00133649"/>
    <w:rsid w:val="0013373E"/>
    <w:rsid w:val="00133853"/>
    <w:rsid w:val="001343B0"/>
    <w:rsid w:val="00134837"/>
    <w:rsid w:val="00134992"/>
    <w:rsid w:val="00135D79"/>
    <w:rsid w:val="00136AA6"/>
    <w:rsid w:val="00136C29"/>
    <w:rsid w:val="00136D1F"/>
    <w:rsid w:val="00137944"/>
    <w:rsid w:val="00137B66"/>
    <w:rsid w:val="00137FD2"/>
    <w:rsid w:val="00140740"/>
    <w:rsid w:val="001408A2"/>
    <w:rsid w:val="00140FE7"/>
    <w:rsid w:val="0014177E"/>
    <w:rsid w:val="0014212F"/>
    <w:rsid w:val="00142136"/>
    <w:rsid w:val="0014269D"/>
    <w:rsid w:val="001430F2"/>
    <w:rsid w:val="00143D54"/>
    <w:rsid w:val="00144B71"/>
    <w:rsid w:val="00145167"/>
    <w:rsid w:val="001453AD"/>
    <w:rsid w:val="0014549A"/>
    <w:rsid w:val="001454FA"/>
    <w:rsid w:val="00145502"/>
    <w:rsid w:val="00145561"/>
    <w:rsid w:val="0014571E"/>
    <w:rsid w:val="00146F4F"/>
    <w:rsid w:val="00147694"/>
    <w:rsid w:val="00147F18"/>
    <w:rsid w:val="00150531"/>
    <w:rsid w:val="00150DA8"/>
    <w:rsid w:val="0015120B"/>
    <w:rsid w:val="00152DB7"/>
    <w:rsid w:val="001535D0"/>
    <w:rsid w:val="00157B37"/>
    <w:rsid w:val="001600DD"/>
    <w:rsid w:val="00161E46"/>
    <w:rsid w:val="0016304E"/>
    <w:rsid w:val="0016331B"/>
    <w:rsid w:val="00164CB2"/>
    <w:rsid w:val="00165A6E"/>
    <w:rsid w:val="00165EE5"/>
    <w:rsid w:val="00166D71"/>
    <w:rsid w:val="00170B6E"/>
    <w:rsid w:val="00171125"/>
    <w:rsid w:val="0017116A"/>
    <w:rsid w:val="00171209"/>
    <w:rsid w:val="00172582"/>
    <w:rsid w:val="001728E5"/>
    <w:rsid w:val="0017421C"/>
    <w:rsid w:val="001750DB"/>
    <w:rsid w:val="00177077"/>
    <w:rsid w:val="00177C13"/>
    <w:rsid w:val="00177DEA"/>
    <w:rsid w:val="0018100D"/>
    <w:rsid w:val="0018305D"/>
    <w:rsid w:val="001849F0"/>
    <w:rsid w:val="00184FCF"/>
    <w:rsid w:val="001855B4"/>
    <w:rsid w:val="00186090"/>
    <w:rsid w:val="001864BA"/>
    <w:rsid w:val="00186702"/>
    <w:rsid w:val="00186933"/>
    <w:rsid w:val="00186F72"/>
    <w:rsid w:val="0018711B"/>
    <w:rsid w:val="00187199"/>
    <w:rsid w:val="0018772B"/>
    <w:rsid w:val="0019004F"/>
    <w:rsid w:val="001907CF"/>
    <w:rsid w:val="00190CDA"/>
    <w:rsid w:val="00191528"/>
    <w:rsid w:val="00191B4C"/>
    <w:rsid w:val="001920F8"/>
    <w:rsid w:val="001921E4"/>
    <w:rsid w:val="0019259D"/>
    <w:rsid w:val="001928BC"/>
    <w:rsid w:val="00193189"/>
    <w:rsid w:val="001937F2"/>
    <w:rsid w:val="00193855"/>
    <w:rsid w:val="00193A2F"/>
    <w:rsid w:val="00193C31"/>
    <w:rsid w:val="00194569"/>
    <w:rsid w:val="00195944"/>
    <w:rsid w:val="00196644"/>
    <w:rsid w:val="00196E20"/>
    <w:rsid w:val="001A11B6"/>
    <w:rsid w:val="001A183E"/>
    <w:rsid w:val="001A19B4"/>
    <w:rsid w:val="001A1D94"/>
    <w:rsid w:val="001A1F61"/>
    <w:rsid w:val="001A4135"/>
    <w:rsid w:val="001A4C03"/>
    <w:rsid w:val="001A4D66"/>
    <w:rsid w:val="001A52C9"/>
    <w:rsid w:val="001A52DD"/>
    <w:rsid w:val="001A63FE"/>
    <w:rsid w:val="001A793E"/>
    <w:rsid w:val="001B0360"/>
    <w:rsid w:val="001B143D"/>
    <w:rsid w:val="001B2178"/>
    <w:rsid w:val="001B2460"/>
    <w:rsid w:val="001B31D4"/>
    <w:rsid w:val="001B3EF4"/>
    <w:rsid w:val="001B4846"/>
    <w:rsid w:val="001B4FB9"/>
    <w:rsid w:val="001B6BCA"/>
    <w:rsid w:val="001B6DDE"/>
    <w:rsid w:val="001B7CA5"/>
    <w:rsid w:val="001B7EBD"/>
    <w:rsid w:val="001C07AF"/>
    <w:rsid w:val="001C1412"/>
    <w:rsid w:val="001C1977"/>
    <w:rsid w:val="001C22D3"/>
    <w:rsid w:val="001C2925"/>
    <w:rsid w:val="001C2BC0"/>
    <w:rsid w:val="001C3018"/>
    <w:rsid w:val="001C3149"/>
    <w:rsid w:val="001C41C5"/>
    <w:rsid w:val="001C42FF"/>
    <w:rsid w:val="001C4A5C"/>
    <w:rsid w:val="001C4E05"/>
    <w:rsid w:val="001C5F36"/>
    <w:rsid w:val="001C60EF"/>
    <w:rsid w:val="001C6706"/>
    <w:rsid w:val="001C7D04"/>
    <w:rsid w:val="001C7DD0"/>
    <w:rsid w:val="001D00AE"/>
    <w:rsid w:val="001D03D3"/>
    <w:rsid w:val="001D0498"/>
    <w:rsid w:val="001D052A"/>
    <w:rsid w:val="001D07D6"/>
    <w:rsid w:val="001D0DDB"/>
    <w:rsid w:val="001D1299"/>
    <w:rsid w:val="001D1452"/>
    <w:rsid w:val="001D1491"/>
    <w:rsid w:val="001D150B"/>
    <w:rsid w:val="001D1850"/>
    <w:rsid w:val="001D1975"/>
    <w:rsid w:val="001D33BC"/>
    <w:rsid w:val="001D3F08"/>
    <w:rsid w:val="001D4230"/>
    <w:rsid w:val="001D439E"/>
    <w:rsid w:val="001D4967"/>
    <w:rsid w:val="001D499A"/>
    <w:rsid w:val="001D58FE"/>
    <w:rsid w:val="001D5F86"/>
    <w:rsid w:val="001D68C5"/>
    <w:rsid w:val="001E029A"/>
    <w:rsid w:val="001E03DE"/>
    <w:rsid w:val="001E0EFD"/>
    <w:rsid w:val="001E1717"/>
    <w:rsid w:val="001E18F7"/>
    <w:rsid w:val="001E1DB1"/>
    <w:rsid w:val="001E254A"/>
    <w:rsid w:val="001E2B98"/>
    <w:rsid w:val="001E3048"/>
    <w:rsid w:val="001E3782"/>
    <w:rsid w:val="001E44EE"/>
    <w:rsid w:val="001E562D"/>
    <w:rsid w:val="001E5997"/>
    <w:rsid w:val="001E6071"/>
    <w:rsid w:val="001E75F0"/>
    <w:rsid w:val="001E775F"/>
    <w:rsid w:val="001E7DFF"/>
    <w:rsid w:val="001F013F"/>
    <w:rsid w:val="001F0526"/>
    <w:rsid w:val="001F142A"/>
    <w:rsid w:val="001F1634"/>
    <w:rsid w:val="001F1771"/>
    <w:rsid w:val="001F1BAC"/>
    <w:rsid w:val="001F222C"/>
    <w:rsid w:val="001F2A00"/>
    <w:rsid w:val="001F32CB"/>
    <w:rsid w:val="001F34A3"/>
    <w:rsid w:val="001F3C30"/>
    <w:rsid w:val="001F3E56"/>
    <w:rsid w:val="001F4214"/>
    <w:rsid w:val="001F54A2"/>
    <w:rsid w:val="001F5E46"/>
    <w:rsid w:val="001F6A76"/>
    <w:rsid w:val="001F7AAA"/>
    <w:rsid w:val="0020041C"/>
    <w:rsid w:val="00200613"/>
    <w:rsid w:val="00201FD5"/>
    <w:rsid w:val="002024D6"/>
    <w:rsid w:val="00202D00"/>
    <w:rsid w:val="00203169"/>
    <w:rsid w:val="00203182"/>
    <w:rsid w:val="00203A4A"/>
    <w:rsid w:val="00204146"/>
    <w:rsid w:val="00204FF9"/>
    <w:rsid w:val="00205011"/>
    <w:rsid w:val="002073DF"/>
    <w:rsid w:val="00207F5B"/>
    <w:rsid w:val="00210183"/>
    <w:rsid w:val="00211E10"/>
    <w:rsid w:val="00212030"/>
    <w:rsid w:val="002122AA"/>
    <w:rsid w:val="00213392"/>
    <w:rsid w:val="002134B0"/>
    <w:rsid w:val="00214171"/>
    <w:rsid w:val="002147C0"/>
    <w:rsid w:val="00214805"/>
    <w:rsid w:val="0021591F"/>
    <w:rsid w:val="00215A8B"/>
    <w:rsid w:val="00215FCC"/>
    <w:rsid w:val="00216F12"/>
    <w:rsid w:val="00216F87"/>
    <w:rsid w:val="00217257"/>
    <w:rsid w:val="00220286"/>
    <w:rsid w:val="0022070E"/>
    <w:rsid w:val="00220C22"/>
    <w:rsid w:val="00220C64"/>
    <w:rsid w:val="00220ED6"/>
    <w:rsid w:val="00221B56"/>
    <w:rsid w:val="00222122"/>
    <w:rsid w:val="002222DB"/>
    <w:rsid w:val="00223CD6"/>
    <w:rsid w:val="0022472C"/>
    <w:rsid w:val="002247D7"/>
    <w:rsid w:val="002253D6"/>
    <w:rsid w:val="00225432"/>
    <w:rsid w:val="00226169"/>
    <w:rsid w:val="00226F2C"/>
    <w:rsid w:val="00230148"/>
    <w:rsid w:val="002305D3"/>
    <w:rsid w:val="00230A71"/>
    <w:rsid w:val="00230B38"/>
    <w:rsid w:val="002311AF"/>
    <w:rsid w:val="00231993"/>
    <w:rsid w:val="0023216F"/>
    <w:rsid w:val="0023290D"/>
    <w:rsid w:val="00234099"/>
    <w:rsid w:val="002340CC"/>
    <w:rsid w:val="00234C54"/>
    <w:rsid w:val="00236B93"/>
    <w:rsid w:val="0023749B"/>
    <w:rsid w:val="002402D4"/>
    <w:rsid w:val="00241364"/>
    <w:rsid w:val="0024247B"/>
    <w:rsid w:val="002424E9"/>
    <w:rsid w:val="00242515"/>
    <w:rsid w:val="00244281"/>
    <w:rsid w:val="00244287"/>
    <w:rsid w:val="00244809"/>
    <w:rsid w:val="00245043"/>
    <w:rsid w:val="002453F8"/>
    <w:rsid w:val="00245426"/>
    <w:rsid w:val="00247AB2"/>
    <w:rsid w:val="0025204A"/>
    <w:rsid w:val="00252756"/>
    <w:rsid w:val="00252C7F"/>
    <w:rsid w:val="00253171"/>
    <w:rsid w:val="00253EE3"/>
    <w:rsid w:val="00254E43"/>
    <w:rsid w:val="00254EC8"/>
    <w:rsid w:val="00254ECD"/>
    <w:rsid w:val="00255930"/>
    <w:rsid w:val="00255D01"/>
    <w:rsid w:val="00257B6D"/>
    <w:rsid w:val="00257C5A"/>
    <w:rsid w:val="002603F2"/>
    <w:rsid w:val="002609AD"/>
    <w:rsid w:val="00261286"/>
    <w:rsid w:val="00261D3D"/>
    <w:rsid w:val="002633A0"/>
    <w:rsid w:val="00263F55"/>
    <w:rsid w:val="002640BC"/>
    <w:rsid w:val="0026411A"/>
    <w:rsid w:val="00266E62"/>
    <w:rsid w:val="00267056"/>
    <w:rsid w:val="0026718E"/>
    <w:rsid w:val="002673AA"/>
    <w:rsid w:val="00270A16"/>
    <w:rsid w:val="00270DAE"/>
    <w:rsid w:val="00270E14"/>
    <w:rsid w:val="002717F4"/>
    <w:rsid w:val="00273E22"/>
    <w:rsid w:val="002740A7"/>
    <w:rsid w:val="002740F4"/>
    <w:rsid w:val="002741BD"/>
    <w:rsid w:val="00274F99"/>
    <w:rsid w:val="00275373"/>
    <w:rsid w:val="00275631"/>
    <w:rsid w:val="0027564F"/>
    <w:rsid w:val="002762F6"/>
    <w:rsid w:val="002770A0"/>
    <w:rsid w:val="00277FF1"/>
    <w:rsid w:val="002800B7"/>
    <w:rsid w:val="0028073E"/>
    <w:rsid w:val="0028145A"/>
    <w:rsid w:val="002819C8"/>
    <w:rsid w:val="00281B19"/>
    <w:rsid w:val="00282D2A"/>
    <w:rsid w:val="00283697"/>
    <w:rsid w:val="0028381C"/>
    <w:rsid w:val="00283C70"/>
    <w:rsid w:val="0028434F"/>
    <w:rsid w:val="00284C82"/>
    <w:rsid w:val="00285117"/>
    <w:rsid w:val="00285553"/>
    <w:rsid w:val="00286A8B"/>
    <w:rsid w:val="00291F63"/>
    <w:rsid w:val="0029251F"/>
    <w:rsid w:val="00292670"/>
    <w:rsid w:val="00292A2B"/>
    <w:rsid w:val="00292A59"/>
    <w:rsid w:val="00292BCA"/>
    <w:rsid w:val="00293091"/>
    <w:rsid w:val="002935CB"/>
    <w:rsid w:val="0029379C"/>
    <w:rsid w:val="00293C40"/>
    <w:rsid w:val="00293C45"/>
    <w:rsid w:val="00294288"/>
    <w:rsid w:val="00294F7C"/>
    <w:rsid w:val="00295FA7"/>
    <w:rsid w:val="0029788E"/>
    <w:rsid w:val="002A028E"/>
    <w:rsid w:val="002A22EE"/>
    <w:rsid w:val="002A3237"/>
    <w:rsid w:val="002A360E"/>
    <w:rsid w:val="002A3B6D"/>
    <w:rsid w:val="002A4DF8"/>
    <w:rsid w:val="002A5F47"/>
    <w:rsid w:val="002A6FD0"/>
    <w:rsid w:val="002A7CB9"/>
    <w:rsid w:val="002B1CCC"/>
    <w:rsid w:val="002B1D7D"/>
    <w:rsid w:val="002B26BA"/>
    <w:rsid w:val="002B2F8D"/>
    <w:rsid w:val="002B3C4A"/>
    <w:rsid w:val="002B4677"/>
    <w:rsid w:val="002B5A8F"/>
    <w:rsid w:val="002B635C"/>
    <w:rsid w:val="002B6CFB"/>
    <w:rsid w:val="002C2154"/>
    <w:rsid w:val="002C2697"/>
    <w:rsid w:val="002C28FD"/>
    <w:rsid w:val="002C36E4"/>
    <w:rsid w:val="002C407D"/>
    <w:rsid w:val="002C40AE"/>
    <w:rsid w:val="002C4421"/>
    <w:rsid w:val="002C4B35"/>
    <w:rsid w:val="002C4BC3"/>
    <w:rsid w:val="002C50EC"/>
    <w:rsid w:val="002C5B28"/>
    <w:rsid w:val="002C5C34"/>
    <w:rsid w:val="002C5D97"/>
    <w:rsid w:val="002C6376"/>
    <w:rsid w:val="002C646C"/>
    <w:rsid w:val="002C7295"/>
    <w:rsid w:val="002C77CB"/>
    <w:rsid w:val="002C78EC"/>
    <w:rsid w:val="002C7E48"/>
    <w:rsid w:val="002D1696"/>
    <w:rsid w:val="002D1969"/>
    <w:rsid w:val="002D1D60"/>
    <w:rsid w:val="002D1F63"/>
    <w:rsid w:val="002D1FD0"/>
    <w:rsid w:val="002D1FD7"/>
    <w:rsid w:val="002D312D"/>
    <w:rsid w:val="002D410D"/>
    <w:rsid w:val="002D45C8"/>
    <w:rsid w:val="002D4E4D"/>
    <w:rsid w:val="002D51B3"/>
    <w:rsid w:val="002D51EB"/>
    <w:rsid w:val="002D5845"/>
    <w:rsid w:val="002D6245"/>
    <w:rsid w:val="002D6863"/>
    <w:rsid w:val="002D6FD9"/>
    <w:rsid w:val="002D73F9"/>
    <w:rsid w:val="002D79E6"/>
    <w:rsid w:val="002E0668"/>
    <w:rsid w:val="002E1C31"/>
    <w:rsid w:val="002E3FCE"/>
    <w:rsid w:val="002E5B47"/>
    <w:rsid w:val="002E6313"/>
    <w:rsid w:val="002E682E"/>
    <w:rsid w:val="002E6974"/>
    <w:rsid w:val="002E69BE"/>
    <w:rsid w:val="002E6EF9"/>
    <w:rsid w:val="002E72EA"/>
    <w:rsid w:val="002E7392"/>
    <w:rsid w:val="002E7FCE"/>
    <w:rsid w:val="002F1398"/>
    <w:rsid w:val="002F1A77"/>
    <w:rsid w:val="002F2617"/>
    <w:rsid w:val="002F2FC5"/>
    <w:rsid w:val="002F34C7"/>
    <w:rsid w:val="002F3B02"/>
    <w:rsid w:val="002F4E9C"/>
    <w:rsid w:val="003013D2"/>
    <w:rsid w:val="00301623"/>
    <w:rsid w:val="0030200B"/>
    <w:rsid w:val="00302A12"/>
    <w:rsid w:val="00303BDF"/>
    <w:rsid w:val="00303BE6"/>
    <w:rsid w:val="0030407D"/>
    <w:rsid w:val="00306118"/>
    <w:rsid w:val="00306B7D"/>
    <w:rsid w:val="00307416"/>
    <w:rsid w:val="00307F27"/>
    <w:rsid w:val="0031007E"/>
    <w:rsid w:val="0031027B"/>
    <w:rsid w:val="0031084D"/>
    <w:rsid w:val="00310C95"/>
    <w:rsid w:val="00311C82"/>
    <w:rsid w:val="00312186"/>
    <w:rsid w:val="00312994"/>
    <w:rsid w:val="003130BF"/>
    <w:rsid w:val="003130C2"/>
    <w:rsid w:val="00313726"/>
    <w:rsid w:val="00313BC2"/>
    <w:rsid w:val="00314490"/>
    <w:rsid w:val="003146BD"/>
    <w:rsid w:val="0031509C"/>
    <w:rsid w:val="003150F7"/>
    <w:rsid w:val="00315443"/>
    <w:rsid w:val="00315C27"/>
    <w:rsid w:val="00316CE6"/>
    <w:rsid w:val="00317E70"/>
    <w:rsid w:val="00320FAB"/>
    <w:rsid w:val="0032143B"/>
    <w:rsid w:val="00321794"/>
    <w:rsid w:val="00321A11"/>
    <w:rsid w:val="003228DA"/>
    <w:rsid w:val="00323015"/>
    <w:rsid w:val="00323122"/>
    <w:rsid w:val="00323252"/>
    <w:rsid w:val="00323654"/>
    <w:rsid w:val="00323C30"/>
    <w:rsid w:val="00323F7E"/>
    <w:rsid w:val="003250D8"/>
    <w:rsid w:val="00327242"/>
    <w:rsid w:val="00327DD0"/>
    <w:rsid w:val="0033096D"/>
    <w:rsid w:val="00330DC8"/>
    <w:rsid w:val="00331541"/>
    <w:rsid w:val="00332CA7"/>
    <w:rsid w:val="00332EF7"/>
    <w:rsid w:val="003341D3"/>
    <w:rsid w:val="00336A96"/>
    <w:rsid w:val="00336BAB"/>
    <w:rsid w:val="00336C23"/>
    <w:rsid w:val="0033783B"/>
    <w:rsid w:val="00337A5C"/>
    <w:rsid w:val="003417B3"/>
    <w:rsid w:val="00342A65"/>
    <w:rsid w:val="00342FC4"/>
    <w:rsid w:val="00343248"/>
    <w:rsid w:val="0034422F"/>
    <w:rsid w:val="00344A00"/>
    <w:rsid w:val="0034534D"/>
    <w:rsid w:val="00345EC9"/>
    <w:rsid w:val="003470AC"/>
    <w:rsid w:val="003471FC"/>
    <w:rsid w:val="00347538"/>
    <w:rsid w:val="00347ACA"/>
    <w:rsid w:val="00350794"/>
    <w:rsid w:val="003523E0"/>
    <w:rsid w:val="00353E5F"/>
    <w:rsid w:val="003550AE"/>
    <w:rsid w:val="00355CD3"/>
    <w:rsid w:val="003569C4"/>
    <w:rsid w:val="003571BC"/>
    <w:rsid w:val="003602DB"/>
    <w:rsid w:val="003608F6"/>
    <w:rsid w:val="00361462"/>
    <w:rsid w:val="00362231"/>
    <w:rsid w:val="0036268A"/>
    <w:rsid w:val="00362696"/>
    <w:rsid w:val="003626BC"/>
    <w:rsid w:val="003629DC"/>
    <w:rsid w:val="00363170"/>
    <w:rsid w:val="003636AD"/>
    <w:rsid w:val="00364BD9"/>
    <w:rsid w:val="00364FD7"/>
    <w:rsid w:val="003668EB"/>
    <w:rsid w:val="00367228"/>
    <w:rsid w:val="003700D4"/>
    <w:rsid w:val="003723EF"/>
    <w:rsid w:val="00372600"/>
    <w:rsid w:val="003727C7"/>
    <w:rsid w:val="00372F50"/>
    <w:rsid w:val="003732CF"/>
    <w:rsid w:val="0037348D"/>
    <w:rsid w:val="00373CB7"/>
    <w:rsid w:val="003742A0"/>
    <w:rsid w:val="00374CBD"/>
    <w:rsid w:val="003760C4"/>
    <w:rsid w:val="003766B2"/>
    <w:rsid w:val="0037743B"/>
    <w:rsid w:val="0037784E"/>
    <w:rsid w:val="00381A59"/>
    <w:rsid w:val="00383735"/>
    <w:rsid w:val="0038448C"/>
    <w:rsid w:val="00384E9A"/>
    <w:rsid w:val="003863D5"/>
    <w:rsid w:val="003864F7"/>
    <w:rsid w:val="00387B7C"/>
    <w:rsid w:val="00387DEF"/>
    <w:rsid w:val="00390356"/>
    <w:rsid w:val="00390F53"/>
    <w:rsid w:val="0039114F"/>
    <w:rsid w:val="0039118B"/>
    <w:rsid w:val="00392A26"/>
    <w:rsid w:val="00392F62"/>
    <w:rsid w:val="003930D0"/>
    <w:rsid w:val="003934D8"/>
    <w:rsid w:val="00395361"/>
    <w:rsid w:val="003964DC"/>
    <w:rsid w:val="003964F2"/>
    <w:rsid w:val="00397A90"/>
    <w:rsid w:val="003A3F3C"/>
    <w:rsid w:val="003A6C5E"/>
    <w:rsid w:val="003A7385"/>
    <w:rsid w:val="003A79BB"/>
    <w:rsid w:val="003A7AA8"/>
    <w:rsid w:val="003B0619"/>
    <w:rsid w:val="003B18BF"/>
    <w:rsid w:val="003B1A97"/>
    <w:rsid w:val="003B31A5"/>
    <w:rsid w:val="003B36BF"/>
    <w:rsid w:val="003B476D"/>
    <w:rsid w:val="003B5B9A"/>
    <w:rsid w:val="003B5C45"/>
    <w:rsid w:val="003B6C9A"/>
    <w:rsid w:val="003B6DC6"/>
    <w:rsid w:val="003B6FAA"/>
    <w:rsid w:val="003B7F2B"/>
    <w:rsid w:val="003C0ABB"/>
    <w:rsid w:val="003C0B3F"/>
    <w:rsid w:val="003C10A6"/>
    <w:rsid w:val="003C11A1"/>
    <w:rsid w:val="003C198A"/>
    <w:rsid w:val="003C1C95"/>
    <w:rsid w:val="003C2E04"/>
    <w:rsid w:val="003C43E3"/>
    <w:rsid w:val="003C5583"/>
    <w:rsid w:val="003C7225"/>
    <w:rsid w:val="003D023F"/>
    <w:rsid w:val="003D08F2"/>
    <w:rsid w:val="003D118C"/>
    <w:rsid w:val="003D1681"/>
    <w:rsid w:val="003D2760"/>
    <w:rsid w:val="003D27E1"/>
    <w:rsid w:val="003D2814"/>
    <w:rsid w:val="003D380F"/>
    <w:rsid w:val="003D3C07"/>
    <w:rsid w:val="003D4537"/>
    <w:rsid w:val="003D499C"/>
    <w:rsid w:val="003D4BDE"/>
    <w:rsid w:val="003D50EF"/>
    <w:rsid w:val="003D6245"/>
    <w:rsid w:val="003D6B8D"/>
    <w:rsid w:val="003D6C7F"/>
    <w:rsid w:val="003D6F36"/>
    <w:rsid w:val="003E04ED"/>
    <w:rsid w:val="003E1070"/>
    <w:rsid w:val="003E2720"/>
    <w:rsid w:val="003E3DFD"/>
    <w:rsid w:val="003E4FE3"/>
    <w:rsid w:val="003E55B0"/>
    <w:rsid w:val="003E5C28"/>
    <w:rsid w:val="003E5E12"/>
    <w:rsid w:val="003E60AF"/>
    <w:rsid w:val="003E74F6"/>
    <w:rsid w:val="003E78E7"/>
    <w:rsid w:val="003F0AC9"/>
    <w:rsid w:val="003F3085"/>
    <w:rsid w:val="003F3E07"/>
    <w:rsid w:val="003F4F81"/>
    <w:rsid w:val="003F525D"/>
    <w:rsid w:val="003F54D0"/>
    <w:rsid w:val="003F5831"/>
    <w:rsid w:val="003F618A"/>
    <w:rsid w:val="003F7459"/>
    <w:rsid w:val="003F7DB1"/>
    <w:rsid w:val="003F7EA0"/>
    <w:rsid w:val="004006F8"/>
    <w:rsid w:val="00400934"/>
    <w:rsid w:val="00400AFF"/>
    <w:rsid w:val="004015DB"/>
    <w:rsid w:val="0040370B"/>
    <w:rsid w:val="0040441C"/>
    <w:rsid w:val="00405611"/>
    <w:rsid w:val="00405701"/>
    <w:rsid w:val="0040621C"/>
    <w:rsid w:val="00406307"/>
    <w:rsid w:val="00407772"/>
    <w:rsid w:val="00407A6E"/>
    <w:rsid w:val="004102F6"/>
    <w:rsid w:val="0041192E"/>
    <w:rsid w:val="004123D1"/>
    <w:rsid w:val="0041326B"/>
    <w:rsid w:val="0041372D"/>
    <w:rsid w:val="00413BDE"/>
    <w:rsid w:val="00415158"/>
    <w:rsid w:val="00415998"/>
    <w:rsid w:val="0041646A"/>
    <w:rsid w:val="00416683"/>
    <w:rsid w:val="004169EE"/>
    <w:rsid w:val="00416A1D"/>
    <w:rsid w:val="00417649"/>
    <w:rsid w:val="00417CDB"/>
    <w:rsid w:val="00420778"/>
    <w:rsid w:val="00420E13"/>
    <w:rsid w:val="004217B6"/>
    <w:rsid w:val="00421907"/>
    <w:rsid w:val="00421F7F"/>
    <w:rsid w:val="0042250E"/>
    <w:rsid w:val="00422DA1"/>
    <w:rsid w:val="00423BAA"/>
    <w:rsid w:val="00424B27"/>
    <w:rsid w:val="00425F03"/>
    <w:rsid w:val="00425FB3"/>
    <w:rsid w:val="004261E8"/>
    <w:rsid w:val="00426365"/>
    <w:rsid w:val="00426BB5"/>
    <w:rsid w:val="00426E21"/>
    <w:rsid w:val="0043056E"/>
    <w:rsid w:val="0043135C"/>
    <w:rsid w:val="00431626"/>
    <w:rsid w:val="004325EB"/>
    <w:rsid w:val="004336CF"/>
    <w:rsid w:val="004344A4"/>
    <w:rsid w:val="0043534C"/>
    <w:rsid w:val="0043624C"/>
    <w:rsid w:val="0043723B"/>
    <w:rsid w:val="00437546"/>
    <w:rsid w:val="00440DAA"/>
    <w:rsid w:val="0044100E"/>
    <w:rsid w:val="0044176A"/>
    <w:rsid w:val="00441CDA"/>
    <w:rsid w:val="0044322A"/>
    <w:rsid w:val="0044395E"/>
    <w:rsid w:val="00443AFE"/>
    <w:rsid w:val="0044432A"/>
    <w:rsid w:val="004460FF"/>
    <w:rsid w:val="00446986"/>
    <w:rsid w:val="00446BC6"/>
    <w:rsid w:val="00447122"/>
    <w:rsid w:val="00447BAE"/>
    <w:rsid w:val="00450740"/>
    <w:rsid w:val="0045162F"/>
    <w:rsid w:val="004523A4"/>
    <w:rsid w:val="00452584"/>
    <w:rsid w:val="00455188"/>
    <w:rsid w:val="00455F89"/>
    <w:rsid w:val="00456646"/>
    <w:rsid w:val="0045667E"/>
    <w:rsid w:val="00456C44"/>
    <w:rsid w:val="0045781B"/>
    <w:rsid w:val="00457BB1"/>
    <w:rsid w:val="00457DD3"/>
    <w:rsid w:val="004604EC"/>
    <w:rsid w:val="00460F70"/>
    <w:rsid w:val="00460FA1"/>
    <w:rsid w:val="00461235"/>
    <w:rsid w:val="00463E15"/>
    <w:rsid w:val="004641BD"/>
    <w:rsid w:val="0046464E"/>
    <w:rsid w:val="004646B5"/>
    <w:rsid w:val="00465762"/>
    <w:rsid w:val="00465D8C"/>
    <w:rsid w:val="00467014"/>
    <w:rsid w:val="004675B3"/>
    <w:rsid w:val="004705DB"/>
    <w:rsid w:val="00471226"/>
    <w:rsid w:val="00471BF3"/>
    <w:rsid w:val="00472275"/>
    <w:rsid w:val="00473BA7"/>
    <w:rsid w:val="0047439C"/>
    <w:rsid w:val="0047442C"/>
    <w:rsid w:val="004745EA"/>
    <w:rsid w:val="00474796"/>
    <w:rsid w:val="00474EF2"/>
    <w:rsid w:val="00475126"/>
    <w:rsid w:val="004754AE"/>
    <w:rsid w:val="00475C76"/>
    <w:rsid w:val="00476346"/>
    <w:rsid w:val="0047645B"/>
    <w:rsid w:val="00476827"/>
    <w:rsid w:val="004775A3"/>
    <w:rsid w:val="00477C0C"/>
    <w:rsid w:val="00477CC4"/>
    <w:rsid w:val="0048053F"/>
    <w:rsid w:val="00480F13"/>
    <w:rsid w:val="00481A96"/>
    <w:rsid w:val="00481BEA"/>
    <w:rsid w:val="004836B7"/>
    <w:rsid w:val="004837CE"/>
    <w:rsid w:val="00485AB7"/>
    <w:rsid w:val="00485DBE"/>
    <w:rsid w:val="00486157"/>
    <w:rsid w:val="004864E1"/>
    <w:rsid w:val="004868E5"/>
    <w:rsid w:val="00486D5A"/>
    <w:rsid w:val="00487543"/>
    <w:rsid w:val="0048755A"/>
    <w:rsid w:val="004875EE"/>
    <w:rsid w:val="0049063F"/>
    <w:rsid w:val="00490643"/>
    <w:rsid w:val="004908C7"/>
    <w:rsid w:val="0049179F"/>
    <w:rsid w:val="00491D33"/>
    <w:rsid w:val="00492B01"/>
    <w:rsid w:val="00493B3C"/>
    <w:rsid w:val="00493CF1"/>
    <w:rsid w:val="00493F74"/>
    <w:rsid w:val="004944F2"/>
    <w:rsid w:val="0049485F"/>
    <w:rsid w:val="00495508"/>
    <w:rsid w:val="00495AE4"/>
    <w:rsid w:val="00495EB2"/>
    <w:rsid w:val="004963EB"/>
    <w:rsid w:val="00496832"/>
    <w:rsid w:val="00497387"/>
    <w:rsid w:val="00497D17"/>
    <w:rsid w:val="004A019D"/>
    <w:rsid w:val="004A098A"/>
    <w:rsid w:val="004A0EAE"/>
    <w:rsid w:val="004A1687"/>
    <w:rsid w:val="004A215F"/>
    <w:rsid w:val="004A2C82"/>
    <w:rsid w:val="004A438B"/>
    <w:rsid w:val="004A4A9E"/>
    <w:rsid w:val="004A59AF"/>
    <w:rsid w:val="004A61DD"/>
    <w:rsid w:val="004A6A95"/>
    <w:rsid w:val="004A6ABD"/>
    <w:rsid w:val="004A7221"/>
    <w:rsid w:val="004A7442"/>
    <w:rsid w:val="004A776D"/>
    <w:rsid w:val="004A7C4A"/>
    <w:rsid w:val="004B1131"/>
    <w:rsid w:val="004B115A"/>
    <w:rsid w:val="004B1C2E"/>
    <w:rsid w:val="004B1D19"/>
    <w:rsid w:val="004B2B36"/>
    <w:rsid w:val="004B3BFB"/>
    <w:rsid w:val="004B4326"/>
    <w:rsid w:val="004B4AEB"/>
    <w:rsid w:val="004B5053"/>
    <w:rsid w:val="004B574A"/>
    <w:rsid w:val="004B5928"/>
    <w:rsid w:val="004B609B"/>
    <w:rsid w:val="004B6E2C"/>
    <w:rsid w:val="004B77D4"/>
    <w:rsid w:val="004C1236"/>
    <w:rsid w:val="004C1357"/>
    <w:rsid w:val="004C145D"/>
    <w:rsid w:val="004C1599"/>
    <w:rsid w:val="004C172C"/>
    <w:rsid w:val="004C255D"/>
    <w:rsid w:val="004C2825"/>
    <w:rsid w:val="004C4813"/>
    <w:rsid w:val="004C4865"/>
    <w:rsid w:val="004C5142"/>
    <w:rsid w:val="004C58A7"/>
    <w:rsid w:val="004C58BC"/>
    <w:rsid w:val="004C729A"/>
    <w:rsid w:val="004D04BC"/>
    <w:rsid w:val="004D053F"/>
    <w:rsid w:val="004D09C6"/>
    <w:rsid w:val="004D0DE4"/>
    <w:rsid w:val="004D1548"/>
    <w:rsid w:val="004D1E10"/>
    <w:rsid w:val="004D2489"/>
    <w:rsid w:val="004D287F"/>
    <w:rsid w:val="004D387B"/>
    <w:rsid w:val="004D3F91"/>
    <w:rsid w:val="004D4675"/>
    <w:rsid w:val="004D487F"/>
    <w:rsid w:val="004D4A35"/>
    <w:rsid w:val="004D65DF"/>
    <w:rsid w:val="004D6FD2"/>
    <w:rsid w:val="004D70FD"/>
    <w:rsid w:val="004D7707"/>
    <w:rsid w:val="004D7826"/>
    <w:rsid w:val="004D784B"/>
    <w:rsid w:val="004E0F82"/>
    <w:rsid w:val="004E1AAE"/>
    <w:rsid w:val="004E1B08"/>
    <w:rsid w:val="004E43B0"/>
    <w:rsid w:val="004E45D8"/>
    <w:rsid w:val="004E4638"/>
    <w:rsid w:val="004E4C77"/>
    <w:rsid w:val="004E69C1"/>
    <w:rsid w:val="004E7872"/>
    <w:rsid w:val="004F0DE0"/>
    <w:rsid w:val="004F2A79"/>
    <w:rsid w:val="004F556E"/>
    <w:rsid w:val="004F5C53"/>
    <w:rsid w:val="004F6E2F"/>
    <w:rsid w:val="004F7AA3"/>
    <w:rsid w:val="0050189F"/>
    <w:rsid w:val="005018A2"/>
    <w:rsid w:val="005031D0"/>
    <w:rsid w:val="00503286"/>
    <w:rsid w:val="00503362"/>
    <w:rsid w:val="0050352F"/>
    <w:rsid w:val="00503561"/>
    <w:rsid w:val="00503E92"/>
    <w:rsid w:val="00504017"/>
    <w:rsid w:val="00504453"/>
    <w:rsid w:val="005047CC"/>
    <w:rsid w:val="00504F1E"/>
    <w:rsid w:val="00504FCC"/>
    <w:rsid w:val="005056EB"/>
    <w:rsid w:val="0050790B"/>
    <w:rsid w:val="00511799"/>
    <w:rsid w:val="00511F94"/>
    <w:rsid w:val="00512475"/>
    <w:rsid w:val="00512B79"/>
    <w:rsid w:val="00512CB4"/>
    <w:rsid w:val="005137B7"/>
    <w:rsid w:val="00514042"/>
    <w:rsid w:val="005154F7"/>
    <w:rsid w:val="00515CB0"/>
    <w:rsid w:val="00516141"/>
    <w:rsid w:val="00516684"/>
    <w:rsid w:val="00516DA2"/>
    <w:rsid w:val="0051773F"/>
    <w:rsid w:val="00517F7D"/>
    <w:rsid w:val="00521201"/>
    <w:rsid w:val="00522581"/>
    <w:rsid w:val="005240CD"/>
    <w:rsid w:val="00525496"/>
    <w:rsid w:val="0052558F"/>
    <w:rsid w:val="00526E84"/>
    <w:rsid w:val="0053188B"/>
    <w:rsid w:val="00532A67"/>
    <w:rsid w:val="0053527E"/>
    <w:rsid w:val="005354C0"/>
    <w:rsid w:val="00535D18"/>
    <w:rsid w:val="00537728"/>
    <w:rsid w:val="00541F7D"/>
    <w:rsid w:val="00542152"/>
    <w:rsid w:val="00542F08"/>
    <w:rsid w:val="0054315A"/>
    <w:rsid w:val="00543354"/>
    <w:rsid w:val="0054374D"/>
    <w:rsid w:val="005440C0"/>
    <w:rsid w:val="005442C3"/>
    <w:rsid w:val="0054438C"/>
    <w:rsid w:val="00544433"/>
    <w:rsid w:val="00544719"/>
    <w:rsid w:val="00544B9C"/>
    <w:rsid w:val="005453AF"/>
    <w:rsid w:val="00545D59"/>
    <w:rsid w:val="005462E5"/>
    <w:rsid w:val="005468BF"/>
    <w:rsid w:val="0055004B"/>
    <w:rsid w:val="00550966"/>
    <w:rsid w:val="00550A23"/>
    <w:rsid w:val="00550FEA"/>
    <w:rsid w:val="0055143F"/>
    <w:rsid w:val="005522BE"/>
    <w:rsid w:val="005522CA"/>
    <w:rsid w:val="00552EEC"/>
    <w:rsid w:val="00553114"/>
    <w:rsid w:val="00554FD7"/>
    <w:rsid w:val="00555A69"/>
    <w:rsid w:val="00555AFC"/>
    <w:rsid w:val="00555C69"/>
    <w:rsid w:val="0055609F"/>
    <w:rsid w:val="0055639B"/>
    <w:rsid w:val="00556737"/>
    <w:rsid w:val="00556BD8"/>
    <w:rsid w:val="00556CD9"/>
    <w:rsid w:val="00556EBF"/>
    <w:rsid w:val="00560DBB"/>
    <w:rsid w:val="0056128F"/>
    <w:rsid w:val="0056313A"/>
    <w:rsid w:val="005632C5"/>
    <w:rsid w:val="00564C9C"/>
    <w:rsid w:val="00566185"/>
    <w:rsid w:val="00566993"/>
    <w:rsid w:val="00566B7C"/>
    <w:rsid w:val="00570B76"/>
    <w:rsid w:val="00570BCD"/>
    <w:rsid w:val="005719CE"/>
    <w:rsid w:val="005737F7"/>
    <w:rsid w:val="005748A3"/>
    <w:rsid w:val="00574F74"/>
    <w:rsid w:val="005756F4"/>
    <w:rsid w:val="00575A5B"/>
    <w:rsid w:val="005765B1"/>
    <w:rsid w:val="0057675F"/>
    <w:rsid w:val="005769FD"/>
    <w:rsid w:val="00576B6F"/>
    <w:rsid w:val="005775B3"/>
    <w:rsid w:val="00577D9B"/>
    <w:rsid w:val="005801E2"/>
    <w:rsid w:val="00580780"/>
    <w:rsid w:val="005814DA"/>
    <w:rsid w:val="00581708"/>
    <w:rsid w:val="00581A30"/>
    <w:rsid w:val="00582989"/>
    <w:rsid w:val="00582B3F"/>
    <w:rsid w:val="005833E9"/>
    <w:rsid w:val="005835BB"/>
    <w:rsid w:val="00584F78"/>
    <w:rsid w:val="00585344"/>
    <w:rsid w:val="00586CB1"/>
    <w:rsid w:val="00590AFC"/>
    <w:rsid w:val="00590CE6"/>
    <w:rsid w:val="005916BE"/>
    <w:rsid w:val="00591758"/>
    <w:rsid w:val="005920B2"/>
    <w:rsid w:val="00592FD8"/>
    <w:rsid w:val="00593748"/>
    <w:rsid w:val="00593970"/>
    <w:rsid w:val="00593E74"/>
    <w:rsid w:val="005941D1"/>
    <w:rsid w:val="00594654"/>
    <w:rsid w:val="0059544E"/>
    <w:rsid w:val="005961DE"/>
    <w:rsid w:val="005962A6"/>
    <w:rsid w:val="005964DE"/>
    <w:rsid w:val="00597F86"/>
    <w:rsid w:val="005A028F"/>
    <w:rsid w:val="005A0CB6"/>
    <w:rsid w:val="005A0EAB"/>
    <w:rsid w:val="005A19DC"/>
    <w:rsid w:val="005A1E1E"/>
    <w:rsid w:val="005A2E38"/>
    <w:rsid w:val="005A362D"/>
    <w:rsid w:val="005A6476"/>
    <w:rsid w:val="005A6667"/>
    <w:rsid w:val="005A698B"/>
    <w:rsid w:val="005A76AB"/>
    <w:rsid w:val="005A7D79"/>
    <w:rsid w:val="005B0062"/>
    <w:rsid w:val="005B0841"/>
    <w:rsid w:val="005B0965"/>
    <w:rsid w:val="005B0D09"/>
    <w:rsid w:val="005B0FC4"/>
    <w:rsid w:val="005B11AA"/>
    <w:rsid w:val="005B200F"/>
    <w:rsid w:val="005B32CF"/>
    <w:rsid w:val="005B3E9A"/>
    <w:rsid w:val="005B40A6"/>
    <w:rsid w:val="005B4302"/>
    <w:rsid w:val="005B4D69"/>
    <w:rsid w:val="005B5254"/>
    <w:rsid w:val="005B5769"/>
    <w:rsid w:val="005B5C15"/>
    <w:rsid w:val="005B64DE"/>
    <w:rsid w:val="005B72CB"/>
    <w:rsid w:val="005C077A"/>
    <w:rsid w:val="005C080D"/>
    <w:rsid w:val="005C0ACE"/>
    <w:rsid w:val="005C0E4D"/>
    <w:rsid w:val="005C274F"/>
    <w:rsid w:val="005C3373"/>
    <w:rsid w:val="005C3F5F"/>
    <w:rsid w:val="005C4374"/>
    <w:rsid w:val="005C48B8"/>
    <w:rsid w:val="005C4C2B"/>
    <w:rsid w:val="005C569E"/>
    <w:rsid w:val="005C59F0"/>
    <w:rsid w:val="005C5D9E"/>
    <w:rsid w:val="005C6D4B"/>
    <w:rsid w:val="005C76C6"/>
    <w:rsid w:val="005D0BDB"/>
    <w:rsid w:val="005D15E5"/>
    <w:rsid w:val="005D1D87"/>
    <w:rsid w:val="005D1FE4"/>
    <w:rsid w:val="005D2840"/>
    <w:rsid w:val="005D2A5E"/>
    <w:rsid w:val="005D57D9"/>
    <w:rsid w:val="005D598E"/>
    <w:rsid w:val="005D690F"/>
    <w:rsid w:val="005E07F5"/>
    <w:rsid w:val="005E081B"/>
    <w:rsid w:val="005E0BED"/>
    <w:rsid w:val="005E1B92"/>
    <w:rsid w:val="005E25B0"/>
    <w:rsid w:val="005E391C"/>
    <w:rsid w:val="005E4697"/>
    <w:rsid w:val="005E46A1"/>
    <w:rsid w:val="005E4962"/>
    <w:rsid w:val="005E4B23"/>
    <w:rsid w:val="005E690E"/>
    <w:rsid w:val="005E7C2C"/>
    <w:rsid w:val="005F0F49"/>
    <w:rsid w:val="005F1B7A"/>
    <w:rsid w:val="005F376B"/>
    <w:rsid w:val="005F3968"/>
    <w:rsid w:val="005F4550"/>
    <w:rsid w:val="005F476A"/>
    <w:rsid w:val="005F4EFC"/>
    <w:rsid w:val="005F506D"/>
    <w:rsid w:val="005F626E"/>
    <w:rsid w:val="005F6D63"/>
    <w:rsid w:val="005F7AB9"/>
    <w:rsid w:val="00600629"/>
    <w:rsid w:val="00601502"/>
    <w:rsid w:val="00601842"/>
    <w:rsid w:val="00601F9F"/>
    <w:rsid w:val="00601FAD"/>
    <w:rsid w:val="0060549D"/>
    <w:rsid w:val="0060586E"/>
    <w:rsid w:val="00606067"/>
    <w:rsid w:val="0060626A"/>
    <w:rsid w:val="00606595"/>
    <w:rsid w:val="00606621"/>
    <w:rsid w:val="0060740D"/>
    <w:rsid w:val="0061021A"/>
    <w:rsid w:val="00611887"/>
    <w:rsid w:val="00611E36"/>
    <w:rsid w:val="006120CE"/>
    <w:rsid w:val="00612EE1"/>
    <w:rsid w:val="00613706"/>
    <w:rsid w:val="0061577C"/>
    <w:rsid w:val="00615BAF"/>
    <w:rsid w:val="00616244"/>
    <w:rsid w:val="00616DDD"/>
    <w:rsid w:val="00620B19"/>
    <w:rsid w:val="00624095"/>
    <w:rsid w:val="00624508"/>
    <w:rsid w:val="00624B67"/>
    <w:rsid w:val="00624CAA"/>
    <w:rsid w:val="006252F1"/>
    <w:rsid w:val="00625A5A"/>
    <w:rsid w:val="00627761"/>
    <w:rsid w:val="00627DF0"/>
    <w:rsid w:val="00631CF0"/>
    <w:rsid w:val="006327DE"/>
    <w:rsid w:val="0063371D"/>
    <w:rsid w:val="006347B1"/>
    <w:rsid w:val="00635305"/>
    <w:rsid w:val="006354D9"/>
    <w:rsid w:val="006359D6"/>
    <w:rsid w:val="00635A5A"/>
    <w:rsid w:val="006360CA"/>
    <w:rsid w:val="006362C3"/>
    <w:rsid w:val="0063687B"/>
    <w:rsid w:val="0064059B"/>
    <w:rsid w:val="00640F10"/>
    <w:rsid w:val="00643BA6"/>
    <w:rsid w:val="00643F22"/>
    <w:rsid w:val="00644DB9"/>
    <w:rsid w:val="00645862"/>
    <w:rsid w:val="00645E89"/>
    <w:rsid w:val="00646A8B"/>
    <w:rsid w:val="006477E7"/>
    <w:rsid w:val="006500DD"/>
    <w:rsid w:val="00650AD5"/>
    <w:rsid w:val="0065131C"/>
    <w:rsid w:val="006521CC"/>
    <w:rsid w:val="00653608"/>
    <w:rsid w:val="00653A24"/>
    <w:rsid w:val="00654A24"/>
    <w:rsid w:val="00655083"/>
    <w:rsid w:val="00655CA0"/>
    <w:rsid w:val="0065674E"/>
    <w:rsid w:val="00656D67"/>
    <w:rsid w:val="006575EC"/>
    <w:rsid w:val="00660232"/>
    <w:rsid w:val="00661C2C"/>
    <w:rsid w:val="00663636"/>
    <w:rsid w:val="00663D99"/>
    <w:rsid w:val="00665688"/>
    <w:rsid w:val="006657FB"/>
    <w:rsid w:val="006660F2"/>
    <w:rsid w:val="006668E4"/>
    <w:rsid w:val="00670DB7"/>
    <w:rsid w:val="00671097"/>
    <w:rsid w:val="00671D53"/>
    <w:rsid w:val="00673850"/>
    <w:rsid w:val="00673A12"/>
    <w:rsid w:val="00674190"/>
    <w:rsid w:val="00675E38"/>
    <w:rsid w:val="006760E5"/>
    <w:rsid w:val="00676FC5"/>
    <w:rsid w:val="00676FE6"/>
    <w:rsid w:val="00677E97"/>
    <w:rsid w:val="006807B9"/>
    <w:rsid w:val="00680C5B"/>
    <w:rsid w:val="00680D03"/>
    <w:rsid w:val="00681555"/>
    <w:rsid w:val="00681667"/>
    <w:rsid w:val="00681E50"/>
    <w:rsid w:val="00682E08"/>
    <w:rsid w:val="00684BAC"/>
    <w:rsid w:val="006852D3"/>
    <w:rsid w:val="0068595A"/>
    <w:rsid w:val="0068631C"/>
    <w:rsid w:val="00686408"/>
    <w:rsid w:val="00687AC1"/>
    <w:rsid w:val="006913C2"/>
    <w:rsid w:val="00691956"/>
    <w:rsid w:val="00692149"/>
    <w:rsid w:val="00694774"/>
    <w:rsid w:val="00695485"/>
    <w:rsid w:val="0069648E"/>
    <w:rsid w:val="006A1608"/>
    <w:rsid w:val="006A1681"/>
    <w:rsid w:val="006A3705"/>
    <w:rsid w:val="006A453B"/>
    <w:rsid w:val="006A473F"/>
    <w:rsid w:val="006A6EAA"/>
    <w:rsid w:val="006A73C0"/>
    <w:rsid w:val="006A7C4A"/>
    <w:rsid w:val="006A7D49"/>
    <w:rsid w:val="006B0261"/>
    <w:rsid w:val="006B0279"/>
    <w:rsid w:val="006B169B"/>
    <w:rsid w:val="006B24BD"/>
    <w:rsid w:val="006B3160"/>
    <w:rsid w:val="006B3705"/>
    <w:rsid w:val="006B3778"/>
    <w:rsid w:val="006B3C03"/>
    <w:rsid w:val="006B4663"/>
    <w:rsid w:val="006B471A"/>
    <w:rsid w:val="006B4C23"/>
    <w:rsid w:val="006B4EC9"/>
    <w:rsid w:val="006B4F45"/>
    <w:rsid w:val="006B6036"/>
    <w:rsid w:val="006B630E"/>
    <w:rsid w:val="006B6E01"/>
    <w:rsid w:val="006B7615"/>
    <w:rsid w:val="006C106E"/>
    <w:rsid w:val="006C160E"/>
    <w:rsid w:val="006C1865"/>
    <w:rsid w:val="006C22EC"/>
    <w:rsid w:val="006C2F0A"/>
    <w:rsid w:val="006C3667"/>
    <w:rsid w:val="006C3AE4"/>
    <w:rsid w:val="006C4218"/>
    <w:rsid w:val="006C4F04"/>
    <w:rsid w:val="006C668A"/>
    <w:rsid w:val="006C6AA1"/>
    <w:rsid w:val="006C6E27"/>
    <w:rsid w:val="006C72A2"/>
    <w:rsid w:val="006C73CC"/>
    <w:rsid w:val="006C78A3"/>
    <w:rsid w:val="006C7A80"/>
    <w:rsid w:val="006D002D"/>
    <w:rsid w:val="006D0366"/>
    <w:rsid w:val="006D03DF"/>
    <w:rsid w:val="006D0544"/>
    <w:rsid w:val="006D0940"/>
    <w:rsid w:val="006D2B7E"/>
    <w:rsid w:val="006D2CD1"/>
    <w:rsid w:val="006D36A9"/>
    <w:rsid w:val="006D3975"/>
    <w:rsid w:val="006D6224"/>
    <w:rsid w:val="006D6431"/>
    <w:rsid w:val="006D77CA"/>
    <w:rsid w:val="006D7E9A"/>
    <w:rsid w:val="006E0FE5"/>
    <w:rsid w:val="006E10C1"/>
    <w:rsid w:val="006E11A2"/>
    <w:rsid w:val="006E1490"/>
    <w:rsid w:val="006E1BCA"/>
    <w:rsid w:val="006E4DFA"/>
    <w:rsid w:val="006E4F1E"/>
    <w:rsid w:val="006E503A"/>
    <w:rsid w:val="006E5A23"/>
    <w:rsid w:val="006E5E82"/>
    <w:rsid w:val="006E623E"/>
    <w:rsid w:val="006E7031"/>
    <w:rsid w:val="006E7A62"/>
    <w:rsid w:val="006F049B"/>
    <w:rsid w:val="006F1CBA"/>
    <w:rsid w:val="006F1D36"/>
    <w:rsid w:val="006F31AD"/>
    <w:rsid w:val="006F3E82"/>
    <w:rsid w:val="006F4299"/>
    <w:rsid w:val="006F6A66"/>
    <w:rsid w:val="006F75AC"/>
    <w:rsid w:val="006F784A"/>
    <w:rsid w:val="006F7B81"/>
    <w:rsid w:val="00700437"/>
    <w:rsid w:val="00701D4D"/>
    <w:rsid w:val="007020DF"/>
    <w:rsid w:val="007021A5"/>
    <w:rsid w:val="007024FC"/>
    <w:rsid w:val="007026CB"/>
    <w:rsid w:val="00702CA0"/>
    <w:rsid w:val="00703825"/>
    <w:rsid w:val="0070438B"/>
    <w:rsid w:val="00705292"/>
    <w:rsid w:val="00705D18"/>
    <w:rsid w:val="00705FEA"/>
    <w:rsid w:val="007066F9"/>
    <w:rsid w:val="00706BE5"/>
    <w:rsid w:val="00710543"/>
    <w:rsid w:val="0071120A"/>
    <w:rsid w:val="00711CF0"/>
    <w:rsid w:val="00714F9A"/>
    <w:rsid w:val="00715478"/>
    <w:rsid w:val="00715527"/>
    <w:rsid w:val="00715DDD"/>
    <w:rsid w:val="00717810"/>
    <w:rsid w:val="007178E6"/>
    <w:rsid w:val="00720331"/>
    <w:rsid w:val="00720CFB"/>
    <w:rsid w:val="007215E2"/>
    <w:rsid w:val="0072180D"/>
    <w:rsid w:val="00722DB5"/>
    <w:rsid w:val="007234EF"/>
    <w:rsid w:val="00723A16"/>
    <w:rsid w:val="00724066"/>
    <w:rsid w:val="007244B1"/>
    <w:rsid w:val="007244F5"/>
    <w:rsid w:val="00724663"/>
    <w:rsid w:val="0072559F"/>
    <w:rsid w:val="00725883"/>
    <w:rsid w:val="0072596A"/>
    <w:rsid w:val="007275DD"/>
    <w:rsid w:val="00727AD0"/>
    <w:rsid w:val="00732650"/>
    <w:rsid w:val="0073299E"/>
    <w:rsid w:val="00732EA3"/>
    <w:rsid w:val="00732ED9"/>
    <w:rsid w:val="007339E3"/>
    <w:rsid w:val="00733ADC"/>
    <w:rsid w:val="00733E69"/>
    <w:rsid w:val="00733E9A"/>
    <w:rsid w:val="00734367"/>
    <w:rsid w:val="00734454"/>
    <w:rsid w:val="0073474C"/>
    <w:rsid w:val="007347B2"/>
    <w:rsid w:val="0073521B"/>
    <w:rsid w:val="007361CB"/>
    <w:rsid w:val="00737061"/>
    <w:rsid w:val="00737383"/>
    <w:rsid w:val="00740905"/>
    <w:rsid w:val="00742269"/>
    <w:rsid w:val="007422B0"/>
    <w:rsid w:val="00742325"/>
    <w:rsid w:val="0074235F"/>
    <w:rsid w:val="00743568"/>
    <w:rsid w:val="00743E10"/>
    <w:rsid w:val="007444D5"/>
    <w:rsid w:val="00744558"/>
    <w:rsid w:val="0074584C"/>
    <w:rsid w:val="00746696"/>
    <w:rsid w:val="007473A8"/>
    <w:rsid w:val="007473D2"/>
    <w:rsid w:val="00747724"/>
    <w:rsid w:val="007521F7"/>
    <w:rsid w:val="00752BBC"/>
    <w:rsid w:val="00753D9E"/>
    <w:rsid w:val="007545F9"/>
    <w:rsid w:val="00754706"/>
    <w:rsid w:val="00754A06"/>
    <w:rsid w:val="00754DAE"/>
    <w:rsid w:val="00755F89"/>
    <w:rsid w:val="0075696F"/>
    <w:rsid w:val="007570F6"/>
    <w:rsid w:val="007574AC"/>
    <w:rsid w:val="0075775C"/>
    <w:rsid w:val="007577F1"/>
    <w:rsid w:val="00757D02"/>
    <w:rsid w:val="007612BE"/>
    <w:rsid w:val="00762623"/>
    <w:rsid w:val="00762955"/>
    <w:rsid w:val="00762F1D"/>
    <w:rsid w:val="007630BE"/>
    <w:rsid w:val="00763A7E"/>
    <w:rsid w:val="00764A41"/>
    <w:rsid w:val="00764BC9"/>
    <w:rsid w:val="00764FF0"/>
    <w:rsid w:val="00766246"/>
    <w:rsid w:val="007664B2"/>
    <w:rsid w:val="007666A0"/>
    <w:rsid w:val="007669A8"/>
    <w:rsid w:val="00770285"/>
    <w:rsid w:val="007703C3"/>
    <w:rsid w:val="00771BA8"/>
    <w:rsid w:val="00772011"/>
    <w:rsid w:val="00772BBD"/>
    <w:rsid w:val="007739EB"/>
    <w:rsid w:val="007743C5"/>
    <w:rsid w:val="00774733"/>
    <w:rsid w:val="00774A9C"/>
    <w:rsid w:val="00774BBC"/>
    <w:rsid w:val="007752B1"/>
    <w:rsid w:val="007754CD"/>
    <w:rsid w:val="0077557E"/>
    <w:rsid w:val="00775B25"/>
    <w:rsid w:val="00775F16"/>
    <w:rsid w:val="0077606D"/>
    <w:rsid w:val="007764C9"/>
    <w:rsid w:val="00776618"/>
    <w:rsid w:val="007769E5"/>
    <w:rsid w:val="00776B9F"/>
    <w:rsid w:val="00776DFD"/>
    <w:rsid w:val="007770FF"/>
    <w:rsid w:val="00777DB2"/>
    <w:rsid w:val="00777E27"/>
    <w:rsid w:val="00777E49"/>
    <w:rsid w:val="00780341"/>
    <w:rsid w:val="0078040F"/>
    <w:rsid w:val="00781E9F"/>
    <w:rsid w:val="00782498"/>
    <w:rsid w:val="007825DD"/>
    <w:rsid w:val="00782668"/>
    <w:rsid w:val="007828DA"/>
    <w:rsid w:val="00782974"/>
    <w:rsid w:val="0078345A"/>
    <w:rsid w:val="0078346A"/>
    <w:rsid w:val="00783F3F"/>
    <w:rsid w:val="00785102"/>
    <w:rsid w:val="00785A24"/>
    <w:rsid w:val="00785FC9"/>
    <w:rsid w:val="00786885"/>
    <w:rsid w:val="007875EE"/>
    <w:rsid w:val="00790710"/>
    <w:rsid w:val="00792520"/>
    <w:rsid w:val="00792C27"/>
    <w:rsid w:val="00792CA6"/>
    <w:rsid w:val="007935AD"/>
    <w:rsid w:val="007939B0"/>
    <w:rsid w:val="00793B05"/>
    <w:rsid w:val="00793BA6"/>
    <w:rsid w:val="00794D9C"/>
    <w:rsid w:val="0079512B"/>
    <w:rsid w:val="00795817"/>
    <w:rsid w:val="00795C17"/>
    <w:rsid w:val="0079679F"/>
    <w:rsid w:val="007A09A3"/>
    <w:rsid w:val="007A237D"/>
    <w:rsid w:val="007A238A"/>
    <w:rsid w:val="007A2A4A"/>
    <w:rsid w:val="007A2D64"/>
    <w:rsid w:val="007A33D5"/>
    <w:rsid w:val="007A3A9B"/>
    <w:rsid w:val="007A3D58"/>
    <w:rsid w:val="007A4249"/>
    <w:rsid w:val="007A5373"/>
    <w:rsid w:val="007A55F0"/>
    <w:rsid w:val="007A6904"/>
    <w:rsid w:val="007A6D86"/>
    <w:rsid w:val="007A755D"/>
    <w:rsid w:val="007A77D5"/>
    <w:rsid w:val="007B1F1F"/>
    <w:rsid w:val="007B276B"/>
    <w:rsid w:val="007B2E24"/>
    <w:rsid w:val="007B302E"/>
    <w:rsid w:val="007B3656"/>
    <w:rsid w:val="007B57CE"/>
    <w:rsid w:val="007B6F89"/>
    <w:rsid w:val="007B7E3C"/>
    <w:rsid w:val="007C09EC"/>
    <w:rsid w:val="007C48E6"/>
    <w:rsid w:val="007C53CF"/>
    <w:rsid w:val="007C5A0A"/>
    <w:rsid w:val="007C5DC6"/>
    <w:rsid w:val="007C5F2F"/>
    <w:rsid w:val="007C6056"/>
    <w:rsid w:val="007C6447"/>
    <w:rsid w:val="007C7AE3"/>
    <w:rsid w:val="007D18BA"/>
    <w:rsid w:val="007D2209"/>
    <w:rsid w:val="007D2C13"/>
    <w:rsid w:val="007D2FC7"/>
    <w:rsid w:val="007D3CAA"/>
    <w:rsid w:val="007D3D1B"/>
    <w:rsid w:val="007D4293"/>
    <w:rsid w:val="007D46F9"/>
    <w:rsid w:val="007D4896"/>
    <w:rsid w:val="007D4903"/>
    <w:rsid w:val="007D4A7A"/>
    <w:rsid w:val="007D5C05"/>
    <w:rsid w:val="007D60D8"/>
    <w:rsid w:val="007D6A6E"/>
    <w:rsid w:val="007D6F74"/>
    <w:rsid w:val="007D7362"/>
    <w:rsid w:val="007D7917"/>
    <w:rsid w:val="007E0166"/>
    <w:rsid w:val="007E020A"/>
    <w:rsid w:val="007E0453"/>
    <w:rsid w:val="007E0F3D"/>
    <w:rsid w:val="007E20ED"/>
    <w:rsid w:val="007E287A"/>
    <w:rsid w:val="007E4C95"/>
    <w:rsid w:val="007E4F05"/>
    <w:rsid w:val="007E4FE7"/>
    <w:rsid w:val="007E56CA"/>
    <w:rsid w:val="007E5AAA"/>
    <w:rsid w:val="007E6AA8"/>
    <w:rsid w:val="007E6AC7"/>
    <w:rsid w:val="007E7E5A"/>
    <w:rsid w:val="007E7FF2"/>
    <w:rsid w:val="007F10BB"/>
    <w:rsid w:val="007F3444"/>
    <w:rsid w:val="007F37EF"/>
    <w:rsid w:val="007F3E62"/>
    <w:rsid w:val="007F47E6"/>
    <w:rsid w:val="007F4887"/>
    <w:rsid w:val="007F4A4C"/>
    <w:rsid w:val="007F5542"/>
    <w:rsid w:val="007F572D"/>
    <w:rsid w:val="007F6341"/>
    <w:rsid w:val="007F6ED4"/>
    <w:rsid w:val="007F73C2"/>
    <w:rsid w:val="007F76CD"/>
    <w:rsid w:val="0080040C"/>
    <w:rsid w:val="0080079A"/>
    <w:rsid w:val="00800A95"/>
    <w:rsid w:val="00801711"/>
    <w:rsid w:val="00801987"/>
    <w:rsid w:val="008028B5"/>
    <w:rsid w:val="0080312C"/>
    <w:rsid w:val="008031CA"/>
    <w:rsid w:val="0080324C"/>
    <w:rsid w:val="008037DF"/>
    <w:rsid w:val="00803F1F"/>
    <w:rsid w:val="00803FE8"/>
    <w:rsid w:val="00804FB7"/>
    <w:rsid w:val="00805278"/>
    <w:rsid w:val="00805990"/>
    <w:rsid w:val="0080599C"/>
    <w:rsid w:val="008059C6"/>
    <w:rsid w:val="00805CE8"/>
    <w:rsid w:val="00806F1B"/>
    <w:rsid w:val="008077A9"/>
    <w:rsid w:val="00810294"/>
    <w:rsid w:val="00811CEA"/>
    <w:rsid w:val="00811D39"/>
    <w:rsid w:val="00813C51"/>
    <w:rsid w:val="00813DCE"/>
    <w:rsid w:val="00814DFB"/>
    <w:rsid w:val="0081559D"/>
    <w:rsid w:val="00816288"/>
    <w:rsid w:val="00816810"/>
    <w:rsid w:val="0081688E"/>
    <w:rsid w:val="00820CA3"/>
    <w:rsid w:val="00821301"/>
    <w:rsid w:val="00821A77"/>
    <w:rsid w:val="008222EE"/>
    <w:rsid w:val="00822364"/>
    <w:rsid w:val="00822947"/>
    <w:rsid w:val="00822BA1"/>
    <w:rsid w:val="00822CE0"/>
    <w:rsid w:val="00823C3B"/>
    <w:rsid w:val="00824B15"/>
    <w:rsid w:val="00824D22"/>
    <w:rsid w:val="008255D4"/>
    <w:rsid w:val="008279B2"/>
    <w:rsid w:val="00830023"/>
    <w:rsid w:val="00831688"/>
    <w:rsid w:val="00833000"/>
    <w:rsid w:val="00833501"/>
    <w:rsid w:val="00833C59"/>
    <w:rsid w:val="00834477"/>
    <w:rsid w:val="00836039"/>
    <w:rsid w:val="00836DB3"/>
    <w:rsid w:val="00837121"/>
    <w:rsid w:val="008372A2"/>
    <w:rsid w:val="00837323"/>
    <w:rsid w:val="00837453"/>
    <w:rsid w:val="008400D1"/>
    <w:rsid w:val="00840C89"/>
    <w:rsid w:val="00840ECD"/>
    <w:rsid w:val="008412EB"/>
    <w:rsid w:val="00841E24"/>
    <w:rsid w:val="008422F8"/>
    <w:rsid w:val="0084272F"/>
    <w:rsid w:val="00844041"/>
    <w:rsid w:val="008451B6"/>
    <w:rsid w:val="00845681"/>
    <w:rsid w:val="008457D1"/>
    <w:rsid w:val="008475C5"/>
    <w:rsid w:val="00847C73"/>
    <w:rsid w:val="00847DD2"/>
    <w:rsid w:val="008518E3"/>
    <w:rsid w:val="00851B51"/>
    <w:rsid w:val="00851E9F"/>
    <w:rsid w:val="00853643"/>
    <w:rsid w:val="00854622"/>
    <w:rsid w:val="00854BE1"/>
    <w:rsid w:val="008566A7"/>
    <w:rsid w:val="00856EDC"/>
    <w:rsid w:val="00860AA6"/>
    <w:rsid w:val="0086141C"/>
    <w:rsid w:val="008616CE"/>
    <w:rsid w:val="0086190A"/>
    <w:rsid w:val="0086320A"/>
    <w:rsid w:val="00863A0D"/>
    <w:rsid w:val="0086485A"/>
    <w:rsid w:val="00865A4C"/>
    <w:rsid w:val="00866798"/>
    <w:rsid w:val="00866E69"/>
    <w:rsid w:val="00870995"/>
    <w:rsid w:val="008723CB"/>
    <w:rsid w:val="00872A02"/>
    <w:rsid w:val="00872CBA"/>
    <w:rsid w:val="0087343C"/>
    <w:rsid w:val="00873C8D"/>
    <w:rsid w:val="008741BE"/>
    <w:rsid w:val="008742B7"/>
    <w:rsid w:val="00875007"/>
    <w:rsid w:val="0087529F"/>
    <w:rsid w:val="00875E7F"/>
    <w:rsid w:val="00876DE9"/>
    <w:rsid w:val="00877AF3"/>
    <w:rsid w:val="008802E2"/>
    <w:rsid w:val="008804BC"/>
    <w:rsid w:val="008804D1"/>
    <w:rsid w:val="00880B3B"/>
    <w:rsid w:val="008812C6"/>
    <w:rsid w:val="008817A7"/>
    <w:rsid w:val="00882042"/>
    <w:rsid w:val="00882818"/>
    <w:rsid w:val="0088323B"/>
    <w:rsid w:val="00883518"/>
    <w:rsid w:val="008842C5"/>
    <w:rsid w:val="00884E04"/>
    <w:rsid w:val="0088573B"/>
    <w:rsid w:val="0088703D"/>
    <w:rsid w:val="0088717A"/>
    <w:rsid w:val="00890216"/>
    <w:rsid w:val="008902D8"/>
    <w:rsid w:val="00890ADA"/>
    <w:rsid w:val="008920A0"/>
    <w:rsid w:val="008928D6"/>
    <w:rsid w:val="00892B17"/>
    <w:rsid w:val="008930A0"/>
    <w:rsid w:val="00893EBA"/>
    <w:rsid w:val="00894AF6"/>
    <w:rsid w:val="0089505B"/>
    <w:rsid w:val="008952D6"/>
    <w:rsid w:val="0089531E"/>
    <w:rsid w:val="008964CF"/>
    <w:rsid w:val="00896800"/>
    <w:rsid w:val="008968CF"/>
    <w:rsid w:val="00896B38"/>
    <w:rsid w:val="00896FA4"/>
    <w:rsid w:val="008976C3"/>
    <w:rsid w:val="008A15C2"/>
    <w:rsid w:val="008A15E5"/>
    <w:rsid w:val="008A19FD"/>
    <w:rsid w:val="008A2297"/>
    <w:rsid w:val="008A25D1"/>
    <w:rsid w:val="008A2DAE"/>
    <w:rsid w:val="008A369B"/>
    <w:rsid w:val="008A4AC8"/>
    <w:rsid w:val="008A4B9B"/>
    <w:rsid w:val="008A56AD"/>
    <w:rsid w:val="008A7358"/>
    <w:rsid w:val="008A77D0"/>
    <w:rsid w:val="008B0EC1"/>
    <w:rsid w:val="008B201E"/>
    <w:rsid w:val="008B35CE"/>
    <w:rsid w:val="008B395D"/>
    <w:rsid w:val="008B4042"/>
    <w:rsid w:val="008B4844"/>
    <w:rsid w:val="008B48BF"/>
    <w:rsid w:val="008B5278"/>
    <w:rsid w:val="008B55F5"/>
    <w:rsid w:val="008B5D1C"/>
    <w:rsid w:val="008B5F5A"/>
    <w:rsid w:val="008B6D54"/>
    <w:rsid w:val="008B728B"/>
    <w:rsid w:val="008C03CC"/>
    <w:rsid w:val="008C0A74"/>
    <w:rsid w:val="008C2E13"/>
    <w:rsid w:val="008C2E1D"/>
    <w:rsid w:val="008C37EE"/>
    <w:rsid w:val="008C3E42"/>
    <w:rsid w:val="008C4D97"/>
    <w:rsid w:val="008C643E"/>
    <w:rsid w:val="008C7E72"/>
    <w:rsid w:val="008C7F88"/>
    <w:rsid w:val="008D0B79"/>
    <w:rsid w:val="008D1711"/>
    <w:rsid w:val="008D1901"/>
    <w:rsid w:val="008D2ACF"/>
    <w:rsid w:val="008D3556"/>
    <w:rsid w:val="008D3C02"/>
    <w:rsid w:val="008D42D4"/>
    <w:rsid w:val="008D4CA8"/>
    <w:rsid w:val="008D589C"/>
    <w:rsid w:val="008D58D3"/>
    <w:rsid w:val="008D5CA6"/>
    <w:rsid w:val="008D7141"/>
    <w:rsid w:val="008D73A2"/>
    <w:rsid w:val="008E0C55"/>
    <w:rsid w:val="008E1AE1"/>
    <w:rsid w:val="008E1BBE"/>
    <w:rsid w:val="008E2340"/>
    <w:rsid w:val="008E235B"/>
    <w:rsid w:val="008E3809"/>
    <w:rsid w:val="008E39F1"/>
    <w:rsid w:val="008E4775"/>
    <w:rsid w:val="008E4CC0"/>
    <w:rsid w:val="008E5D5D"/>
    <w:rsid w:val="008E7D8B"/>
    <w:rsid w:val="008F147F"/>
    <w:rsid w:val="008F157F"/>
    <w:rsid w:val="008F16B6"/>
    <w:rsid w:val="008F1D2F"/>
    <w:rsid w:val="008F4353"/>
    <w:rsid w:val="008F473E"/>
    <w:rsid w:val="008F5B7D"/>
    <w:rsid w:val="008F6F6B"/>
    <w:rsid w:val="008F7BEF"/>
    <w:rsid w:val="008F7C4B"/>
    <w:rsid w:val="008F7D1C"/>
    <w:rsid w:val="008F7E97"/>
    <w:rsid w:val="009013C7"/>
    <w:rsid w:val="00901A10"/>
    <w:rsid w:val="00901C29"/>
    <w:rsid w:val="00901DA5"/>
    <w:rsid w:val="009022EC"/>
    <w:rsid w:val="009024DB"/>
    <w:rsid w:val="009039B7"/>
    <w:rsid w:val="00904014"/>
    <w:rsid w:val="00904CB3"/>
    <w:rsid w:val="00904E8A"/>
    <w:rsid w:val="00904F8E"/>
    <w:rsid w:val="00904FC0"/>
    <w:rsid w:val="009052D1"/>
    <w:rsid w:val="00905F9B"/>
    <w:rsid w:val="0090699F"/>
    <w:rsid w:val="00906BFE"/>
    <w:rsid w:val="00907041"/>
    <w:rsid w:val="0090796B"/>
    <w:rsid w:val="009104FB"/>
    <w:rsid w:val="0091063E"/>
    <w:rsid w:val="009106EA"/>
    <w:rsid w:val="00910BE1"/>
    <w:rsid w:val="00911729"/>
    <w:rsid w:val="00911D33"/>
    <w:rsid w:val="009136D1"/>
    <w:rsid w:val="00913787"/>
    <w:rsid w:val="00913B69"/>
    <w:rsid w:val="009143E6"/>
    <w:rsid w:val="00914AC7"/>
    <w:rsid w:val="009158DD"/>
    <w:rsid w:val="00917035"/>
    <w:rsid w:val="009176CB"/>
    <w:rsid w:val="00917BBE"/>
    <w:rsid w:val="00921D35"/>
    <w:rsid w:val="00922B38"/>
    <w:rsid w:val="00923CA3"/>
    <w:rsid w:val="00923FC2"/>
    <w:rsid w:val="00926752"/>
    <w:rsid w:val="00926808"/>
    <w:rsid w:val="00927E35"/>
    <w:rsid w:val="00927EE4"/>
    <w:rsid w:val="009312C2"/>
    <w:rsid w:val="009317B0"/>
    <w:rsid w:val="00932A89"/>
    <w:rsid w:val="009348E3"/>
    <w:rsid w:val="00934C37"/>
    <w:rsid w:val="00935FEE"/>
    <w:rsid w:val="00936DC8"/>
    <w:rsid w:val="00936DD0"/>
    <w:rsid w:val="00937636"/>
    <w:rsid w:val="00940615"/>
    <w:rsid w:val="00941500"/>
    <w:rsid w:val="00943105"/>
    <w:rsid w:val="00943340"/>
    <w:rsid w:val="009434C6"/>
    <w:rsid w:val="0094589E"/>
    <w:rsid w:val="009505A5"/>
    <w:rsid w:val="009508E5"/>
    <w:rsid w:val="00950AE6"/>
    <w:rsid w:val="0095171E"/>
    <w:rsid w:val="00952189"/>
    <w:rsid w:val="00952FF0"/>
    <w:rsid w:val="00953FA6"/>
    <w:rsid w:val="00956893"/>
    <w:rsid w:val="009573F8"/>
    <w:rsid w:val="00957FA7"/>
    <w:rsid w:val="00960BB7"/>
    <w:rsid w:val="0096124E"/>
    <w:rsid w:val="00961413"/>
    <w:rsid w:val="009616BC"/>
    <w:rsid w:val="00962654"/>
    <w:rsid w:val="00965A2B"/>
    <w:rsid w:val="00965EAF"/>
    <w:rsid w:val="009670FA"/>
    <w:rsid w:val="00967B14"/>
    <w:rsid w:val="00967EA4"/>
    <w:rsid w:val="00967EA6"/>
    <w:rsid w:val="00972264"/>
    <w:rsid w:val="00972B49"/>
    <w:rsid w:val="0097459C"/>
    <w:rsid w:val="0097487E"/>
    <w:rsid w:val="00974FF4"/>
    <w:rsid w:val="009758C4"/>
    <w:rsid w:val="00975F62"/>
    <w:rsid w:val="00977BA8"/>
    <w:rsid w:val="0098067F"/>
    <w:rsid w:val="00980EF5"/>
    <w:rsid w:val="0098103A"/>
    <w:rsid w:val="009812C6"/>
    <w:rsid w:val="0098225A"/>
    <w:rsid w:val="009828DC"/>
    <w:rsid w:val="00983F4C"/>
    <w:rsid w:val="00984672"/>
    <w:rsid w:val="0098549D"/>
    <w:rsid w:val="00985837"/>
    <w:rsid w:val="00986D24"/>
    <w:rsid w:val="00986F6B"/>
    <w:rsid w:val="009870FF"/>
    <w:rsid w:val="00987D54"/>
    <w:rsid w:val="00987FD0"/>
    <w:rsid w:val="00990181"/>
    <w:rsid w:val="0099049B"/>
    <w:rsid w:val="00990BAA"/>
    <w:rsid w:val="00990C3F"/>
    <w:rsid w:val="00990E0C"/>
    <w:rsid w:val="00991045"/>
    <w:rsid w:val="0099132B"/>
    <w:rsid w:val="00991511"/>
    <w:rsid w:val="0099164E"/>
    <w:rsid w:val="009921FC"/>
    <w:rsid w:val="00993824"/>
    <w:rsid w:val="00993F2D"/>
    <w:rsid w:val="009942D4"/>
    <w:rsid w:val="0099495F"/>
    <w:rsid w:val="009958FE"/>
    <w:rsid w:val="009959D0"/>
    <w:rsid w:val="00996799"/>
    <w:rsid w:val="00996B91"/>
    <w:rsid w:val="00996E10"/>
    <w:rsid w:val="00997BF8"/>
    <w:rsid w:val="009A092A"/>
    <w:rsid w:val="009A17A0"/>
    <w:rsid w:val="009A23B7"/>
    <w:rsid w:val="009A29CB"/>
    <w:rsid w:val="009A2B87"/>
    <w:rsid w:val="009A2C9B"/>
    <w:rsid w:val="009A305F"/>
    <w:rsid w:val="009A3628"/>
    <w:rsid w:val="009A390B"/>
    <w:rsid w:val="009A4478"/>
    <w:rsid w:val="009A4D68"/>
    <w:rsid w:val="009A4FFE"/>
    <w:rsid w:val="009B00CB"/>
    <w:rsid w:val="009B0939"/>
    <w:rsid w:val="009B2112"/>
    <w:rsid w:val="009B2A83"/>
    <w:rsid w:val="009B3478"/>
    <w:rsid w:val="009B3DCA"/>
    <w:rsid w:val="009B50F7"/>
    <w:rsid w:val="009B5A79"/>
    <w:rsid w:val="009B5FD0"/>
    <w:rsid w:val="009B7EEB"/>
    <w:rsid w:val="009C013D"/>
    <w:rsid w:val="009C02FD"/>
    <w:rsid w:val="009C113E"/>
    <w:rsid w:val="009C1BE6"/>
    <w:rsid w:val="009C2181"/>
    <w:rsid w:val="009C3C47"/>
    <w:rsid w:val="009C4CD6"/>
    <w:rsid w:val="009C4FD0"/>
    <w:rsid w:val="009C590C"/>
    <w:rsid w:val="009C7425"/>
    <w:rsid w:val="009C77DC"/>
    <w:rsid w:val="009D0223"/>
    <w:rsid w:val="009D044D"/>
    <w:rsid w:val="009D0459"/>
    <w:rsid w:val="009D1B96"/>
    <w:rsid w:val="009D321D"/>
    <w:rsid w:val="009D3D1C"/>
    <w:rsid w:val="009D495F"/>
    <w:rsid w:val="009D67B6"/>
    <w:rsid w:val="009E041D"/>
    <w:rsid w:val="009E04D0"/>
    <w:rsid w:val="009E0CB4"/>
    <w:rsid w:val="009E1084"/>
    <w:rsid w:val="009E13AA"/>
    <w:rsid w:val="009E1478"/>
    <w:rsid w:val="009E1777"/>
    <w:rsid w:val="009E27B7"/>
    <w:rsid w:val="009E280C"/>
    <w:rsid w:val="009E36EF"/>
    <w:rsid w:val="009E3C08"/>
    <w:rsid w:val="009E41AD"/>
    <w:rsid w:val="009E4271"/>
    <w:rsid w:val="009E57C9"/>
    <w:rsid w:val="009E66A1"/>
    <w:rsid w:val="009E6ED7"/>
    <w:rsid w:val="009E6FE0"/>
    <w:rsid w:val="009F0463"/>
    <w:rsid w:val="009F06CE"/>
    <w:rsid w:val="009F0E63"/>
    <w:rsid w:val="009F1420"/>
    <w:rsid w:val="009F1680"/>
    <w:rsid w:val="009F29EA"/>
    <w:rsid w:val="009F49CA"/>
    <w:rsid w:val="009F51BB"/>
    <w:rsid w:val="009F555E"/>
    <w:rsid w:val="009F5A8F"/>
    <w:rsid w:val="009F6014"/>
    <w:rsid w:val="009F67A4"/>
    <w:rsid w:val="009F67BE"/>
    <w:rsid w:val="009F6B65"/>
    <w:rsid w:val="009F7184"/>
    <w:rsid w:val="009F7624"/>
    <w:rsid w:val="00A0089E"/>
    <w:rsid w:val="00A024D2"/>
    <w:rsid w:val="00A04433"/>
    <w:rsid w:val="00A05CF7"/>
    <w:rsid w:val="00A06330"/>
    <w:rsid w:val="00A0637A"/>
    <w:rsid w:val="00A06930"/>
    <w:rsid w:val="00A07154"/>
    <w:rsid w:val="00A1090C"/>
    <w:rsid w:val="00A10B0D"/>
    <w:rsid w:val="00A10D47"/>
    <w:rsid w:val="00A11786"/>
    <w:rsid w:val="00A11F2B"/>
    <w:rsid w:val="00A11FF2"/>
    <w:rsid w:val="00A1241B"/>
    <w:rsid w:val="00A147CD"/>
    <w:rsid w:val="00A155E4"/>
    <w:rsid w:val="00A17539"/>
    <w:rsid w:val="00A17AC7"/>
    <w:rsid w:val="00A20A64"/>
    <w:rsid w:val="00A20B4A"/>
    <w:rsid w:val="00A20F45"/>
    <w:rsid w:val="00A21806"/>
    <w:rsid w:val="00A220AB"/>
    <w:rsid w:val="00A23BCD"/>
    <w:rsid w:val="00A23E79"/>
    <w:rsid w:val="00A24314"/>
    <w:rsid w:val="00A24576"/>
    <w:rsid w:val="00A24893"/>
    <w:rsid w:val="00A2561B"/>
    <w:rsid w:val="00A25CF6"/>
    <w:rsid w:val="00A25E16"/>
    <w:rsid w:val="00A26F10"/>
    <w:rsid w:val="00A26FC4"/>
    <w:rsid w:val="00A3005D"/>
    <w:rsid w:val="00A30416"/>
    <w:rsid w:val="00A30B72"/>
    <w:rsid w:val="00A32642"/>
    <w:rsid w:val="00A328E5"/>
    <w:rsid w:val="00A32910"/>
    <w:rsid w:val="00A32CCF"/>
    <w:rsid w:val="00A32D21"/>
    <w:rsid w:val="00A3331F"/>
    <w:rsid w:val="00A34EE8"/>
    <w:rsid w:val="00A353F8"/>
    <w:rsid w:val="00A35D89"/>
    <w:rsid w:val="00A3699B"/>
    <w:rsid w:val="00A36A14"/>
    <w:rsid w:val="00A375D1"/>
    <w:rsid w:val="00A37BE4"/>
    <w:rsid w:val="00A405D2"/>
    <w:rsid w:val="00A40809"/>
    <w:rsid w:val="00A41055"/>
    <w:rsid w:val="00A41317"/>
    <w:rsid w:val="00A41BF4"/>
    <w:rsid w:val="00A4256A"/>
    <w:rsid w:val="00A42F7B"/>
    <w:rsid w:val="00A436C1"/>
    <w:rsid w:val="00A446D0"/>
    <w:rsid w:val="00A46C2F"/>
    <w:rsid w:val="00A47F77"/>
    <w:rsid w:val="00A5064D"/>
    <w:rsid w:val="00A50C39"/>
    <w:rsid w:val="00A50FC6"/>
    <w:rsid w:val="00A51050"/>
    <w:rsid w:val="00A511FD"/>
    <w:rsid w:val="00A51702"/>
    <w:rsid w:val="00A52EC1"/>
    <w:rsid w:val="00A5446A"/>
    <w:rsid w:val="00A54E61"/>
    <w:rsid w:val="00A55C6B"/>
    <w:rsid w:val="00A563B6"/>
    <w:rsid w:val="00A5663A"/>
    <w:rsid w:val="00A566C3"/>
    <w:rsid w:val="00A5722F"/>
    <w:rsid w:val="00A57CF3"/>
    <w:rsid w:val="00A57E9B"/>
    <w:rsid w:val="00A602CF"/>
    <w:rsid w:val="00A608EB"/>
    <w:rsid w:val="00A609CA"/>
    <w:rsid w:val="00A609EC"/>
    <w:rsid w:val="00A61A01"/>
    <w:rsid w:val="00A62422"/>
    <w:rsid w:val="00A62F85"/>
    <w:rsid w:val="00A6349A"/>
    <w:rsid w:val="00A63D50"/>
    <w:rsid w:val="00A65ADC"/>
    <w:rsid w:val="00A67A03"/>
    <w:rsid w:val="00A67D22"/>
    <w:rsid w:val="00A7000A"/>
    <w:rsid w:val="00A70CC7"/>
    <w:rsid w:val="00A71BC9"/>
    <w:rsid w:val="00A72821"/>
    <w:rsid w:val="00A72E32"/>
    <w:rsid w:val="00A73506"/>
    <w:rsid w:val="00A749D9"/>
    <w:rsid w:val="00A74F9C"/>
    <w:rsid w:val="00A75124"/>
    <w:rsid w:val="00A753BF"/>
    <w:rsid w:val="00A76346"/>
    <w:rsid w:val="00A7669C"/>
    <w:rsid w:val="00A778D2"/>
    <w:rsid w:val="00A77BD6"/>
    <w:rsid w:val="00A77C94"/>
    <w:rsid w:val="00A80338"/>
    <w:rsid w:val="00A816DD"/>
    <w:rsid w:val="00A82573"/>
    <w:rsid w:val="00A83941"/>
    <w:rsid w:val="00A84711"/>
    <w:rsid w:val="00A867E2"/>
    <w:rsid w:val="00A86F26"/>
    <w:rsid w:val="00A87926"/>
    <w:rsid w:val="00A87B37"/>
    <w:rsid w:val="00A87D6A"/>
    <w:rsid w:val="00A902A8"/>
    <w:rsid w:val="00A9157F"/>
    <w:rsid w:val="00A920C0"/>
    <w:rsid w:val="00A92C5D"/>
    <w:rsid w:val="00A93595"/>
    <w:rsid w:val="00A94AA0"/>
    <w:rsid w:val="00A95635"/>
    <w:rsid w:val="00A957C4"/>
    <w:rsid w:val="00A95F94"/>
    <w:rsid w:val="00A96373"/>
    <w:rsid w:val="00A97F70"/>
    <w:rsid w:val="00AA03C9"/>
    <w:rsid w:val="00AA045B"/>
    <w:rsid w:val="00AA0640"/>
    <w:rsid w:val="00AA1F91"/>
    <w:rsid w:val="00AA2AFB"/>
    <w:rsid w:val="00AA309B"/>
    <w:rsid w:val="00AA3280"/>
    <w:rsid w:val="00AA3CA5"/>
    <w:rsid w:val="00AA537E"/>
    <w:rsid w:val="00AA5933"/>
    <w:rsid w:val="00AA5F1C"/>
    <w:rsid w:val="00AA66E0"/>
    <w:rsid w:val="00AA75D4"/>
    <w:rsid w:val="00AB0589"/>
    <w:rsid w:val="00AB172C"/>
    <w:rsid w:val="00AB1CBE"/>
    <w:rsid w:val="00AB3065"/>
    <w:rsid w:val="00AB353F"/>
    <w:rsid w:val="00AB4985"/>
    <w:rsid w:val="00AB4A92"/>
    <w:rsid w:val="00AB515F"/>
    <w:rsid w:val="00AC1838"/>
    <w:rsid w:val="00AC1908"/>
    <w:rsid w:val="00AC1A7C"/>
    <w:rsid w:val="00AC2E7F"/>
    <w:rsid w:val="00AC2EB0"/>
    <w:rsid w:val="00AC4239"/>
    <w:rsid w:val="00AC7642"/>
    <w:rsid w:val="00AC7C20"/>
    <w:rsid w:val="00AC7D8B"/>
    <w:rsid w:val="00AD023D"/>
    <w:rsid w:val="00AD0D89"/>
    <w:rsid w:val="00AD2129"/>
    <w:rsid w:val="00AD2672"/>
    <w:rsid w:val="00AD2C44"/>
    <w:rsid w:val="00AD2D01"/>
    <w:rsid w:val="00AD40A8"/>
    <w:rsid w:val="00AD4172"/>
    <w:rsid w:val="00AD4A80"/>
    <w:rsid w:val="00AD6BBA"/>
    <w:rsid w:val="00AD708A"/>
    <w:rsid w:val="00AD789B"/>
    <w:rsid w:val="00AE0A00"/>
    <w:rsid w:val="00AE1B0C"/>
    <w:rsid w:val="00AE3798"/>
    <w:rsid w:val="00AE38FD"/>
    <w:rsid w:val="00AE45D4"/>
    <w:rsid w:val="00AE6CFB"/>
    <w:rsid w:val="00AE7552"/>
    <w:rsid w:val="00AE76CD"/>
    <w:rsid w:val="00AF090E"/>
    <w:rsid w:val="00AF1F33"/>
    <w:rsid w:val="00AF21D9"/>
    <w:rsid w:val="00AF4882"/>
    <w:rsid w:val="00AF5243"/>
    <w:rsid w:val="00AF5FA3"/>
    <w:rsid w:val="00AF6450"/>
    <w:rsid w:val="00AF7EE5"/>
    <w:rsid w:val="00B0029A"/>
    <w:rsid w:val="00B02065"/>
    <w:rsid w:val="00B02094"/>
    <w:rsid w:val="00B02BA8"/>
    <w:rsid w:val="00B07A5B"/>
    <w:rsid w:val="00B07F22"/>
    <w:rsid w:val="00B10020"/>
    <w:rsid w:val="00B104CE"/>
    <w:rsid w:val="00B111CA"/>
    <w:rsid w:val="00B112E2"/>
    <w:rsid w:val="00B11AB0"/>
    <w:rsid w:val="00B12D51"/>
    <w:rsid w:val="00B12D6F"/>
    <w:rsid w:val="00B13232"/>
    <w:rsid w:val="00B14CF3"/>
    <w:rsid w:val="00B156DC"/>
    <w:rsid w:val="00B16589"/>
    <w:rsid w:val="00B17010"/>
    <w:rsid w:val="00B171FE"/>
    <w:rsid w:val="00B20DA2"/>
    <w:rsid w:val="00B20E71"/>
    <w:rsid w:val="00B212CA"/>
    <w:rsid w:val="00B2257F"/>
    <w:rsid w:val="00B226BD"/>
    <w:rsid w:val="00B22D4F"/>
    <w:rsid w:val="00B23900"/>
    <w:rsid w:val="00B23C69"/>
    <w:rsid w:val="00B25623"/>
    <w:rsid w:val="00B260FE"/>
    <w:rsid w:val="00B26855"/>
    <w:rsid w:val="00B26E97"/>
    <w:rsid w:val="00B278FD"/>
    <w:rsid w:val="00B27A5D"/>
    <w:rsid w:val="00B31298"/>
    <w:rsid w:val="00B31316"/>
    <w:rsid w:val="00B327F4"/>
    <w:rsid w:val="00B33CB5"/>
    <w:rsid w:val="00B3452A"/>
    <w:rsid w:val="00B34B27"/>
    <w:rsid w:val="00B34E4B"/>
    <w:rsid w:val="00B3542E"/>
    <w:rsid w:val="00B358C3"/>
    <w:rsid w:val="00B3703F"/>
    <w:rsid w:val="00B372A8"/>
    <w:rsid w:val="00B4094F"/>
    <w:rsid w:val="00B419C1"/>
    <w:rsid w:val="00B41D0B"/>
    <w:rsid w:val="00B425D0"/>
    <w:rsid w:val="00B43AE5"/>
    <w:rsid w:val="00B43FF9"/>
    <w:rsid w:val="00B44680"/>
    <w:rsid w:val="00B4475D"/>
    <w:rsid w:val="00B44C99"/>
    <w:rsid w:val="00B4515C"/>
    <w:rsid w:val="00B45EE5"/>
    <w:rsid w:val="00B46A92"/>
    <w:rsid w:val="00B473A2"/>
    <w:rsid w:val="00B47FCD"/>
    <w:rsid w:val="00B50061"/>
    <w:rsid w:val="00B510F4"/>
    <w:rsid w:val="00B53318"/>
    <w:rsid w:val="00B543E2"/>
    <w:rsid w:val="00B55307"/>
    <w:rsid w:val="00B57020"/>
    <w:rsid w:val="00B603C6"/>
    <w:rsid w:val="00B606ED"/>
    <w:rsid w:val="00B60C08"/>
    <w:rsid w:val="00B61708"/>
    <w:rsid w:val="00B61CF4"/>
    <w:rsid w:val="00B62753"/>
    <w:rsid w:val="00B6390B"/>
    <w:rsid w:val="00B65176"/>
    <w:rsid w:val="00B6642F"/>
    <w:rsid w:val="00B66CE2"/>
    <w:rsid w:val="00B66D08"/>
    <w:rsid w:val="00B70189"/>
    <w:rsid w:val="00B704CD"/>
    <w:rsid w:val="00B73210"/>
    <w:rsid w:val="00B738FE"/>
    <w:rsid w:val="00B740B0"/>
    <w:rsid w:val="00B744FB"/>
    <w:rsid w:val="00B7502B"/>
    <w:rsid w:val="00B75B29"/>
    <w:rsid w:val="00B75F8C"/>
    <w:rsid w:val="00B773BD"/>
    <w:rsid w:val="00B77413"/>
    <w:rsid w:val="00B80E7C"/>
    <w:rsid w:val="00B81557"/>
    <w:rsid w:val="00B82BBF"/>
    <w:rsid w:val="00B82BE6"/>
    <w:rsid w:val="00B82F3A"/>
    <w:rsid w:val="00B83660"/>
    <w:rsid w:val="00B83898"/>
    <w:rsid w:val="00B848F1"/>
    <w:rsid w:val="00B857D5"/>
    <w:rsid w:val="00B8778A"/>
    <w:rsid w:val="00B87909"/>
    <w:rsid w:val="00B87C81"/>
    <w:rsid w:val="00B90030"/>
    <w:rsid w:val="00B90324"/>
    <w:rsid w:val="00B90B71"/>
    <w:rsid w:val="00B916BB"/>
    <w:rsid w:val="00B918A8"/>
    <w:rsid w:val="00B91E40"/>
    <w:rsid w:val="00B96445"/>
    <w:rsid w:val="00B9663E"/>
    <w:rsid w:val="00B97816"/>
    <w:rsid w:val="00BA01EF"/>
    <w:rsid w:val="00BA05BE"/>
    <w:rsid w:val="00BA08E0"/>
    <w:rsid w:val="00BA1205"/>
    <w:rsid w:val="00BA33F4"/>
    <w:rsid w:val="00BA343D"/>
    <w:rsid w:val="00BA39DC"/>
    <w:rsid w:val="00BA3D61"/>
    <w:rsid w:val="00BA3E17"/>
    <w:rsid w:val="00BA470F"/>
    <w:rsid w:val="00BA4724"/>
    <w:rsid w:val="00BA5047"/>
    <w:rsid w:val="00BA5073"/>
    <w:rsid w:val="00BA629D"/>
    <w:rsid w:val="00BA7316"/>
    <w:rsid w:val="00BA7F9B"/>
    <w:rsid w:val="00BB0216"/>
    <w:rsid w:val="00BB20BD"/>
    <w:rsid w:val="00BB275E"/>
    <w:rsid w:val="00BB2CD5"/>
    <w:rsid w:val="00BB3021"/>
    <w:rsid w:val="00BB3CAB"/>
    <w:rsid w:val="00BB3FC6"/>
    <w:rsid w:val="00BB422B"/>
    <w:rsid w:val="00BB4771"/>
    <w:rsid w:val="00BB493E"/>
    <w:rsid w:val="00BB589D"/>
    <w:rsid w:val="00BB5F8E"/>
    <w:rsid w:val="00BB6891"/>
    <w:rsid w:val="00BB7A8F"/>
    <w:rsid w:val="00BB7AF7"/>
    <w:rsid w:val="00BC00C5"/>
    <w:rsid w:val="00BC103A"/>
    <w:rsid w:val="00BC14F9"/>
    <w:rsid w:val="00BC170C"/>
    <w:rsid w:val="00BC3F50"/>
    <w:rsid w:val="00BC47D1"/>
    <w:rsid w:val="00BC4961"/>
    <w:rsid w:val="00BC4F32"/>
    <w:rsid w:val="00BC5CE1"/>
    <w:rsid w:val="00BC73D1"/>
    <w:rsid w:val="00BC7656"/>
    <w:rsid w:val="00BC7A44"/>
    <w:rsid w:val="00BD17DF"/>
    <w:rsid w:val="00BD1AA9"/>
    <w:rsid w:val="00BD1DEB"/>
    <w:rsid w:val="00BD2058"/>
    <w:rsid w:val="00BD408F"/>
    <w:rsid w:val="00BD4B7F"/>
    <w:rsid w:val="00BD4D8B"/>
    <w:rsid w:val="00BD56AF"/>
    <w:rsid w:val="00BD6256"/>
    <w:rsid w:val="00BD629B"/>
    <w:rsid w:val="00BD65DC"/>
    <w:rsid w:val="00BD6DDA"/>
    <w:rsid w:val="00BD7718"/>
    <w:rsid w:val="00BE0A59"/>
    <w:rsid w:val="00BE1369"/>
    <w:rsid w:val="00BE1B8C"/>
    <w:rsid w:val="00BE1C50"/>
    <w:rsid w:val="00BE226A"/>
    <w:rsid w:val="00BE32D0"/>
    <w:rsid w:val="00BE3708"/>
    <w:rsid w:val="00BE391D"/>
    <w:rsid w:val="00BE3C6A"/>
    <w:rsid w:val="00BE4B02"/>
    <w:rsid w:val="00BE4DEB"/>
    <w:rsid w:val="00BE64D2"/>
    <w:rsid w:val="00BE6E33"/>
    <w:rsid w:val="00BE72C1"/>
    <w:rsid w:val="00BF01E0"/>
    <w:rsid w:val="00BF02AC"/>
    <w:rsid w:val="00BF0C0E"/>
    <w:rsid w:val="00BF0E26"/>
    <w:rsid w:val="00BF13E1"/>
    <w:rsid w:val="00BF189E"/>
    <w:rsid w:val="00BF1D6D"/>
    <w:rsid w:val="00BF1FEC"/>
    <w:rsid w:val="00BF2806"/>
    <w:rsid w:val="00BF30C7"/>
    <w:rsid w:val="00BF3319"/>
    <w:rsid w:val="00BF3396"/>
    <w:rsid w:val="00BF3C0C"/>
    <w:rsid w:val="00BF53A6"/>
    <w:rsid w:val="00BF570B"/>
    <w:rsid w:val="00BF6193"/>
    <w:rsid w:val="00BF6D5E"/>
    <w:rsid w:val="00BF757D"/>
    <w:rsid w:val="00BF7F90"/>
    <w:rsid w:val="00C00DC7"/>
    <w:rsid w:val="00C01942"/>
    <w:rsid w:val="00C019BF"/>
    <w:rsid w:val="00C02417"/>
    <w:rsid w:val="00C02750"/>
    <w:rsid w:val="00C0556F"/>
    <w:rsid w:val="00C0644E"/>
    <w:rsid w:val="00C06E79"/>
    <w:rsid w:val="00C070BC"/>
    <w:rsid w:val="00C079F0"/>
    <w:rsid w:val="00C07F31"/>
    <w:rsid w:val="00C136F8"/>
    <w:rsid w:val="00C14D10"/>
    <w:rsid w:val="00C14EF9"/>
    <w:rsid w:val="00C1558E"/>
    <w:rsid w:val="00C1611F"/>
    <w:rsid w:val="00C1744C"/>
    <w:rsid w:val="00C17574"/>
    <w:rsid w:val="00C178BC"/>
    <w:rsid w:val="00C21130"/>
    <w:rsid w:val="00C2143D"/>
    <w:rsid w:val="00C23414"/>
    <w:rsid w:val="00C23BF5"/>
    <w:rsid w:val="00C23E8B"/>
    <w:rsid w:val="00C243F4"/>
    <w:rsid w:val="00C247FF"/>
    <w:rsid w:val="00C24827"/>
    <w:rsid w:val="00C24F18"/>
    <w:rsid w:val="00C2509A"/>
    <w:rsid w:val="00C254A1"/>
    <w:rsid w:val="00C25EF3"/>
    <w:rsid w:val="00C26F4B"/>
    <w:rsid w:val="00C27497"/>
    <w:rsid w:val="00C2759D"/>
    <w:rsid w:val="00C27CC8"/>
    <w:rsid w:val="00C27D3B"/>
    <w:rsid w:val="00C27EDA"/>
    <w:rsid w:val="00C30F49"/>
    <w:rsid w:val="00C314D3"/>
    <w:rsid w:val="00C31EC8"/>
    <w:rsid w:val="00C322A4"/>
    <w:rsid w:val="00C322DA"/>
    <w:rsid w:val="00C324B6"/>
    <w:rsid w:val="00C32DB9"/>
    <w:rsid w:val="00C336EA"/>
    <w:rsid w:val="00C34D9C"/>
    <w:rsid w:val="00C351C5"/>
    <w:rsid w:val="00C35973"/>
    <w:rsid w:val="00C36983"/>
    <w:rsid w:val="00C405F8"/>
    <w:rsid w:val="00C40B38"/>
    <w:rsid w:val="00C40CB7"/>
    <w:rsid w:val="00C40FA1"/>
    <w:rsid w:val="00C4150B"/>
    <w:rsid w:val="00C42354"/>
    <w:rsid w:val="00C426EC"/>
    <w:rsid w:val="00C430C9"/>
    <w:rsid w:val="00C44447"/>
    <w:rsid w:val="00C44DEF"/>
    <w:rsid w:val="00C4581E"/>
    <w:rsid w:val="00C45A3B"/>
    <w:rsid w:val="00C45DF7"/>
    <w:rsid w:val="00C46E97"/>
    <w:rsid w:val="00C47D00"/>
    <w:rsid w:val="00C51A8C"/>
    <w:rsid w:val="00C54D47"/>
    <w:rsid w:val="00C55045"/>
    <w:rsid w:val="00C55079"/>
    <w:rsid w:val="00C554DF"/>
    <w:rsid w:val="00C55637"/>
    <w:rsid w:val="00C56B32"/>
    <w:rsid w:val="00C56CBA"/>
    <w:rsid w:val="00C6105B"/>
    <w:rsid w:val="00C61BEB"/>
    <w:rsid w:val="00C62572"/>
    <w:rsid w:val="00C62C5A"/>
    <w:rsid w:val="00C630DB"/>
    <w:rsid w:val="00C63396"/>
    <w:rsid w:val="00C64C58"/>
    <w:rsid w:val="00C67F99"/>
    <w:rsid w:val="00C703EB"/>
    <w:rsid w:val="00C7190A"/>
    <w:rsid w:val="00C719E2"/>
    <w:rsid w:val="00C71B85"/>
    <w:rsid w:val="00C71FBB"/>
    <w:rsid w:val="00C721F9"/>
    <w:rsid w:val="00C72DA2"/>
    <w:rsid w:val="00C74471"/>
    <w:rsid w:val="00C75A08"/>
    <w:rsid w:val="00C762D0"/>
    <w:rsid w:val="00C80897"/>
    <w:rsid w:val="00C80F2E"/>
    <w:rsid w:val="00C819D8"/>
    <w:rsid w:val="00C83327"/>
    <w:rsid w:val="00C83D20"/>
    <w:rsid w:val="00C84031"/>
    <w:rsid w:val="00C8544F"/>
    <w:rsid w:val="00C861BF"/>
    <w:rsid w:val="00C86409"/>
    <w:rsid w:val="00C86E23"/>
    <w:rsid w:val="00C87A06"/>
    <w:rsid w:val="00C87B9C"/>
    <w:rsid w:val="00C87FA6"/>
    <w:rsid w:val="00C9014F"/>
    <w:rsid w:val="00C90177"/>
    <w:rsid w:val="00C90A1A"/>
    <w:rsid w:val="00C90D89"/>
    <w:rsid w:val="00C90F20"/>
    <w:rsid w:val="00C90FFC"/>
    <w:rsid w:val="00C917E7"/>
    <w:rsid w:val="00C91E75"/>
    <w:rsid w:val="00C93275"/>
    <w:rsid w:val="00C932BA"/>
    <w:rsid w:val="00C9341B"/>
    <w:rsid w:val="00C9383A"/>
    <w:rsid w:val="00C942BD"/>
    <w:rsid w:val="00C94E82"/>
    <w:rsid w:val="00C95F4D"/>
    <w:rsid w:val="00C95FCF"/>
    <w:rsid w:val="00CA11C7"/>
    <w:rsid w:val="00CA1D76"/>
    <w:rsid w:val="00CA1D94"/>
    <w:rsid w:val="00CA37F6"/>
    <w:rsid w:val="00CA436F"/>
    <w:rsid w:val="00CA478A"/>
    <w:rsid w:val="00CA5C8B"/>
    <w:rsid w:val="00CB06AE"/>
    <w:rsid w:val="00CB0F75"/>
    <w:rsid w:val="00CB1354"/>
    <w:rsid w:val="00CB1879"/>
    <w:rsid w:val="00CB1E36"/>
    <w:rsid w:val="00CB2232"/>
    <w:rsid w:val="00CB2301"/>
    <w:rsid w:val="00CB2427"/>
    <w:rsid w:val="00CB3E22"/>
    <w:rsid w:val="00CB42DA"/>
    <w:rsid w:val="00CB604C"/>
    <w:rsid w:val="00CB6CB9"/>
    <w:rsid w:val="00CB7DE8"/>
    <w:rsid w:val="00CC0B1D"/>
    <w:rsid w:val="00CC1747"/>
    <w:rsid w:val="00CC1794"/>
    <w:rsid w:val="00CC2C0E"/>
    <w:rsid w:val="00CC4961"/>
    <w:rsid w:val="00CC56EE"/>
    <w:rsid w:val="00CC6BF1"/>
    <w:rsid w:val="00CC6F2E"/>
    <w:rsid w:val="00CC7E3A"/>
    <w:rsid w:val="00CD0048"/>
    <w:rsid w:val="00CD0090"/>
    <w:rsid w:val="00CD01A2"/>
    <w:rsid w:val="00CD0F63"/>
    <w:rsid w:val="00CD1EA1"/>
    <w:rsid w:val="00CD2902"/>
    <w:rsid w:val="00CD4160"/>
    <w:rsid w:val="00CD4C08"/>
    <w:rsid w:val="00CD5D22"/>
    <w:rsid w:val="00CD62E2"/>
    <w:rsid w:val="00CD67AC"/>
    <w:rsid w:val="00CD73DD"/>
    <w:rsid w:val="00CD7B24"/>
    <w:rsid w:val="00CE08FF"/>
    <w:rsid w:val="00CE1712"/>
    <w:rsid w:val="00CE196A"/>
    <w:rsid w:val="00CE1E45"/>
    <w:rsid w:val="00CE2D8E"/>
    <w:rsid w:val="00CE36A9"/>
    <w:rsid w:val="00CE4F43"/>
    <w:rsid w:val="00CE4F8F"/>
    <w:rsid w:val="00CE57D2"/>
    <w:rsid w:val="00CE57F1"/>
    <w:rsid w:val="00CE63B4"/>
    <w:rsid w:val="00CE70E2"/>
    <w:rsid w:val="00CF0DE2"/>
    <w:rsid w:val="00CF1155"/>
    <w:rsid w:val="00CF1968"/>
    <w:rsid w:val="00CF2206"/>
    <w:rsid w:val="00CF237B"/>
    <w:rsid w:val="00CF289D"/>
    <w:rsid w:val="00CF3883"/>
    <w:rsid w:val="00CF41EF"/>
    <w:rsid w:val="00CF4478"/>
    <w:rsid w:val="00CF706E"/>
    <w:rsid w:val="00CF7610"/>
    <w:rsid w:val="00D004EA"/>
    <w:rsid w:val="00D00F2E"/>
    <w:rsid w:val="00D00FAE"/>
    <w:rsid w:val="00D01125"/>
    <w:rsid w:val="00D016FE"/>
    <w:rsid w:val="00D0275F"/>
    <w:rsid w:val="00D03962"/>
    <w:rsid w:val="00D04182"/>
    <w:rsid w:val="00D04719"/>
    <w:rsid w:val="00D05970"/>
    <w:rsid w:val="00D05BC7"/>
    <w:rsid w:val="00D06271"/>
    <w:rsid w:val="00D10E3B"/>
    <w:rsid w:val="00D11FEC"/>
    <w:rsid w:val="00D12339"/>
    <w:rsid w:val="00D129FA"/>
    <w:rsid w:val="00D12CAD"/>
    <w:rsid w:val="00D133D2"/>
    <w:rsid w:val="00D13D60"/>
    <w:rsid w:val="00D14153"/>
    <w:rsid w:val="00D14337"/>
    <w:rsid w:val="00D146AE"/>
    <w:rsid w:val="00D149A8"/>
    <w:rsid w:val="00D14B1E"/>
    <w:rsid w:val="00D15F9A"/>
    <w:rsid w:val="00D16434"/>
    <w:rsid w:val="00D17178"/>
    <w:rsid w:val="00D17B02"/>
    <w:rsid w:val="00D207B2"/>
    <w:rsid w:val="00D2394A"/>
    <w:rsid w:val="00D23D82"/>
    <w:rsid w:val="00D24832"/>
    <w:rsid w:val="00D25E1F"/>
    <w:rsid w:val="00D2612B"/>
    <w:rsid w:val="00D266D4"/>
    <w:rsid w:val="00D2797C"/>
    <w:rsid w:val="00D30CC0"/>
    <w:rsid w:val="00D317BB"/>
    <w:rsid w:val="00D31926"/>
    <w:rsid w:val="00D31930"/>
    <w:rsid w:val="00D31EB1"/>
    <w:rsid w:val="00D32B05"/>
    <w:rsid w:val="00D336A3"/>
    <w:rsid w:val="00D33A51"/>
    <w:rsid w:val="00D344DD"/>
    <w:rsid w:val="00D35B24"/>
    <w:rsid w:val="00D35C6B"/>
    <w:rsid w:val="00D3773D"/>
    <w:rsid w:val="00D3774F"/>
    <w:rsid w:val="00D379E2"/>
    <w:rsid w:val="00D400E7"/>
    <w:rsid w:val="00D419AE"/>
    <w:rsid w:val="00D41DA6"/>
    <w:rsid w:val="00D4221D"/>
    <w:rsid w:val="00D42B2A"/>
    <w:rsid w:val="00D42B6D"/>
    <w:rsid w:val="00D43A4E"/>
    <w:rsid w:val="00D4406B"/>
    <w:rsid w:val="00D4413D"/>
    <w:rsid w:val="00D44278"/>
    <w:rsid w:val="00D452DB"/>
    <w:rsid w:val="00D4562C"/>
    <w:rsid w:val="00D46636"/>
    <w:rsid w:val="00D46986"/>
    <w:rsid w:val="00D47A99"/>
    <w:rsid w:val="00D50026"/>
    <w:rsid w:val="00D50B91"/>
    <w:rsid w:val="00D50E1B"/>
    <w:rsid w:val="00D511EA"/>
    <w:rsid w:val="00D525F1"/>
    <w:rsid w:val="00D54415"/>
    <w:rsid w:val="00D5463F"/>
    <w:rsid w:val="00D54666"/>
    <w:rsid w:val="00D5517F"/>
    <w:rsid w:val="00D55F7E"/>
    <w:rsid w:val="00D56D4B"/>
    <w:rsid w:val="00D57986"/>
    <w:rsid w:val="00D623F9"/>
    <w:rsid w:val="00D62C00"/>
    <w:rsid w:val="00D63991"/>
    <w:rsid w:val="00D63F79"/>
    <w:rsid w:val="00D64052"/>
    <w:rsid w:val="00D6423C"/>
    <w:rsid w:val="00D64394"/>
    <w:rsid w:val="00D64A71"/>
    <w:rsid w:val="00D65363"/>
    <w:rsid w:val="00D654CE"/>
    <w:rsid w:val="00D65EFB"/>
    <w:rsid w:val="00D67163"/>
    <w:rsid w:val="00D677CF"/>
    <w:rsid w:val="00D70199"/>
    <w:rsid w:val="00D70C23"/>
    <w:rsid w:val="00D70FF6"/>
    <w:rsid w:val="00D71639"/>
    <w:rsid w:val="00D71CBA"/>
    <w:rsid w:val="00D720A5"/>
    <w:rsid w:val="00D729A7"/>
    <w:rsid w:val="00D73FAA"/>
    <w:rsid w:val="00D76040"/>
    <w:rsid w:val="00D77593"/>
    <w:rsid w:val="00D7760E"/>
    <w:rsid w:val="00D776C0"/>
    <w:rsid w:val="00D77B8E"/>
    <w:rsid w:val="00D77F93"/>
    <w:rsid w:val="00D80120"/>
    <w:rsid w:val="00D80165"/>
    <w:rsid w:val="00D809F9"/>
    <w:rsid w:val="00D8116C"/>
    <w:rsid w:val="00D825FD"/>
    <w:rsid w:val="00D82FB8"/>
    <w:rsid w:val="00D84960"/>
    <w:rsid w:val="00D84F42"/>
    <w:rsid w:val="00D86501"/>
    <w:rsid w:val="00D86842"/>
    <w:rsid w:val="00D86BE7"/>
    <w:rsid w:val="00D8720D"/>
    <w:rsid w:val="00D87644"/>
    <w:rsid w:val="00D903E2"/>
    <w:rsid w:val="00D907AD"/>
    <w:rsid w:val="00D90CA1"/>
    <w:rsid w:val="00D918A0"/>
    <w:rsid w:val="00D92CBF"/>
    <w:rsid w:val="00D93888"/>
    <w:rsid w:val="00D94637"/>
    <w:rsid w:val="00D95264"/>
    <w:rsid w:val="00D955D8"/>
    <w:rsid w:val="00D959AE"/>
    <w:rsid w:val="00D964F5"/>
    <w:rsid w:val="00D965C1"/>
    <w:rsid w:val="00DA02BE"/>
    <w:rsid w:val="00DA0469"/>
    <w:rsid w:val="00DA177A"/>
    <w:rsid w:val="00DA1AF3"/>
    <w:rsid w:val="00DA20FF"/>
    <w:rsid w:val="00DA2A3A"/>
    <w:rsid w:val="00DA3B00"/>
    <w:rsid w:val="00DA5091"/>
    <w:rsid w:val="00DA6586"/>
    <w:rsid w:val="00DA6610"/>
    <w:rsid w:val="00DA6A06"/>
    <w:rsid w:val="00DA7645"/>
    <w:rsid w:val="00DA79BC"/>
    <w:rsid w:val="00DA7CBA"/>
    <w:rsid w:val="00DB0FF3"/>
    <w:rsid w:val="00DB17FF"/>
    <w:rsid w:val="00DB2F35"/>
    <w:rsid w:val="00DB349D"/>
    <w:rsid w:val="00DB40AC"/>
    <w:rsid w:val="00DB52E6"/>
    <w:rsid w:val="00DB5933"/>
    <w:rsid w:val="00DB5D08"/>
    <w:rsid w:val="00DB5DDB"/>
    <w:rsid w:val="00DB6F2B"/>
    <w:rsid w:val="00DB7FA7"/>
    <w:rsid w:val="00DC032E"/>
    <w:rsid w:val="00DC0341"/>
    <w:rsid w:val="00DC11E7"/>
    <w:rsid w:val="00DC18A9"/>
    <w:rsid w:val="00DC1D34"/>
    <w:rsid w:val="00DC1EFB"/>
    <w:rsid w:val="00DC3597"/>
    <w:rsid w:val="00DC37A3"/>
    <w:rsid w:val="00DC4785"/>
    <w:rsid w:val="00DC4869"/>
    <w:rsid w:val="00DC5174"/>
    <w:rsid w:val="00DC5B53"/>
    <w:rsid w:val="00DC639D"/>
    <w:rsid w:val="00DC7936"/>
    <w:rsid w:val="00DC7CF5"/>
    <w:rsid w:val="00DD0198"/>
    <w:rsid w:val="00DD0941"/>
    <w:rsid w:val="00DD1046"/>
    <w:rsid w:val="00DD205C"/>
    <w:rsid w:val="00DD2283"/>
    <w:rsid w:val="00DD3356"/>
    <w:rsid w:val="00DD3755"/>
    <w:rsid w:val="00DD5388"/>
    <w:rsid w:val="00DD5843"/>
    <w:rsid w:val="00DD5993"/>
    <w:rsid w:val="00DD5D2B"/>
    <w:rsid w:val="00DD60E2"/>
    <w:rsid w:val="00DD6425"/>
    <w:rsid w:val="00DD6641"/>
    <w:rsid w:val="00DD69CE"/>
    <w:rsid w:val="00DD6F56"/>
    <w:rsid w:val="00DD752B"/>
    <w:rsid w:val="00DD76F4"/>
    <w:rsid w:val="00DD794F"/>
    <w:rsid w:val="00DE022A"/>
    <w:rsid w:val="00DE03D1"/>
    <w:rsid w:val="00DE11D8"/>
    <w:rsid w:val="00DE12F6"/>
    <w:rsid w:val="00DE17E0"/>
    <w:rsid w:val="00DE18EB"/>
    <w:rsid w:val="00DE1DC6"/>
    <w:rsid w:val="00DE215B"/>
    <w:rsid w:val="00DE3A5B"/>
    <w:rsid w:val="00DE63E1"/>
    <w:rsid w:val="00DE6456"/>
    <w:rsid w:val="00DE76D0"/>
    <w:rsid w:val="00DF052E"/>
    <w:rsid w:val="00DF1582"/>
    <w:rsid w:val="00DF17B5"/>
    <w:rsid w:val="00DF2A49"/>
    <w:rsid w:val="00DF33AF"/>
    <w:rsid w:val="00DF3C40"/>
    <w:rsid w:val="00DF7BF5"/>
    <w:rsid w:val="00E000B7"/>
    <w:rsid w:val="00E002C6"/>
    <w:rsid w:val="00E00A12"/>
    <w:rsid w:val="00E00FF5"/>
    <w:rsid w:val="00E01B44"/>
    <w:rsid w:val="00E01E7D"/>
    <w:rsid w:val="00E03661"/>
    <w:rsid w:val="00E0369E"/>
    <w:rsid w:val="00E0460E"/>
    <w:rsid w:val="00E0573D"/>
    <w:rsid w:val="00E05BDE"/>
    <w:rsid w:val="00E064A5"/>
    <w:rsid w:val="00E06845"/>
    <w:rsid w:val="00E07DD7"/>
    <w:rsid w:val="00E11111"/>
    <w:rsid w:val="00E11307"/>
    <w:rsid w:val="00E11707"/>
    <w:rsid w:val="00E12F61"/>
    <w:rsid w:val="00E13CA8"/>
    <w:rsid w:val="00E14039"/>
    <w:rsid w:val="00E144B4"/>
    <w:rsid w:val="00E14EE2"/>
    <w:rsid w:val="00E1550D"/>
    <w:rsid w:val="00E169ED"/>
    <w:rsid w:val="00E17FB4"/>
    <w:rsid w:val="00E2064E"/>
    <w:rsid w:val="00E20668"/>
    <w:rsid w:val="00E206ED"/>
    <w:rsid w:val="00E208A4"/>
    <w:rsid w:val="00E21E97"/>
    <w:rsid w:val="00E228BB"/>
    <w:rsid w:val="00E248B8"/>
    <w:rsid w:val="00E24D3F"/>
    <w:rsid w:val="00E24FCE"/>
    <w:rsid w:val="00E2570C"/>
    <w:rsid w:val="00E2596A"/>
    <w:rsid w:val="00E25EEC"/>
    <w:rsid w:val="00E26938"/>
    <w:rsid w:val="00E26DFF"/>
    <w:rsid w:val="00E27294"/>
    <w:rsid w:val="00E305F2"/>
    <w:rsid w:val="00E30D7F"/>
    <w:rsid w:val="00E30E05"/>
    <w:rsid w:val="00E30E9A"/>
    <w:rsid w:val="00E31EFC"/>
    <w:rsid w:val="00E3211E"/>
    <w:rsid w:val="00E326DE"/>
    <w:rsid w:val="00E3290C"/>
    <w:rsid w:val="00E32A84"/>
    <w:rsid w:val="00E330AA"/>
    <w:rsid w:val="00E330CF"/>
    <w:rsid w:val="00E3458C"/>
    <w:rsid w:val="00E349E9"/>
    <w:rsid w:val="00E34B48"/>
    <w:rsid w:val="00E35044"/>
    <w:rsid w:val="00E35311"/>
    <w:rsid w:val="00E35ECE"/>
    <w:rsid w:val="00E36625"/>
    <w:rsid w:val="00E36C78"/>
    <w:rsid w:val="00E40263"/>
    <w:rsid w:val="00E404CB"/>
    <w:rsid w:val="00E41A5E"/>
    <w:rsid w:val="00E42808"/>
    <w:rsid w:val="00E4304B"/>
    <w:rsid w:val="00E43A04"/>
    <w:rsid w:val="00E44246"/>
    <w:rsid w:val="00E46636"/>
    <w:rsid w:val="00E46A29"/>
    <w:rsid w:val="00E47877"/>
    <w:rsid w:val="00E47F1B"/>
    <w:rsid w:val="00E506C8"/>
    <w:rsid w:val="00E50C0B"/>
    <w:rsid w:val="00E514C8"/>
    <w:rsid w:val="00E52605"/>
    <w:rsid w:val="00E52634"/>
    <w:rsid w:val="00E52F07"/>
    <w:rsid w:val="00E53114"/>
    <w:rsid w:val="00E5346D"/>
    <w:rsid w:val="00E557B4"/>
    <w:rsid w:val="00E57474"/>
    <w:rsid w:val="00E576ED"/>
    <w:rsid w:val="00E604D9"/>
    <w:rsid w:val="00E608BF"/>
    <w:rsid w:val="00E61212"/>
    <w:rsid w:val="00E61C64"/>
    <w:rsid w:val="00E62270"/>
    <w:rsid w:val="00E63D47"/>
    <w:rsid w:val="00E63FF4"/>
    <w:rsid w:val="00E643C6"/>
    <w:rsid w:val="00E6592F"/>
    <w:rsid w:val="00E65C8A"/>
    <w:rsid w:val="00E667C0"/>
    <w:rsid w:val="00E67506"/>
    <w:rsid w:val="00E67B8D"/>
    <w:rsid w:val="00E707E3"/>
    <w:rsid w:val="00E70A1F"/>
    <w:rsid w:val="00E70B3F"/>
    <w:rsid w:val="00E71211"/>
    <w:rsid w:val="00E71D3A"/>
    <w:rsid w:val="00E73581"/>
    <w:rsid w:val="00E7436A"/>
    <w:rsid w:val="00E74D7E"/>
    <w:rsid w:val="00E75AAF"/>
    <w:rsid w:val="00E76392"/>
    <w:rsid w:val="00E7679A"/>
    <w:rsid w:val="00E76FDC"/>
    <w:rsid w:val="00E772F5"/>
    <w:rsid w:val="00E77BFC"/>
    <w:rsid w:val="00E81731"/>
    <w:rsid w:val="00E834A9"/>
    <w:rsid w:val="00E83A55"/>
    <w:rsid w:val="00E8470E"/>
    <w:rsid w:val="00E84FB1"/>
    <w:rsid w:val="00E8659E"/>
    <w:rsid w:val="00E878A3"/>
    <w:rsid w:val="00E87CB9"/>
    <w:rsid w:val="00E91F4C"/>
    <w:rsid w:val="00E9204D"/>
    <w:rsid w:val="00E92E11"/>
    <w:rsid w:val="00E93008"/>
    <w:rsid w:val="00E935AC"/>
    <w:rsid w:val="00E94259"/>
    <w:rsid w:val="00E95FDD"/>
    <w:rsid w:val="00E97F6E"/>
    <w:rsid w:val="00EA0434"/>
    <w:rsid w:val="00EA0692"/>
    <w:rsid w:val="00EA06D4"/>
    <w:rsid w:val="00EA08E0"/>
    <w:rsid w:val="00EA1AA9"/>
    <w:rsid w:val="00EA2991"/>
    <w:rsid w:val="00EA2A37"/>
    <w:rsid w:val="00EA2B56"/>
    <w:rsid w:val="00EA42E7"/>
    <w:rsid w:val="00EA4949"/>
    <w:rsid w:val="00EA76D8"/>
    <w:rsid w:val="00EB029A"/>
    <w:rsid w:val="00EB17B0"/>
    <w:rsid w:val="00EB1E1C"/>
    <w:rsid w:val="00EB2A50"/>
    <w:rsid w:val="00EB2A60"/>
    <w:rsid w:val="00EB4559"/>
    <w:rsid w:val="00EB4898"/>
    <w:rsid w:val="00EB4CF3"/>
    <w:rsid w:val="00EB4F06"/>
    <w:rsid w:val="00EB4F0F"/>
    <w:rsid w:val="00EB542A"/>
    <w:rsid w:val="00EB57D9"/>
    <w:rsid w:val="00EB5F08"/>
    <w:rsid w:val="00EB6660"/>
    <w:rsid w:val="00EB6C62"/>
    <w:rsid w:val="00EB7268"/>
    <w:rsid w:val="00EC1C1D"/>
    <w:rsid w:val="00EC23FE"/>
    <w:rsid w:val="00EC5FE1"/>
    <w:rsid w:val="00EC7559"/>
    <w:rsid w:val="00EC7C93"/>
    <w:rsid w:val="00ED0B8A"/>
    <w:rsid w:val="00ED0E2F"/>
    <w:rsid w:val="00ED157F"/>
    <w:rsid w:val="00ED18FE"/>
    <w:rsid w:val="00ED1955"/>
    <w:rsid w:val="00ED1AD4"/>
    <w:rsid w:val="00ED1C9F"/>
    <w:rsid w:val="00ED2454"/>
    <w:rsid w:val="00ED26AA"/>
    <w:rsid w:val="00ED2ADC"/>
    <w:rsid w:val="00ED3F59"/>
    <w:rsid w:val="00ED3F62"/>
    <w:rsid w:val="00ED4121"/>
    <w:rsid w:val="00ED434B"/>
    <w:rsid w:val="00ED43B9"/>
    <w:rsid w:val="00ED44CC"/>
    <w:rsid w:val="00ED4CF3"/>
    <w:rsid w:val="00ED5439"/>
    <w:rsid w:val="00ED5C85"/>
    <w:rsid w:val="00ED658A"/>
    <w:rsid w:val="00ED6AD9"/>
    <w:rsid w:val="00ED7173"/>
    <w:rsid w:val="00ED729A"/>
    <w:rsid w:val="00EE1735"/>
    <w:rsid w:val="00EE287D"/>
    <w:rsid w:val="00EE468B"/>
    <w:rsid w:val="00EE58AD"/>
    <w:rsid w:val="00EE5B75"/>
    <w:rsid w:val="00EE6FB0"/>
    <w:rsid w:val="00EE78CA"/>
    <w:rsid w:val="00EF02CF"/>
    <w:rsid w:val="00EF1DC2"/>
    <w:rsid w:val="00EF22A7"/>
    <w:rsid w:val="00EF428E"/>
    <w:rsid w:val="00EF4750"/>
    <w:rsid w:val="00EF4B7B"/>
    <w:rsid w:val="00EF57E1"/>
    <w:rsid w:val="00EF5A3B"/>
    <w:rsid w:val="00EF6011"/>
    <w:rsid w:val="00EF62EF"/>
    <w:rsid w:val="00EF7AC5"/>
    <w:rsid w:val="00EF7B85"/>
    <w:rsid w:val="00EF7C8A"/>
    <w:rsid w:val="00F006F4"/>
    <w:rsid w:val="00F01F8B"/>
    <w:rsid w:val="00F0223C"/>
    <w:rsid w:val="00F02977"/>
    <w:rsid w:val="00F02DE4"/>
    <w:rsid w:val="00F02FCF"/>
    <w:rsid w:val="00F03E6D"/>
    <w:rsid w:val="00F044DD"/>
    <w:rsid w:val="00F047BC"/>
    <w:rsid w:val="00F04FC3"/>
    <w:rsid w:val="00F051E2"/>
    <w:rsid w:val="00F052B6"/>
    <w:rsid w:val="00F0579C"/>
    <w:rsid w:val="00F10480"/>
    <w:rsid w:val="00F109AC"/>
    <w:rsid w:val="00F109B3"/>
    <w:rsid w:val="00F10D8F"/>
    <w:rsid w:val="00F10F64"/>
    <w:rsid w:val="00F11001"/>
    <w:rsid w:val="00F11427"/>
    <w:rsid w:val="00F11902"/>
    <w:rsid w:val="00F11AC4"/>
    <w:rsid w:val="00F12D26"/>
    <w:rsid w:val="00F12DD7"/>
    <w:rsid w:val="00F12F7B"/>
    <w:rsid w:val="00F12FBD"/>
    <w:rsid w:val="00F131A5"/>
    <w:rsid w:val="00F13502"/>
    <w:rsid w:val="00F137D9"/>
    <w:rsid w:val="00F1474C"/>
    <w:rsid w:val="00F14F19"/>
    <w:rsid w:val="00F15887"/>
    <w:rsid w:val="00F158FA"/>
    <w:rsid w:val="00F15B53"/>
    <w:rsid w:val="00F15F1A"/>
    <w:rsid w:val="00F1667C"/>
    <w:rsid w:val="00F16737"/>
    <w:rsid w:val="00F16D4D"/>
    <w:rsid w:val="00F175B4"/>
    <w:rsid w:val="00F17BD7"/>
    <w:rsid w:val="00F17BED"/>
    <w:rsid w:val="00F201C9"/>
    <w:rsid w:val="00F22A73"/>
    <w:rsid w:val="00F22CC7"/>
    <w:rsid w:val="00F23C98"/>
    <w:rsid w:val="00F242E7"/>
    <w:rsid w:val="00F253CA"/>
    <w:rsid w:val="00F2630D"/>
    <w:rsid w:val="00F2642A"/>
    <w:rsid w:val="00F27636"/>
    <w:rsid w:val="00F27A8A"/>
    <w:rsid w:val="00F27E4A"/>
    <w:rsid w:val="00F31609"/>
    <w:rsid w:val="00F31E62"/>
    <w:rsid w:val="00F3354D"/>
    <w:rsid w:val="00F33BCB"/>
    <w:rsid w:val="00F344C6"/>
    <w:rsid w:val="00F352C7"/>
    <w:rsid w:val="00F35409"/>
    <w:rsid w:val="00F3607A"/>
    <w:rsid w:val="00F36624"/>
    <w:rsid w:val="00F36D40"/>
    <w:rsid w:val="00F37BA8"/>
    <w:rsid w:val="00F37E44"/>
    <w:rsid w:val="00F40F35"/>
    <w:rsid w:val="00F41D2D"/>
    <w:rsid w:val="00F42D9A"/>
    <w:rsid w:val="00F4332F"/>
    <w:rsid w:val="00F434FC"/>
    <w:rsid w:val="00F43B98"/>
    <w:rsid w:val="00F446DD"/>
    <w:rsid w:val="00F4510C"/>
    <w:rsid w:val="00F466D6"/>
    <w:rsid w:val="00F46BF9"/>
    <w:rsid w:val="00F46D27"/>
    <w:rsid w:val="00F47D85"/>
    <w:rsid w:val="00F47E25"/>
    <w:rsid w:val="00F47FFD"/>
    <w:rsid w:val="00F50A4A"/>
    <w:rsid w:val="00F50B74"/>
    <w:rsid w:val="00F50BB9"/>
    <w:rsid w:val="00F51E0D"/>
    <w:rsid w:val="00F52180"/>
    <w:rsid w:val="00F52367"/>
    <w:rsid w:val="00F52FBD"/>
    <w:rsid w:val="00F53532"/>
    <w:rsid w:val="00F552C3"/>
    <w:rsid w:val="00F57246"/>
    <w:rsid w:val="00F61798"/>
    <w:rsid w:val="00F61F05"/>
    <w:rsid w:val="00F6235C"/>
    <w:rsid w:val="00F62ADB"/>
    <w:rsid w:val="00F63950"/>
    <w:rsid w:val="00F63B06"/>
    <w:rsid w:val="00F644A2"/>
    <w:rsid w:val="00F64A29"/>
    <w:rsid w:val="00F65252"/>
    <w:rsid w:val="00F668D1"/>
    <w:rsid w:val="00F66927"/>
    <w:rsid w:val="00F66A91"/>
    <w:rsid w:val="00F67A04"/>
    <w:rsid w:val="00F67D5A"/>
    <w:rsid w:val="00F67EAD"/>
    <w:rsid w:val="00F719F5"/>
    <w:rsid w:val="00F73D0D"/>
    <w:rsid w:val="00F73F4E"/>
    <w:rsid w:val="00F74319"/>
    <w:rsid w:val="00F750C7"/>
    <w:rsid w:val="00F76EB8"/>
    <w:rsid w:val="00F77626"/>
    <w:rsid w:val="00F77A3B"/>
    <w:rsid w:val="00F77F1C"/>
    <w:rsid w:val="00F80E75"/>
    <w:rsid w:val="00F81E15"/>
    <w:rsid w:val="00F81E97"/>
    <w:rsid w:val="00F823E4"/>
    <w:rsid w:val="00F8293C"/>
    <w:rsid w:val="00F82CA8"/>
    <w:rsid w:val="00F83749"/>
    <w:rsid w:val="00F83F0B"/>
    <w:rsid w:val="00F8470E"/>
    <w:rsid w:val="00F84F03"/>
    <w:rsid w:val="00F850A9"/>
    <w:rsid w:val="00F85C03"/>
    <w:rsid w:val="00F87575"/>
    <w:rsid w:val="00F904DA"/>
    <w:rsid w:val="00F9195E"/>
    <w:rsid w:val="00F9218B"/>
    <w:rsid w:val="00F93525"/>
    <w:rsid w:val="00F9385D"/>
    <w:rsid w:val="00F93A97"/>
    <w:rsid w:val="00F93BE5"/>
    <w:rsid w:val="00F94535"/>
    <w:rsid w:val="00F9492A"/>
    <w:rsid w:val="00F95B66"/>
    <w:rsid w:val="00F96C90"/>
    <w:rsid w:val="00F970BB"/>
    <w:rsid w:val="00F975B8"/>
    <w:rsid w:val="00F97C0A"/>
    <w:rsid w:val="00F97D16"/>
    <w:rsid w:val="00F97FCB"/>
    <w:rsid w:val="00FA0A28"/>
    <w:rsid w:val="00FA1C33"/>
    <w:rsid w:val="00FA24D0"/>
    <w:rsid w:val="00FA2EC8"/>
    <w:rsid w:val="00FA3151"/>
    <w:rsid w:val="00FA3CFF"/>
    <w:rsid w:val="00FA3FEC"/>
    <w:rsid w:val="00FA594B"/>
    <w:rsid w:val="00FA65E9"/>
    <w:rsid w:val="00FA7C7A"/>
    <w:rsid w:val="00FB0E63"/>
    <w:rsid w:val="00FB0ED4"/>
    <w:rsid w:val="00FB135B"/>
    <w:rsid w:val="00FB2321"/>
    <w:rsid w:val="00FB2B6E"/>
    <w:rsid w:val="00FB3EB4"/>
    <w:rsid w:val="00FB431C"/>
    <w:rsid w:val="00FB460C"/>
    <w:rsid w:val="00FB5345"/>
    <w:rsid w:val="00FB53A2"/>
    <w:rsid w:val="00FB5593"/>
    <w:rsid w:val="00FB6799"/>
    <w:rsid w:val="00FB7B00"/>
    <w:rsid w:val="00FB7F07"/>
    <w:rsid w:val="00FC0499"/>
    <w:rsid w:val="00FC0DCE"/>
    <w:rsid w:val="00FC0E79"/>
    <w:rsid w:val="00FC0EA1"/>
    <w:rsid w:val="00FC1170"/>
    <w:rsid w:val="00FC2C98"/>
    <w:rsid w:val="00FC3303"/>
    <w:rsid w:val="00FC36D5"/>
    <w:rsid w:val="00FC6C3D"/>
    <w:rsid w:val="00FC7CCC"/>
    <w:rsid w:val="00FD0235"/>
    <w:rsid w:val="00FD024A"/>
    <w:rsid w:val="00FD0FFF"/>
    <w:rsid w:val="00FD10B5"/>
    <w:rsid w:val="00FD17AB"/>
    <w:rsid w:val="00FD1A23"/>
    <w:rsid w:val="00FD1D4A"/>
    <w:rsid w:val="00FD1F69"/>
    <w:rsid w:val="00FD2201"/>
    <w:rsid w:val="00FD2ACE"/>
    <w:rsid w:val="00FD338E"/>
    <w:rsid w:val="00FD3D4D"/>
    <w:rsid w:val="00FD4402"/>
    <w:rsid w:val="00FD4E66"/>
    <w:rsid w:val="00FD557E"/>
    <w:rsid w:val="00FD609E"/>
    <w:rsid w:val="00FD674E"/>
    <w:rsid w:val="00FD7010"/>
    <w:rsid w:val="00FD72E5"/>
    <w:rsid w:val="00FD7C44"/>
    <w:rsid w:val="00FD7D5F"/>
    <w:rsid w:val="00FE0CA9"/>
    <w:rsid w:val="00FE1668"/>
    <w:rsid w:val="00FE1EE6"/>
    <w:rsid w:val="00FE201A"/>
    <w:rsid w:val="00FE21B5"/>
    <w:rsid w:val="00FE3344"/>
    <w:rsid w:val="00FE337F"/>
    <w:rsid w:val="00FE387C"/>
    <w:rsid w:val="00FE4765"/>
    <w:rsid w:val="00FE5451"/>
    <w:rsid w:val="00FE6300"/>
    <w:rsid w:val="00FE69F9"/>
    <w:rsid w:val="00FE6C19"/>
    <w:rsid w:val="00FF0001"/>
    <w:rsid w:val="00FF093C"/>
    <w:rsid w:val="00FF186F"/>
    <w:rsid w:val="00FF1B5B"/>
    <w:rsid w:val="00FF317A"/>
    <w:rsid w:val="00FF4ED6"/>
    <w:rsid w:val="00FF61E8"/>
    <w:rsid w:val="00FF6346"/>
    <w:rsid w:val="00FF7100"/>
    <w:rsid w:val="00FF7A5C"/>
    <w:rsid w:val="158D407F"/>
    <w:rsid w:val="1DEDDFD6"/>
    <w:rsid w:val="2FFD7EAC"/>
    <w:rsid w:val="422919B6"/>
    <w:rsid w:val="42E1AF2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F7748A"/>
  <w15:docId w15:val="{0DEA21F1-735A-48F3-8941-DA3549BC9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18"/>
        <w:szCs w:val="18"/>
        <w:lang w:val="en-GB" w:eastAsia="en-US" w:bidi="ar-SA"/>
      </w:rPr>
    </w:rPrDefault>
    <w:pPrDefault/>
  </w:docDefaults>
  <w:latentStyles w:defLockedState="0" w:defUIPriority="99" w:defSemiHidden="0" w:defUnhideWhenUsed="0" w:defQFormat="0" w:count="376">
    <w:lsdException w:name="Normal" w:uiPriority="1" w:qFormat="1"/>
    <w:lsdException w:name="heading 1" w:uiPriority="3" w:qFormat="1"/>
    <w:lsdException w:name="heading 2" w:semiHidden="1" w:uiPriority="4" w:qFormat="1"/>
    <w:lsdException w:name="heading 3" w:semiHidden="1" w:uiPriority="5" w:qFormat="1"/>
    <w:lsdException w:name="heading 4" w:semiHidden="1" w:uiPriority="6" w:qFormat="1"/>
    <w:lsdException w:name="heading 5" w:semiHidden="1" w:uiPriority="9" w:unhideWhenUsed="1" w:qFormat="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 w:qFormat="1"/>
    <w:lsdException w:name="List Number" w:semiHidden="1" w:uiPriority="12"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0" w:qFormat="1"/>
    <w:lsdException w:name="List Bullet 3" w:semiHidden="1" w:uiPriority="11" w:qFormat="1"/>
    <w:lsdException w:name="List Bullet 4" w:semiHidden="1" w:unhideWhenUsed="1"/>
    <w:lsdException w:name="List Bullet 5" w:semiHidden="1" w:unhideWhenUsed="1"/>
    <w:lsdException w:name="List Number 2" w:semiHidden="1" w:uiPriority="13" w:qFormat="1"/>
    <w:lsdException w:name="List Number 3" w:semiHidden="1" w:uiPriority="14" w:qFormat="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qFormat="1"/>
    <w:lsdException w:name="FollowedHyperlink" w:semiHidden="1" w:uiPriority="28" w:qFormat="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unhideWhenUsed="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unhideWhenUsed="1"/>
    <w:lsdException w:name="Intense Reference" w:uiPriority="32" w:unhideWhenUsed="1"/>
    <w:lsdException w:name="Book Title" w:uiPriority="33" w:unhideWhenUsed="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E57D2"/>
    <w:pPr>
      <w:tabs>
        <w:tab w:val="left" w:pos="284"/>
      </w:tabs>
      <w:spacing w:line="240" w:lineRule="atLeast"/>
      <w:jc w:val="both"/>
    </w:pPr>
    <w:rPr>
      <w:kern w:val="18"/>
      <w:sz w:val="20"/>
    </w:rPr>
  </w:style>
  <w:style w:type="paragraph" w:styleId="Heading1">
    <w:name w:val="heading 1"/>
    <w:basedOn w:val="Normal"/>
    <w:next w:val="BodyText"/>
    <w:link w:val="Heading1Char"/>
    <w:uiPriority w:val="3"/>
    <w:qFormat/>
    <w:rsid w:val="00872CBA"/>
    <w:pPr>
      <w:keepNext/>
      <w:keepLines/>
      <w:pageBreakBefore/>
      <w:numPr>
        <w:numId w:val="18"/>
      </w:numPr>
      <w:tabs>
        <w:tab w:val="clear" w:pos="284"/>
      </w:tabs>
      <w:spacing w:before="480" w:after="240" w:line="240" w:lineRule="auto"/>
      <w:outlineLvl w:val="0"/>
    </w:pPr>
    <w:rPr>
      <w:rFonts w:asciiTheme="majorHAnsi" w:eastAsiaTheme="majorEastAsia" w:hAnsiTheme="majorHAnsi" w:cstheme="majorBidi"/>
      <w:b/>
      <w:bCs/>
      <w:color w:val="008768" w:themeColor="accent1"/>
      <w:sz w:val="48"/>
      <w:szCs w:val="28"/>
    </w:rPr>
  </w:style>
  <w:style w:type="paragraph" w:styleId="Heading2">
    <w:name w:val="heading 2"/>
    <w:aliases w:val="Lev 2,Num H2,Heading 2 - section,Section head,L2,SH,. (1.1),Letter Level 1,Numbered 2,H21,H22,Section1,Section2,Section3,Section11,Section21,Section4,Section12,Section22,Section31,Section111,Section211,Section5,Section13,Section23,Head"/>
    <w:basedOn w:val="Normal"/>
    <w:next w:val="BodyText"/>
    <w:link w:val="Heading2Char"/>
    <w:autoRedefine/>
    <w:uiPriority w:val="4"/>
    <w:qFormat/>
    <w:rsid w:val="001A4135"/>
    <w:pPr>
      <w:keepNext/>
      <w:keepLines/>
      <w:numPr>
        <w:ilvl w:val="1"/>
        <w:numId w:val="18"/>
      </w:numPr>
      <w:tabs>
        <w:tab w:val="clear" w:pos="284"/>
      </w:tabs>
      <w:spacing w:before="240" w:after="120" w:line="240" w:lineRule="auto"/>
      <w:ind w:left="851" w:hanging="851"/>
      <w:outlineLvl w:val="1"/>
    </w:pPr>
    <w:rPr>
      <w:rFonts w:asciiTheme="majorHAnsi" w:eastAsiaTheme="majorEastAsia" w:hAnsiTheme="majorHAnsi" w:cstheme="majorBidi"/>
      <w:b/>
      <w:bCs/>
      <w:color w:val="008768" w:themeColor="accent1"/>
      <w:sz w:val="36"/>
      <w:szCs w:val="26"/>
    </w:rPr>
  </w:style>
  <w:style w:type="paragraph" w:styleId="Heading3">
    <w:name w:val="heading 3"/>
    <w:basedOn w:val="Normal"/>
    <w:next w:val="BodyText"/>
    <w:link w:val="Heading3Char"/>
    <w:autoRedefine/>
    <w:uiPriority w:val="5"/>
    <w:qFormat/>
    <w:rsid w:val="009958FE"/>
    <w:pPr>
      <w:keepNext/>
      <w:keepLines/>
      <w:numPr>
        <w:ilvl w:val="2"/>
        <w:numId w:val="18"/>
      </w:numPr>
      <w:tabs>
        <w:tab w:val="clear" w:pos="284"/>
      </w:tabs>
      <w:spacing w:before="240" w:after="120" w:line="240" w:lineRule="auto"/>
      <w:outlineLvl w:val="2"/>
    </w:pPr>
    <w:rPr>
      <w:rFonts w:asciiTheme="majorHAnsi" w:eastAsiaTheme="majorEastAsia" w:hAnsiTheme="majorHAnsi" w:cstheme="majorBidi"/>
      <w:b/>
      <w:bCs/>
      <w:color w:val="008768" w:themeColor="accent1"/>
      <w:sz w:val="30"/>
    </w:rPr>
  </w:style>
  <w:style w:type="paragraph" w:styleId="Heading4">
    <w:name w:val="heading 4"/>
    <w:basedOn w:val="Normal"/>
    <w:next w:val="BodyText"/>
    <w:link w:val="Heading4Char"/>
    <w:autoRedefine/>
    <w:uiPriority w:val="6"/>
    <w:qFormat/>
    <w:rsid w:val="00497D17"/>
    <w:pPr>
      <w:keepNext/>
      <w:keepLines/>
      <w:numPr>
        <w:ilvl w:val="3"/>
        <w:numId w:val="18"/>
      </w:numPr>
      <w:tabs>
        <w:tab w:val="clear" w:pos="284"/>
      </w:tabs>
      <w:spacing w:before="120" w:line="240" w:lineRule="auto"/>
      <w:outlineLvl w:val="3"/>
    </w:pPr>
    <w:rPr>
      <w:rFonts w:asciiTheme="majorHAnsi" w:eastAsiaTheme="majorEastAsia" w:hAnsiTheme="majorHAnsi" w:cstheme="majorBidi"/>
      <w:b/>
      <w:bCs/>
      <w:iCs/>
      <w:color w:val="008768" w:themeColor="accent1"/>
      <w:sz w:val="24"/>
    </w:rPr>
  </w:style>
  <w:style w:type="paragraph" w:styleId="Heading5">
    <w:name w:val="heading 5"/>
    <w:basedOn w:val="Normal"/>
    <w:next w:val="BodyText"/>
    <w:link w:val="Heading5Char"/>
    <w:uiPriority w:val="9"/>
    <w:unhideWhenUsed/>
    <w:qFormat/>
    <w:rsid w:val="005769FD"/>
    <w:pPr>
      <w:keepNext/>
      <w:keepLines/>
      <w:numPr>
        <w:ilvl w:val="4"/>
        <w:numId w:val="18"/>
      </w:numPr>
      <w:spacing w:before="60" w:after="60"/>
      <w:outlineLvl w:val="4"/>
    </w:pPr>
    <w:rPr>
      <w:rFonts w:asciiTheme="majorHAnsi" w:eastAsiaTheme="majorEastAsia" w:hAnsiTheme="majorHAnsi" w:cstheme="majorBidi"/>
      <w:b/>
      <w:color w:val="008768" w:themeColor="accent1"/>
    </w:rPr>
  </w:style>
  <w:style w:type="paragraph" w:styleId="Heading6">
    <w:name w:val="heading 6"/>
    <w:basedOn w:val="Normal"/>
    <w:next w:val="Normal"/>
    <w:link w:val="Heading6Char"/>
    <w:uiPriority w:val="9"/>
    <w:semiHidden/>
    <w:unhideWhenUsed/>
    <w:rsid w:val="00582989"/>
    <w:pPr>
      <w:keepNext/>
      <w:keepLines/>
      <w:numPr>
        <w:ilvl w:val="5"/>
        <w:numId w:val="18"/>
      </w:numPr>
      <w:spacing w:before="200"/>
      <w:outlineLvl w:val="5"/>
    </w:pPr>
    <w:rPr>
      <w:rFonts w:asciiTheme="majorHAnsi" w:eastAsiaTheme="majorEastAsia" w:hAnsiTheme="majorHAnsi" w:cstheme="majorBidi"/>
      <w:i/>
      <w:iCs/>
      <w:color w:val="004333" w:themeColor="accent1" w:themeShade="7F"/>
    </w:rPr>
  </w:style>
  <w:style w:type="paragraph" w:styleId="Heading7">
    <w:name w:val="heading 7"/>
    <w:basedOn w:val="Normal"/>
    <w:next w:val="Normal"/>
    <w:link w:val="Heading7Char"/>
    <w:uiPriority w:val="9"/>
    <w:semiHidden/>
    <w:unhideWhenUsed/>
    <w:rsid w:val="00582989"/>
    <w:pPr>
      <w:keepNext/>
      <w:keepLines/>
      <w:numPr>
        <w:ilvl w:val="6"/>
        <w:numId w:val="18"/>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rsid w:val="00582989"/>
    <w:pPr>
      <w:keepNext/>
      <w:keepLines/>
      <w:numPr>
        <w:ilvl w:val="7"/>
        <w:numId w:val="18"/>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
    <w:semiHidden/>
    <w:unhideWhenUsed/>
    <w:rsid w:val="00582989"/>
    <w:pPr>
      <w:keepNext/>
      <w:keepLines/>
      <w:numPr>
        <w:ilvl w:val="8"/>
        <w:numId w:val="18"/>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3"/>
    <w:rsid w:val="00872CBA"/>
    <w:rPr>
      <w:rFonts w:asciiTheme="majorHAnsi" w:eastAsiaTheme="majorEastAsia" w:hAnsiTheme="majorHAnsi" w:cstheme="majorBidi"/>
      <w:b/>
      <w:bCs/>
      <w:color w:val="008768" w:themeColor="accent1"/>
      <w:kern w:val="18"/>
      <w:sz w:val="48"/>
      <w:szCs w:val="28"/>
    </w:rPr>
  </w:style>
  <w:style w:type="character" w:customStyle="1" w:styleId="Heading2Char">
    <w:name w:val="Heading 2 Char"/>
    <w:aliases w:val="Lev 2 Char,Num H2 Char,Heading 2 - section Char,Section head Char,L2 Char,SH Char,. (1.1) Char,Letter Level 1 Char,Numbered 2 Char,H21 Char,H22 Char,Section1 Char,Section2 Char,Section3 Char,Section11 Char,Section21 Char,Section4 Char"/>
    <w:basedOn w:val="DefaultParagraphFont"/>
    <w:link w:val="Heading2"/>
    <w:uiPriority w:val="4"/>
    <w:rsid w:val="001A4135"/>
    <w:rPr>
      <w:rFonts w:asciiTheme="majorHAnsi" w:eastAsiaTheme="majorEastAsia" w:hAnsiTheme="majorHAnsi" w:cstheme="majorBidi"/>
      <w:b/>
      <w:bCs/>
      <w:color w:val="008768" w:themeColor="accent1"/>
      <w:kern w:val="18"/>
      <w:sz w:val="36"/>
      <w:szCs w:val="26"/>
    </w:rPr>
  </w:style>
  <w:style w:type="character" w:customStyle="1" w:styleId="Heading3Char">
    <w:name w:val="Heading 3 Char"/>
    <w:basedOn w:val="DefaultParagraphFont"/>
    <w:link w:val="Heading3"/>
    <w:uiPriority w:val="5"/>
    <w:rsid w:val="009958FE"/>
    <w:rPr>
      <w:rFonts w:asciiTheme="majorHAnsi" w:eastAsiaTheme="majorEastAsia" w:hAnsiTheme="majorHAnsi" w:cstheme="majorBidi"/>
      <w:b/>
      <w:bCs/>
      <w:color w:val="008768" w:themeColor="accent1"/>
      <w:kern w:val="18"/>
      <w:sz w:val="30"/>
    </w:rPr>
  </w:style>
  <w:style w:type="paragraph" w:styleId="ListNumber">
    <w:name w:val="List Number"/>
    <w:basedOn w:val="Normal"/>
    <w:uiPriority w:val="12"/>
    <w:qFormat/>
    <w:rsid w:val="00790710"/>
    <w:pPr>
      <w:numPr>
        <w:numId w:val="14"/>
      </w:numPr>
      <w:tabs>
        <w:tab w:val="clear" w:pos="284"/>
      </w:tabs>
      <w:spacing w:after="120"/>
    </w:pPr>
  </w:style>
  <w:style w:type="paragraph" w:styleId="ListNumber2">
    <w:name w:val="List Number 2"/>
    <w:basedOn w:val="Normal"/>
    <w:uiPriority w:val="13"/>
    <w:qFormat/>
    <w:rsid w:val="00790710"/>
    <w:pPr>
      <w:numPr>
        <w:ilvl w:val="1"/>
        <w:numId w:val="14"/>
      </w:numPr>
      <w:tabs>
        <w:tab w:val="clear" w:pos="284"/>
      </w:tabs>
      <w:spacing w:after="120"/>
    </w:pPr>
  </w:style>
  <w:style w:type="paragraph" w:styleId="ListNumber3">
    <w:name w:val="List Number 3"/>
    <w:basedOn w:val="Normal"/>
    <w:uiPriority w:val="14"/>
    <w:qFormat/>
    <w:rsid w:val="00790710"/>
    <w:pPr>
      <w:numPr>
        <w:ilvl w:val="2"/>
        <w:numId w:val="14"/>
      </w:numPr>
      <w:tabs>
        <w:tab w:val="clear" w:pos="284"/>
      </w:tabs>
      <w:spacing w:after="120"/>
    </w:pPr>
  </w:style>
  <w:style w:type="paragraph" w:styleId="ListBullet">
    <w:name w:val="List Bullet"/>
    <w:basedOn w:val="Normal"/>
    <w:uiPriority w:val="9"/>
    <w:qFormat/>
    <w:rsid w:val="00790710"/>
    <w:pPr>
      <w:tabs>
        <w:tab w:val="clear" w:pos="284"/>
        <w:tab w:val="num" w:pos="425"/>
      </w:tabs>
      <w:spacing w:after="120"/>
      <w:ind w:left="425" w:hanging="425"/>
    </w:pPr>
  </w:style>
  <w:style w:type="paragraph" w:styleId="ListBullet2">
    <w:name w:val="List Bullet 2"/>
    <w:basedOn w:val="Normal"/>
    <w:uiPriority w:val="10"/>
    <w:qFormat/>
    <w:rsid w:val="00790710"/>
    <w:pPr>
      <w:numPr>
        <w:ilvl w:val="1"/>
        <w:numId w:val="13"/>
      </w:numPr>
      <w:tabs>
        <w:tab w:val="clear" w:pos="284"/>
      </w:tabs>
      <w:spacing w:after="120"/>
    </w:pPr>
  </w:style>
  <w:style w:type="paragraph" w:styleId="ListBullet3">
    <w:name w:val="List Bullet 3"/>
    <w:basedOn w:val="Normal"/>
    <w:uiPriority w:val="11"/>
    <w:qFormat/>
    <w:rsid w:val="00790710"/>
    <w:pPr>
      <w:numPr>
        <w:ilvl w:val="2"/>
        <w:numId w:val="13"/>
      </w:numPr>
      <w:tabs>
        <w:tab w:val="clear" w:pos="284"/>
      </w:tabs>
      <w:spacing w:after="120"/>
    </w:pPr>
  </w:style>
  <w:style w:type="character" w:customStyle="1" w:styleId="Heading4Char">
    <w:name w:val="Heading 4 Char"/>
    <w:basedOn w:val="DefaultParagraphFont"/>
    <w:link w:val="Heading4"/>
    <w:uiPriority w:val="6"/>
    <w:rsid w:val="00497D17"/>
    <w:rPr>
      <w:rFonts w:asciiTheme="majorHAnsi" w:eastAsiaTheme="majorEastAsia" w:hAnsiTheme="majorHAnsi" w:cstheme="majorBidi"/>
      <w:b/>
      <w:bCs/>
      <w:iCs/>
      <w:color w:val="008768" w:themeColor="accent1"/>
      <w:kern w:val="18"/>
      <w:sz w:val="24"/>
    </w:rPr>
  </w:style>
  <w:style w:type="numbering" w:customStyle="1" w:styleId="AECOMBullets">
    <w:name w:val="AECOM_Bullets"/>
    <w:basedOn w:val="NoList"/>
    <w:uiPriority w:val="99"/>
    <w:semiHidden/>
    <w:unhideWhenUsed/>
    <w:rsid w:val="00C86409"/>
  </w:style>
  <w:style w:type="character" w:customStyle="1" w:styleId="Heading5Char">
    <w:name w:val="Heading 5 Char"/>
    <w:basedOn w:val="DefaultParagraphFont"/>
    <w:link w:val="Heading5"/>
    <w:uiPriority w:val="9"/>
    <w:rsid w:val="005769FD"/>
    <w:rPr>
      <w:rFonts w:asciiTheme="majorHAnsi" w:eastAsiaTheme="majorEastAsia" w:hAnsiTheme="majorHAnsi" w:cstheme="majorBidi"/>
      <w:b/>
      <w:color w:val="008768" w:themeColor="accent1"/>
      <w:kern w:val="18"/>
      <w:sz w:val="20"/>
    </w:rPr>
  </w:style>
  <w:style w:type="paragraph" w:styleId="BodyText">
    <w:name w:val="Body Text"/>
    <w:aliases w:val="URS Body Text,Char"/>
    <w:basedOn w:val="Normal"/>
    <w:link w:val="BodyTextChar"/>
    <w:qFormat/>
    <w:rsid w:val="00CC1747"/>
    <w:pPr>
      <w:tabs>
        <w:tab w:val="clear" w:pos="284"/>
      </w:tabs>
      <w:spacing w:after="180"/>
    </w:pPr>
  </w:style>
  <w:style w:type="numbering" w:customStyle="1" w:styleId="AECOMList">
    <w:name w:val="AECOM_List"/>
    <w:basedOn w:val="NoList"/>
    <w:uiPriority w:val="99"/>
    <w:semiHidden/>
    <w:unhideWhenUsed/>
    <w:rsid w:val="00323654"/>
  </w:style>
  <w:style w:type="character" w:customStyle="1" w:styleId="BodyTextChar">
    <w:name w:val="Body Text Char"/>
    <w:aliases w:val="URS Body Text Char,Char Char"/>
    <w:basedOn w:val="DefaultParagraphFont"/>
    <w:link w:val="BodyText"/>
    <w:rsid w:val="00CC1747"/>
    <w:rPr>
      <w:kern w:val="18"/>
    </w:rPr>
  </w:style>
  <w:style w:type="paragraph" w:customStyle="1" w:styleId="CoverTitle">
    <w:name w:val="Cover Title"/>
    <w:basedOn w:val="Normal"/>
    <w:next w:val="BodyText"/>
    <w:semiHidden/>
    <w:unhideWhenUsed/>
    <w:rsid w:val="00DD3356"/>
    <w:pPr>
      <w:spacing w:before="360" w:after="360" w:line="900" w:lineRule="atLeast"/>
    </w:pPr>
    <w:rPr>
      <w:rFonts w:asciiTheme="majorHAnsi" w:hAnsiTheme="majorHAnsi"/>
      <w:b/>
      <w:color w:val="008768" w:themeColor="accent1"/>
      <w:sz w:val="80"/>
    </w:rPr>
  </w:style>
  <w:style w:type="paragraph" w:customStyle="1" w:styleId="SectionTitle">
    <w:name w:val="Section Title"/>
    <w:basedOn w:val="BodyText"/>
    <w:next w:val="BodyText"/>
    <w:semiHidden/>
    <w:unhideWhenUsed/>
    <w:rsid w:val="00D129FA"/>
    <w:pPr>
      <w:spacing w:before="360" w:after="360" w:line="660" w:lineRule="atLeast"/>
      <w:jc w:val="right"/>
    </w:pPr>
    <w:rPr>
      <w:rFonts w:asciiTheme="majorHAnsi" w:hAnsiTheme="majorHAnsi"/>
      <w:color w:val="FFFFFF" w:themeColor="background1"/>
      <w:sz w:val="60"/>
    </w:rPr>
  </w:style>
  <w:style w:type="paragraph" w:customStyle="1" w:styleId="DividerSectionNumber">
    <w:name w:val="Divider Section Number"/>
    <w:basedOn w:val="BodyText"/>
    <w:next w:val="BodyText"/>
    <w:semiHidden/>
    <w:unhideWhenUsed/>
    <w:rsid w:val="00B55307"/>
    <w:pPr>
      <w:spacing w:before="360" w:after="360" w:line="2400" w:lineRule="atLeast"/>
      <w:jc w:val="right"/>
    </w:pPr>
    <w:rPr>
      <w:rFonts w:asciiTheme="majorHAnsi" w:hAnsiTheme="majorHAnsi"/>
      <w:color w:val="FFFFFF" w:themeColor="background1"/>
      <w:sz w:val="200"/>
    </w:rPr>
  </w:style>
  <w:style w:type="paragraph" w:customStyle="1" w:styleId="DividerSectionNumberSmall">
    <w:name w:val="Divider Section Number (Small)"/>
    <w:basedOn w:val="Normal"/>
    <w:next w:val="BodyText"/>
    <w:semiHidden/>
    <w:unhideWhenUsed/>
    <w:rsid w:val="00DD3356"/>
    <w:pPr>
      <w:spacing w:before="360" w:after="360" w:line="1440" w:lineRule="atLeast"/>
      <w:jc w:val="right"/>
    </w:pPr>
    <w:rPr>
      <w:rFonts w:asciiTheme="majorHAnsi" w:hAnsiTheme="majorHAnsi"/>
      <w:b/>
      <w:color w:val="008768" w:themeColor="accent1"/>
      <w:sz w:val="120"/>
    </w:rPr>
  </w:style>
  <w:style w:type="table" w:styleId="TableGrid">
    <w:name w:val="Table Grid"/>
    <w:basedOn w:val="TableNormal"/>
    <w:semiHidden/>
    <w:unhideWhenUsed/>
    <w:rsid w:val="00364FD7"/>
    <w:rPr>
      <w:sz w:val="16"/>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Pr>
    <w:tblStylePr w:type="firstRow">
      <w:rPr>
        <w:rFonts w:asciiTheme="majorHAnsi" w:hAnsiTheme="majorHAnsi"/>
        <w:b w:val="0"/>
      </w:rPr>
    </w:tblStylePr>
  </w:style>
  <w:style w:type="table" w:customStyle="1" w:styleId="AECOMtable">
    <w:name w:val="AECOM table"/>
    <w:basedOn w:val="TableNormal"/>
    <w:uiPriority w:val="99"/>
    <w:unhideWhenUsed/>
    <w:rsid w:val="00840C89"/>
    <w:tblPr>
      <w:tblBorders>
        <w:insideH w:val="single" w:sz="4" w:space="0" w:color="auto"/>
      </w:tblBorders>
      <w:tblCellMar>
        <w:top w:w="28" w:type="dxa"/>
        <w:left w:w="0" w:type="dxa"/>
        <w:bottom w:w="28" w:type="dxa"/>
        <w:right w:w="113" w:type="dxa"/>
      </w:tblCellMar>
    </w:tblPr>
    <w:tblStylePr w:type="firstRow">
      <w:rPr>
        <w:rFonts w:asciiTheme="majorHAnsi" w:hAnsiTheme="majorHAnsi"/>
        <w:b/>
        <w:color w:val="008768" w:themeColor="accent1"/>
        <w:sz w:val="16"/>
      </w:rPr>
      <w:tblPr/>
      <w:tcPr>
        <w:tcBorders>
          <w:top w:val="nil"/>
          <w:left w:val="nil"/>
          <w:bottom w:val="single" w:sz="12" w:space="0" w:color="008768" w:themeColor="accent1"/>
          <w:right w:val="nil"/>
          <w:insideH w:val="nil"/>
          <w:insideV w:val="nil"/>
          <w:tl2br w:val="nil"/>
          <w:tr2bl w:val="nil"/>
        </w:tcBorders>
      </w:tcPr>
    </w:tblStylePr>
  </w:style>
  <w:style w:type="paragraph" w:styleId="Caption">
    <w:name w:val="caption"/>
    <w:aliases w:val="Table/Figure Heading,Table Number#,Table Number# + Bold,Top: (Single solid line,Custom Color(RGB(0,91,.....,Caption Char Char Char,Caption Char Char Char Char Char Char,Caption1,Caption Char Char Char1 Char,Caption2,Table title,Map"/>
    <w:basedOn w:val="Normal"/>
    <w:next w:val="BodyText"/>
    <w:link w:val="CaptionChar"/>
    <w:uiPriority w:val="35"/>
    <w:qFormat/>
    <w:rsid w:val="005756F4"/>
    <w:pPr>
      <w:keepNext/>
      <w:spacing w:after="120"/>
    </w:pPr>
    <w:rPr>
      <w:rFonts w:asciiTheme="majorHAnsi" w:hAnsiTheme="majorHAnsi"/>
      <w:b/>
      <w:bCs/>
      <w:color w:val="008768" w:themeColor="accent1"/>
    </w:rPr>
  </w:style>
  <w:style w:type="paragraph" w:customStyle="1" w:styleId="Source">
    <w:name w:val="Source"/>
    <w:basedOn w:val="Normal"/>
    <w:qFormat/>
    <w:rsid w:val="00F4332F"/>
    <w:pPr>
      <w:spacing w:after="120"/>
    </w:pPr>
    <w:rPr>
      <w:i/>
      <w:sz w:val="16"/>
    </w:rPr>
  </w:style>
  <w:style w:type="paragraph" w:styleId="FootnoteText">
    <w:name w:val="footnote text"/>
    <w:basedOn w:val="Normal"/>
    <w:link w:val="FootnoteTextChar"/>
    <w:uiPriority w:val="99"/>
    <w:semiHidden/>
    <w:unhideWhenUsed/>
    <w:rsid w:val="00253171"/>
    <w:pPr>
      <w:spacing w:line="240" w:lineRule="auto"/>
    </w:pPr>
    <w:rPr>
      <w:sz w:val="16"/>
      <w:szCs w:val="20"/>
    </w:rPr>
  </w:style>
  <w:style w:type="character" w:customStyle="1" w:styleId="FootnoteTextChar">
    <w:name w:val="Footnote Text Char"/>
    <w:basedOn w:val="DefaultParagraphFont"/>
    <w:link w:val="FootnoteText"/>
    <w:uiPriority w:val="99"/>
    <w:semiHidden/>
    <w:rsid w:val="00F66A91"/>
    <w:rPr>
      <w:kern w:val="18"/>
      <w:sz w:val="16"/>
      <w:szCs w:val="20"/>
    </w:rPr>
  </w:style>
  <w:style w:type="character" w:styleId="FootnoteReference">
    <w:name w:val="footnote reference"/>
    <w:basedOn w:val="DefaultParagraphFont"/>
    <w:uiPriority w:val="99"/>
    <w:semiHidden/>
    <w:unhideWhenUsed/>
    <w:rsid w:val="00F27E4A"/>
    <w:rPr>
      <w:rFonts w:asciiTheme="majorHAnsi" w:hAnsiTheme="majorHAnsi"/>
      <w:color w:val="auto"/>
      <w:vertAlign w:val="superscript"/>
    </w:rPr>
  </w:style>
  <w:style w:type="paragraph" w:customStyle="1" w:styleId="Appendix">
    <w:name w:val="Appendix"/>
    <w:basedOn w:val="Heading1"/>
    <w:next w:val="BodyText"/>
    <w:uiPriority w:val="7"/>
    <w:qFormat/>
    <w:rsid w:val="006A3705"/>
    <w:pPr>
      <w:numPr>
        <w:numId w:val="17"/>
      </w:numPr>
    </w:pPr>
  </w:style>
  <w:style w:type="character" w:styleId="Hyperlink">
    <w:name w:val="Hyperlink"/>
    <w:aliases w:val="Hyperlink Connah's Quay"/>
    <w:basedOn w:val="DefaultParagraphFont"/>
    <w:uiPriority w:val="99"/>
    <w:qFormat/>
    <w:rsid w:val="00F15F1A"/>
    <w:rPr>
      <w:color w:val="008768" w:themeColor="accent1"/>
      <w:u w:val="single"/>
    </w:rPr>
  </w:style>
  <w:style w:type="character" w:styleId="FollowedHyperlink">
    <w:name w:val="FollowedHyperlink"/>
    <w:basedOn w:val="DefaultParagraphFont"/>
    <w:uiPriority w:val="28"/>
    <w:qFormat/>
    <w:rsid w:val="00F15F1A"/>
    <w:rPr>
      <w:color w:val="00353E" w:themeColor="accent2"/>
      <w:u w:val="single"/>
    </w:rPr>
  </w:style>
  <w:style w:type="table" w:styleId="ColourfulGrid">
    <w:name w:val="Colorful Grid"/>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4FFED" w:themeFill="accent1" w:themeFillTint="33"/>
    </w:tcPr>
    <w:tblStylePr w:type="firstRow">
      <w:rPr>
        <w:b/>
        <w:bCs/>
      </w:rPr>
      <w:tblPr/>
      <w:tcPr>
        <w:shd w:val="clear" w:color="auto" w:fill="69FFDC" w:themeFill="accent1" w:themeFillTint="66"/>
      </w:tcPr>
    </w:tblStylePr>
    <w:tblStylePr w:type="lastRow">
      <w:rPr>
        <w:b/>
        <w:bCs/>
        <w:color w:val="000000" w:themeColor="text1"/>
      </w:rPr>
      <w:tblPr/>
      <w:tcPr>
        <w:shd w:val="clear" w:color="auto" w:fill="69FFDC" w:themeFill="accent1" w:themeFillTint="66"/>
      </w:tcPr>
    </w:tblStylePr>
    <w:tblStylePr w:type="firstCol">
      <w:rPr>
        <w:color w:val="FFFFFF" w:themeColor="background1"/>
      </w:rPr>
      <w:tblPr/>
      <w:tcPr>
        <w:shd w:val="clear" w:color="auto" w:fill="00654D" w:themeFill="accent1" w:themeFillShade="BF"/>
      </w:tcPr>
    </w:tblStylePr>
    <w:tblStylePr w:type="lastCol">
      <w:rPr>
        <w:color w:val="FFFFFF" w:themeColor="background1"/>
      </w:rPr>
      <w:tblPr/>
      <w:tcPr>
        <w:shd w:val="clear" w:color="auto" w:fill="00654D" w:themeFill="accent1" w:themeFillShade="BF"/>
      </w:tc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ColourfulGridAccent2">
    <w:name w:val="Colorful Grid Accent 2"/>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A5F1FF" w:themeFill="accent2" w:themeFillTint="33"/>
    </w:tcPr>
    <w:tblStylePr w:type="firstRow">
      <w:rPr>
        <w:b/>
        <w:bCs/>
      </w:rPr>
      <w:tblPr/>
      <w:tcPr>
        <w:shd w:val="clear" w:color="auto" w:fill="4BE4FF" w:themeFill="accent2" w:themeFillTint="66"/>
      </w:tcPr>
    </w:tblStylePr>
    <w:tblStylePr w:type="lastRow">
      <w:rPr>
        <w:b/>
        <w:bCs/>
        <w:color w:val="000000" w:themeColor="text1"/>
      </w:rPr>
      <w:tblPr/>
      <w:tcPr>
        <w:shd w:val="clear" w:color="auto" w:fill="4BE4FF" w:themeFill="accent2" w:themeFillTint="66"/>
      </w:tcPr>
    </w:tblStylePr>
    <w:tblStylePr w:type="firstCol">
      <w:rPr>
        <w:color w:val="FFFFFF" w:themeColor="background1"/>
      </w:rPr>
      <w:tblPr/>
      <w:tcPr>
        <w:shd w:val="clear" w:color="auto" w:fill="00272E" w:themeFill="accent2" w:themeFillShade="BF"/>
      </w:tcPr>
    </w:tblStylePr>
    <w:tblStylePr w:type="lastCol">
      <w:rPr>
        <w:color w:val="FFFFFF" w:themeColor="background1"/>
      </w:rPr>
      <w:tblPr/>
      <w:tcPr>
        <w:shd w:val="clear" w:color="auto" w:fill="00272E" w:themeFill="accent2" w:themeFillShade="BF"/>
      </w:tc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ColourfulGridAccent3">
    <w:name w:val="Colorful Grid Accent 3"/>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EEF4DC" w:themeFill="accent3" w:themeFillTint="33"/>
    </w:tcPr>
    <w:tblStylePr w:type="firstRow">
      <w:rPr>
        <w:b/>
        <w:bCs/>
      </w:rPr>
      <w:tblPr/>
      <w:tcPr>
        <w:shd w:val="clear" w:color="auto" w:fill="DEEABA" w:themeFill="accent3" w:themeFillTint="66"/>
      </w:tcPr>
    </w:tblStylePr>
    <w:tblStylePr w:type="lastRow">
      <w:rPr>
        <w:b/>
        <w:bCs/>
        <w:color w:val="000000" w:themeColor="text1"/>
      </w:rPr>
      <w:tblPr/>
      <w:tcPr>
        <w:shd w:val="clear" w:color="auto" w:fill="DEEABA" w:themeFill="accent3" w:themeFillTint="66"/>
      </w:tcPr>
    </w:tblStylePr>
    <w:tblStylePr w:type="firstCol">
      <w:rPr>
        <w:color w:val="FFFFFF" w:themeColor="background1"/>
      </w:rPr>
      <w:tblPr/>
      <w:tcPr>
        <w:shd w:val="clear" w:color="auto" w:fill="88A531" w:themeFill="accent3" w:themeFillShade="BF"/>
      </w:tcPr>
    </w:tblStylePr>
    <w:tblStylePr w:type="lastCol">
      <w:rPr>
        <w:color w:val="FFFFFF" w:themeColor="background1"/>
      </w:rPr>
      <w:tblPr/>
      <w:tcPr>
        <w:shd w:val="clear" w:color="auto" w:fill="88A531" w:themeFill="accent3" w:themeFillShade="BF"/>
      </w:tc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ColourfulGridAccent4">
    <w:name w:val="Colorful Grid Accent 4"/>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BD2CE" w:themeFill="accent4" w:themeFillTint="33"/>
    </w:tcPr>
    <w:tblStylePr w:type="firstRow">
      <w:rPr>
        <w:b/>
        <w:bCs/>
      </w:rPr>
      <w:tblPr/>
      <w:tcPr>
        <w:shd w:val="clear" w:color="auto" w:fill="F7A69E" w:themeFill="accent4" w:themeFillTint="66"/>
      </w:tcPr>
    </w:tblStylePr>
    <w:tblStylePr w:type="lastRow">
      <w:rPr>
        <w:b/>
        <w:bCs/>
        <w:color w:val="000000" w:themeColor="text1"/>
      </w:rPr>
      <w:tblPr/>
      <w:tcPr>
        <w:shd w:val="clear" w:color="auto" w:fill="F7A69E" w:themeFill="accent4" w:themeFillTint="66"/>
      </w:tcPr>
    </w:tblStylePr>
    <w:tblStylePr w:type="firstCol">
      <w:rPr>
        <w:color w:val="FFFFFF" w:themeColor="background1"/>
      </w:rPr>
      <w:tblPr/>
      <w:tcPr>
        <w:shd w:val="clear" w:color="auto" w:fill="AB1D0E" w:themeFill="accent4" w:themeFillShade="BF"/>
      </w:tcPr>
    </w:tblStylePr>
    <w:tblStylePr w:type="lastCol">
      <w:rPr>
        <w:color w:val="FFFFFF" w:themeColor="background1"/>
      </w:rPr>
      <w:tblPr/>
      <w:tcPr>
        <w:shd w:val="clear" w:color="auto" w:fill="AB1D0E" w:themeFill="accent4" w:themeFillShade="BF"/>
      </w:tc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ColourfulGridAccent5">
    <w:name w:val="Colorful Grid Accent 5"/>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B8FEFF" w:themeFill="accent5" w:themeFillTint="33"/>
    </w:tcPr>
    <w:tblStylePr w:type="firstRow">
      <w:rPr>
        <w:b/>
        <w:bCs/>
      </w:rPr>
      <w:tblPr/>
      <w:tcPr>
        <w:shd w:val="clear" w:color="auto" w:fill="71FDFF" w:themeFill="accent5" w:themeFillTint="66"/>
      </w:tcPr>
    </w:tblStylePr>
    <w:tblStylePr w:type="lastRow">
      <w:rPr>
        <w:b/>
        <w:bCs/>
        <w:color w:val="000000" w:themeColor="text1"/>
      </w:rPr>
      <w:tblPr/>
      <w:tcPr>
        <w:shd w:val="clear" w:color="auto" w:fill="71FDFF" w:themeFill="accent5" w:themeFillTint="66"/>
      </w:tcPr>
    </w:tblStylePr>
    <w:tblStylePr w:type="firstCol">
      <w:rPr>
        <w:color w:val="FFFFFF" w:themeColor="background1"/>
      </w:rPr>
      <w:tblPr/>
      <w:tcPr>
        <w:shd w:val="clear" w:color="auto" w:fill="007374" w:themeFill="accent5" w:themeFillShade="BF"/>
      </w:tcPr>
    </w:tblStylePr>
    <w:tblStylePr w:type="lastCol">
      <w:rPr>
        <w:color w:val="FFFFFF" w:themeColor="background1"/>
      </w:rPr>
      <w:tblPr/>
      <w:tcPr>
        <w:shd w:val="clear" w:color="auto" w:fill="007374" w:themeFill="accent5" w:themeFillShade="BF"/>
      </w:tc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ColourfulGridAccent6">
    <w:name w:val="Colorful Grid Accent 6"/>
    <w:basedOn w:val="TableNormal"/>
    <w:uiPriority w:val="73"/>
    <w:semiHidden/>
    <w:unhideWhenUsed/>
    <w:rsid w:val="009E6ED7"/>
    <w:rPr>
      <w:color w:val="000000" w:themeColor="text1"/>
    </w:rPr>
    <w:tblPr>
      <w:tblStyleRowBandSize w:val="1"/>
      <w:tblStyleColBandSize w:val="1"/>
      <w:tblBorders>
        <w:insideH w:val="single" w:sz="4" w:space="0" w:color="FFFFFF" w:themeColor="background1"/>
      </w:tblBorders>
    </w:tblPr>
    <w:tcPr>
      <w:shd w:val="clear" w:color="auto" w:fill="FFF5CC" w:themeFill="accent6" w:themeFillTint="33"/>
    </w:tcPr>
    <w:tblStylePr w:type="firstRow">
      <w:rPr>
        <w:b/>
        <w:bCs/>
      </w:rPr>
      <w:tblPr/>
      <w:tcPr>
        <w:shd w:val="clear" w:color="auto" w:fill="FFEB99" w:themeFill="accent6" w:themeFillTint="66"/>
      </w:tcPr>
    </w:tblStylePr>
    <w:tblStylePr w:type="lastRow">
      <w:rPr>
        <w:b/>
        <w:bCs/>
        <w:color w:val="000000" w:themeColor="text1"/>
      </w:rPr>
      <w:tblPr/>
      <w:tcPr>
        <w:shd w:val="clear" w:color="auto" w:fill="FFEB99" w:themeFill="accent6" w:themeFillTint="66"/>
      </w:tcPr>
    </w:tblStylePr>
    <w:tblStylePr w:type="firstCol">
      <w:rPr>
        <w:color w:val="FFFFFF" w:themeColor="background1"/>
      </w:rPr>
      <w:tblPr/>
      <w:tcPr>
        <w:shd w:val="clear" w:color="auto" w:fill="BF9A00" w:themeFill="accent6" w:themeFillShade="BF"/>
      </w:tcPr>
    </w:tblStylePr>
    <w:tblStylePr w:type="lastCol">
      <w:rPr>
        <w:color w:val="FFFFFF" w:themeColor="background1"/>
      </w:rPr>
      <w:tblPr/>
      <w:tcPr>
        <w:shd w:val="clear" w:color="auto" w:fill="BF9A00" w:themeFill="accent6" w:themeFillShade="BF"/>
      </w:tc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ColourfulList">
    <w:name w:val="Colorful List"/>
    <w:basedOn w:val="TableNormal"/>
    <w:uiPriority w:val="72"/>
    <w:semiHidden/>
    <w:unhideWhenUsed/>
    <w:rsid w:val="009E6ED7"/>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semiHidden/>
    <w:unhideWhenUsed/>
    <w:rsid w:val="009E6ED7"/>
    <w:rPr>
      <w:color w:val="000000" w:themeColor="text1"/>
    </w:rPr>
    <w:tblPr>
      <w:tblStyleRowBandSize w:val="1"/>
      <w:tblStyleColBandSize w:val="1"/>
    </w:tblPr>
    <w:tcPr>
      <w:shd w:val="clear" w:color="auto" w:fill="DAFFF6" w:themeFill="accent1"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2FFE9" w:themeFill="accent1" w:themeFillTint="3F"/>
      </w:tcPr>
    </w:tblStylePr>
    <w:tblStylePr w:type="band1Horz">
      <w:tblPr/>
      <w:tcPr>
        <w:shd w:val="clear" w:color="auto" w:fill="B4FFED" w:themeFill="accent1" w:themeFillTint="33"/>
      </w:tcPr>
    </w:tblStylePr>
  </w:style>
  <w:style w:type="table" w:styleId="ColourfulListAccent2">
    <w:name w:val="Colorful List Accent 2"/>
    <w:basedOn w:val="TableNormal"/>
    <w:uiPriority w:val="72"/>
    <w:semiHidden/>
    <w:unhideWhenUsed/>
    <w:rsid w:val="009E6ED7"/>
    <w:rPr>
      <w:color w:val="000000" w:themeColor="text1"/>
    </w:rPr>
    <w:tblPr>
      <w:tblStyleRowBandSize w:val="1"/>
      <w:tblStyleColBandSize w:val="1"/>
    </w:tblPr>
    <w:tcPr>
      <w:shd w:val="clear" w:color="auto" w:fill="D3F8FF" w:themeFill="accent2" w:themeFillTint="19"/>
    </w:tcPr>
    <w:tblStylePr w:type="firstRow">
      <w:rPr>
        <w:b/>
        <w:bCs/>
        <w:color w:val="FFFFFF" w:themeColor="background1"/>
      </w:rPr>
      <w:tblPr/>
      <w:tcPr>
        <w:tcBorders>
          <w:bottom w:val="single" w:sz="12" w:space="0" w:color="FFFFFF" w:themeColor="background1"/>
        </w:tcBorders>
        <w:shd w:val="clear" w:color="auto" w:fill="002931" w:themeFill="accent2" w:themeFillShade="CC"/>
      </w:tcPr>
    </w:tblStylePr>
    <w:tblStylePr w:type="lastRow">
      <w:rPr>
        <w:b/>
        <w:bCs/>
        <w:color w:val="002931"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0EEFF" w:themeFill="accent2" w:themeFillTint="3F"/>
      </w:tcPr>
    </w:tblStylePr>
    <w:tblStylePr w:type="band1Horz">
      <w:tblPr/>
      <w:tcPr>
        <w:shd w:val="clear" w:color="auto" w:fill="A5F1FF" w:themeFill="accent2" w:themeFillTint="33"/>
      </w:tcPr>
    </w:tblStylePr>
  </w:style>
  <w:style w:type="table" w:styleId="ColourfulListAccent3">
    <w:name w:val="Colorful List Accent 3"/>
    <w:basedOn w:val="TableNormal"/>
    <w:uiPriority w:val="72"/>
    <w:semiHidden/>
    <w:unhideWhenUsed/>
    <w:rsid w:val="009E6ED7"/>
    <w:rPr>
      <w:color w:val="000000" w:themeColor="text1"/>
    </w:rPr>
    <w:tblPr>
      <w:tblStyleRowBandSize w:val="1"/>
      <w:tblStyleColBandSize w:val="1"/>
    </w:tblPr>
    <w:tcPr>
      <w:shd w:val="clear" w:color="auto" w:fill="F6FAEE" w:themeFill="accent3" w:themeFillTint="19"/>
    </w:tcPr>
    <w:tblStylePr w:type="firstRow">
      <w:rPr>
        <w:b/>
        <w:bCs/>
        <w:color w:val="FFFFFF" w:themeColor="background1"/>
      </w:rPr>
      <w:tblPr/>
      <w:tcPr>
        <w:tcBorders>
          <w:bottom w:val="single" w:sz="12" w:space="0" w:color="FFFFFF" w:themeColor="background1"/>
        </w:tcBorders>
        <w:shd w:val="clear" w:color="auto" w:fill="B71F0F" w:themeFill="accent4" w:themeFillShade="CC"/>
      </w:tcPr>
    </w:tblStylePr>
    <w:tblStylePr w:type="lastRow">
      <w:rPr>
        <w:b/>
        <w:bCs/>
        <w:color w:val="B71F0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AF2D4" w:themeFill="accent3" w:themeFillTint="3F"/>
      </w:tcPr>
    </w:tblStylePr>
    <w:tblStylePr w:type="band1Horz">
      <w:tblPr/>
      <w:tcPr>
        <w:shd w:val="clear" w:color="auto" w:fill="EEF4DC" w:themeFill="accent3" w:themeFillTint="33"/>
      </w:tcPr>
    </w:tblStylePr>
  </w:style>
  <w:style w:type="table" w:styleId="ColourfulListAccent4">
    <w:name w:val="Colorful List Accent 4"/>
    <w:basedOn w:val="TableNormal"/>
    <w:uiPriority w:val="72"/>
    <w:semiHidden/>
    <w:unhideWhenUsed/>
    <w:rsid w:val="009E6ED7"/>
    <w:rPr>
      <w:color w:val="000000" w:themeColor="text1"/>
    </w:rPr>
    <w:tblPr>
      <w:tblStyleRowBandSize w:val="1"/>
      <w:tblStyleColBandSize w:val="1"/>
    </w:tblPr>
    <w:tcPr>
      <w:shd w:val="clear" w:color="auto" w:fill="FDE8E6" w:themeFill="accent4" w:themeFillTint="19"/>
    </w:tcPr>
    <w:tblStylePr w:type="firstRow">
      <w:rPr>
        <w:b/>
        <w:bCs/>
        <w:color w:val="FFFFFF" w:themeColor="background1"/>
      </w:rPr>
      <w:tblPr/>
      <w:tcPr>
        <w:tcBorders>
          <w:bottom w:val="single" w:sz="12" w:space="0" w:color="FFFFFF" w:themeColor="background1"/>
        </w:tcBorders>
        <w:shd w:val="clear" w:color="auto" w:fill="91B034" w:themeFill="accent3" w:themeFillShade="CC"/>
      </w:tcPr>
    </w:tblStylePr>
    <w:tblStylePr w:type="lastRow">
      <w:rPr>
        <w:b/>
        <w:bCs/>
        <w:color w:val="91B03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C8C2" w:themeFill="accent4" w:themeFillTint="3F"/>
      </w:tcPr>
    </w:tblStylePr>
    <w:tblStylePr w:type="band1Horz">
      <w:tblPr/>
      <w:tcPr>
        <w:shd w:val="clear" w:color="auto" w:fill="FBD2CE" w:themeFill="accent4" w:themeFillTint="33"/>
      </w:tcPr>
    </w:tblStylePr>
  </w:style>
  <w:style w:type="table" w:styleId="ColourfulListAccent5">
    <w:name w:val="Colorful List Accent 5"/>
    <w:basedOn w:val="TableNormal"/>
    <w:uiPriority w:val="72"/>
    <w:semiHidden/>
    <w:unhideWhenUsed/>
    <w:rsid w:val="009E6ED7"/>
    <w:rPr>
      <w:color w:val="000000" w:themeColor="text1"/>
    </w:rPr>
    <w:tblPr>
      <w:tblStyleRowBandSize w:val="1"/>
      <w:tblStyleColBandSize w:val="1"/>
    </w:tblPr>
    <w:tcPr>
      <w:shd w:val="clear" w:color="auto" w:fill="DCFEFF" w:themeFill="accent5" w:themeFillTint="19"/>
    </w:tcPr>
    <w:tblStylePr w:type="firstRow">
      <w:rPr>
        <w:b/>
        <w:bCs/>
        <w:color w:val="FFFFFF" w:themeColor="background1"/>
      </w:rPr>
      <w:tblPr/>
      <w:tcPr>
        <w:tcBorders>
          <w:bottom w:val="single" w:sz="12" w:space="0" w:color="FFFFFF" w:themeColor="background1"/>
        </w:tcBorders>
        <w:shd w:val="clear" w:color="auto" w:fill="CCA400" w:themeFill="accent6" w:themeFillShade="CC"/>
      </w:tcPr>
    </w:tblStylePr>
    <w:tblStylePr w:type="lastRow">
      <w:rPr>
        <w:b/>
        <w:bCs/>
        <w:color w:val="CCA400"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EFF" w:themeFill="accent5" w:themeFillTint="3F"/>
      </w:tcPr>
    </w:tblStylePr>
    <w:tblStylePr w:type="band1Horz">
      <w:tblPr/>
      <w:tcPr>
        <w:shd w:val="clear" w:color="auto" w:fill="B8FEFF" w:themeFill="accent5" w:themeFillTint="33"/>
      </w:tcPr>
    </w:tblStylePr>
  </w:style>
  <w:style w:type="table" w:styleId="ColourfulListAccent6">
    <w:name w:val="Colorful List Accent 6"/>
    <w:basedOn w:val="TableNormal"/>
    <w:uiPriority w:val="72"/>
    <w:semiHidden/>
    <w:unhideWhenUsed/>
    <w:rsid w:val="009E6ED7"/>
    <w:rPr>
      <w:color w:val="000000" w:themeColor="text1"/>
    </w:rPr>
    <w:tblPr>
      <w:tblStyleRowBandSize w:val="1"/>
      <w:tblStyleColBandSize w:val="1"/>
    </w:tblPr>
    <w:tcPr>
      <w:shd w:val="clear" w:color="auto" w:fill="FFFAE6" w:themeFill="accent6" w:themeFillTint="19"/>
    </w:tcPr>
    <w:tblStylePr w:type="firstRow">
      <w:rPr>
        <w:b/>
        <w:bCs/>
        <w:color w:val="FFFFFF" w:themeColor="background1"/>
      </w:rPr>
      <w:tblPr/>
      <w:tcPr>
        <w:tcBorders>
          <w:bottom w:val="single" w:sz="12" w:space="0" w:color="FFFFFF" w:themeColor="background1"/>
        </w:tcBorders>
        <w:shd w:val="clear" w:color="auto" w:fill="007B7C" w:themeFill="accent5" w:themeFillShade="CC"/>
      </w:tcPr>
    </w:tblStylePr>
    <w:tblStylePr w:type="lastRow">
      <w:rPr>
        <w:b/>
        <w:bCs/>
        <w:color w:val="007B7C"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2C0" w:themeFill="accent6" w:themeFillTint="3F"/>
      </w:tcPr>
    </w:tblStylePr>
    <w:tblStylePr w:type="band1Horz">
      <w:tblPr/>
      <w:tcPr>
        <w:shd w:val="clear" w:color="auto" w:fill="FFF5CC" w:themeFill="accent6" w:themeFillTint="33"/>
      </w:tcPr>
    </w:tblStylePr>
  </w:style>
  <w:style w:type="table" w:styleId="ColourfulShading">
    <w:name w:val="Colorful Shading"/>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8768" w:themeColor="accent1"/>
        <w:bottom w:val="single" w:sz="4" w:space="0" w:color="008768" w:themeColor="accent1"/>
        <w:right w:val="single" w:sz="4" w:space="0" w:color="008768" w:themeColor="accent1"/>
        <w:insideH w:val="single" w:sz="4" w:space="0" w:color="FFFFFF" w:themeColor="background1"/>
        <w:insideV w:val="single" w:sz="4" w:space="0" w:color="FFFFFF" w:themeColor="background1"/>
      </w:tblBorders>
    </w:tblPr>
    <w:tcPr>
      <w:shd w:val="clear" w:color="auto" w:fill="DAFFF6" w:themeFill="accent1"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13E" w:themeFill="accent1" w:themeFillShade="99"/>
      </w:tcPr>
    </w:tblStylePr>
    <w:tblStylePr w:type="firstCol">
      <w:rPr>
        <w:color w:val="FFFFFF" w:themeColor="background1"/>
      </w:rPr>
      <w:tblPr/>
      <w:tcPr>
        <w:tcBorders>
          <w:top w:val="nil"/>
          <w:left w:val="nil"/>
          <w:bottom w:val="nil"/>
          <w:right w:val="nil"/>
          <w:insideH w:val="single" w:sz="4" w:space="0" w:color="00513E" w:themeColor="accent1" w:themeShade="99"/>
          <w:insideV w:val="nil"/>
        </w:tcBorders>
        <w:shd w:val="clear" w:color="auto" w:fill="00513E"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13E" w:themeFill="accent1" w:themeFillShade="99"/>
      </w:tcPr>
    </w:tblStylePr>
    <w:tblStylePr w:type="band1Vert">
      <w:tblPr/>
      <w:tcPr>
        <w:shd w:val="clear" w:color="auto" w:fill="69FFDC" w:themeFill="accent1" w:themeFillTint="66"/>
      </w:tcPr>
    </w:tblStylePr>
    <w:tblStylePr w:type="band1Horz">
      <w:tblPr/>
      <w:tcPr>
        <w:shd w:val="clear" w:color="auto" w:fill="44FFD3"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9E6ED7"/>
    <w:rPr>
      <w:color w:val="000000" w:themeColor="text1"/>
    </w:rPr>
    <w:tblPr>
      <w:tblStyleRowBandSize w:val="1"/>
      <w:tblStyleColBandSize w:val="1"/>
      <w:tblBorders>
        <w:top w:val="single" w:sz="24" w:space="0" w:color="00353E" w:themeColor="accent2"/>
        <w:left w:val="single" w:sz="4" w:space="0" w:color="00353E" w:themeColor="accent2"/>
        <w:bottom w:val="single" w:sz="4" w:space="0" w:color="00353E" w:themeColor="accent2"/>
        <w:right w:val="single" w:sz="4" w:space="0" w:color="00353E" w:themeColor="accent2"/>
        <w:insideH w:val="single" w:sz="4" w:space="0" w:color="FFFFFF" w:themeColor="background1"/>
        <w:insideV w:val="single" w:sz="4" w:space="0" w:color="FFFFFF" w:themeColor="background1"/>
      </w:tblBorders>
    </w:tblPr>
    <w:tcPr>
      <w:shd w:val="clear" w:color="auto" w:fill="D3F8FF" w:themeFill="accent2" w:themeFillTint="19"/>
    </w:tcPr>
    <w:tblStylePr w:type="firstRow">
      <w:rPr>
        <w:b/>
        <w:bCs/>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F25" w:themeFill="accent2" w:themeFillShade="99"/>
      </w:tcPr>
    </w:tblStylePr>
    <w:tblStylePr w:type="firstCol">
      <w:rPr>
        <w:color w:val="FFFFFF" w:themeColor="background1"/>
      </w:rPr>
      <w:tblPr/>
      <w:tcPr>
        <w:tcBorders>
          <w:top w:val="nil"/>
          <w:left w:val="nil"/>
          <w:bottom w:val="nil"/>
          <w:right w:val="nil"/>
          <w:insideH w:val="single" w:sz="4" w:space="0" w:color="001F25" w:themeColor="accent2" w:themeShade="99"/>
          <w:insideV w:val="nil"/>
        </w:tcBorders>
        <w:shd w:val="clear" w:color="auto" w:fill="001F25"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1F25" w:themeFill="accent2" w:themeFillShade="99"/>
      </w:tcPr>
    </w:tblStylePr>
    <w:tblStylePr w:type="band1Vert">
      <w:tblPr/>
      <w:tcPr>
        <w:shd w:val="clear" w:color="auto" w:fill="4BE4FF" w:themeFill="accent2" w:themeFillTint="66"/>
      </w:tcPr>
    </w:tblStylePr>
    <w:tblStylePr w:type="band1Horz">
      <w:tblPr/>
      <w:tcPr>
        <w:shd w:val="clear" w:color="auto" w:fill="1FDDFF"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9E6ED7"/>
    <w:rPr>
      <w:color w:val="000000" w:themeColor="text1"/>
    </w:rPr>
    <w:tblPr>
      <w:tblStyleRowBandSize w:val="1"/>
      <w:tblStyleColBandSize w:val="1"/>
      <w:tblBorders>
        <w:top w:val="single" w:sz="24" w:space="0" w:color="E52713" w:themeColor="accent4"/>
        <w:left w:val="single" w:sz="4" w:space="0" w:color="AECC53" w:themeColor="accent3"/>
        <w:bottom w:val="single" w:sz="4" w:space="0" w:color="AECC53" w:themeColor="accent3"/>
        <w:right w:val="single" w:sz="4" w:space="0" w:color="AECC53" w:themeColor="accent3"/>
        <w:insideH w:val="single" w:sz="4" w:space="0" w:color="FFFFFF" w:themeColor="background1"/>
        <w:insideV w:val="single" w:sz="4" w:space="0" w:color="FFFFFF" w:themeColor="background1"/>
      </w:tblBorders>
    </w:tblPr>
    <w:tcPr>
      <w:shd w:val="clear" w:color="auto" w:fill="F6FAEE" w:themeFill="accent3" w:themeFillTint="19"/>
    </w:tcPr>
    <w:tblStylePr w:type="firstRow">
      <w:rPr>
        <w:b/>
        <w:bCs/>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D8427" w:themeFill="accent3" w:themeFillShade="99"/>
      </w:tcPr>
    </w:tblStylePr>
    <w:tblStylePr w:type="firstCol">
      <w:rPr>
        <w:color w:val="FFFFFF" w:themeColor="background1"/>
      </w:rPr>
      <w:tblPr/>
      <w:tcPr>
        <w:tcBorders>
          <w:top w:val="nil"/>
          <w:left w:val="nil"/>
          <w:bottom w:val="nil"/>
          <w:right w:val="nil"/>
          <w:insideH w:val="single" w:sz="4" w:space="0" w:color="6D8427" w:themeColor="accent3" w:themeShade="99"/>
          <w:insideV w:val="nil"/>
        </w:tcBorders>
        <w:shd w:val="clear" w:color="auto" w:fill="6D8427"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D8427" w:themeFill="accent3" w:themeFillShade="99"/>
      </w:tcPr>
    </w:tblStylePr>
    <w:tblStylePr w:type="band1Vert">
      <w:tblPr/>
      <w:tcPr>
        <w:shd w:val="clear" w:color="auto" w:fill="DEEABA" w:themeFill="accent3" w:themeFillTint="66"/>
      </w:tcPr>
    </w:tblStylePr>
    <w:tblStylePr w:type="band1Horz">
      <w:tblPr/>
      <w:tcPr>
        <w:shd w:val="clear" w:color="auto" w:fill="D6E5A9" w:themeFill="accent3" w:themeFillTint="7F"/>
      </w:tcPr>
    </w:tblStylePr>
  </w:style>
  <w:style w:type="table" w:styleId="ColourfulShadingAccent4">
    <w:name w:val="Colorful Shading Accent 4"/>
    <w:basedOn w:val="TableNormal"/>
    <w:uiPriority w:val="71"/>
    <w:semiHidden/>
    <w:unhideWhenUsed/>
    <w:rsid w:val="009E6ED7"/>
    <w:rPr>
      <w:color w:val="000000" w:themeColor="text1"/>
    </w:rPr>
    <w:tblPr>
      <w:tblStyleRowBandSize w:val="1"/>
      <w:tblStyleColBandSize w:val="1"/>
      <w:tblBorders>
        <w:top w:val="single" w:sz="24" w:space="0" w:color="AECC53" w:themeColor="accent3"/>
        <w:left w:val="single" w:sz="4" w:space="0" w:color="E52713" w:themeColor="accent4"/>
        <w:bottom w:val="single" w:sz="4" w:space="0" w:color="E52713" w:themeColor="accent4"/>
        <w:right w:val="single" w:sz="4" w:space="0" w:color="E52713" w:themeColor="accent4"/>
        <w:insideH w:val="single" w:sz="4" w:space="0" w:color="FFFFFF" w:themeColor="background1"/>
        <w:insideV w:val="single" w:sz="4" w:space="0" w:color="FFFFFF" w:themeColor="background1"/>
      </w:tblBorders>
    </w:tblPr>
    <w:tcPr>
      <w:shd w:val="clear" w:color="auto" w:fill="FDE8E6" w:themeFill="accent4" w:themeFillTint="19"/>
    </w:tcPr>
    <w:tblStylePr w:type="firstRow">
      <w:rPr>
        <w:b/>
        <w:bCs/>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9170B" w:themeFill="accent4" w:themeFillShade="99"/>
      </w:tcPr>
    </w:tblStylePr>
    <w:tblStylePr w:type="firstCol">
      <w:rPr>
        <w:color w:val="FFFFFF" w:themeColor="background1"/>
      </w:rPr>
      <w:tblPr/>
      <w:tcPr>
        <w:tcBorders>
          <w:top w:val="nil"/>
          <w:left w:val="nil"/>
          <w:bottom w:val="nil"/>
          <w:right w:val="nil"/>
          <w:insideH w:val="single" w:sz="4" w:space="0" w:color="89170B" w:themeColor="accent4" w:themeShade="99"/>
          <w:insideV w:val="nil"/>
        </w:tcBorders>
        <w:shd w:val="clear" w:color="auto" w:fill="89170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89170B" w:themeFill="accent4" w:themeFillShade="99"/>
      </w:tcPr>
    </w:tblStylePr>
    <w:tblStylePr w:type="band1Vert">
      <w:tblPr/>
      <w:tcPr>
        <w:shd w:val="clear" w:color="auto" w:fill="F7A69E" w:themeFill="accent4" w:themeFillTint="66"/>
      </w:tcPr>
    </w:tblStylePr>
    <w:tblStylePr w:type="band1Horz">
      <w:tblPr/>
      <w:tcPr>
        <w:shd w:val="clear" w:color="auto" w:fill="F59086"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9E6ED7"/>
    <w:rPr>
      <w:color w:val="000000" w:themeColor="text1"/>
    </w:rPr>
    <w:tblPr>
      <w:tblStyleRowBandSize w:val="1"/>
      <w:tblStyleColBandSize w:val="1"/>
      <w:tblBorders>
        <w:top w:val="single" w:sz="24" w:space="0" w:color="FFCE00" w:themeColor="accent6"/>
        <w:left w:val="single" w:sz="4" w:space="0" w:color="009A9B" w:themeColor="accent5"/>
        <w:bottom w:val="single" w:sz="4" w:space="0" w:color="009A9B" w:themeColor="accent5"/>
        <w:right w:val="single" w:sz="4" w:space="0" w:color="009A9B" w:themeColor="accent5"/>
        <w:insideH w:val="single" w:sz="4" w:space="0" w:color="FFFFFF" w:themeColor="background1"/>
        <w:insideV w:val="single" w:sz="4" w:space="0" w:color="FFFFFF" w:themeColor="background1"/>
      </w:tblBorders>
    </w:tblPr>
    <w:tcPr>
      <w:shd w:val="clear" w:color="auto" w:fill="DCFEFF" w:themeFill="accent5" w:themeFillTint="19"/>
    </w:tcPr>
    <w:tblStylePr w:type="firstRow">
      <w:rPr>
        <w:b/>
        <w:bCs/>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C5D" w:themeFill="accent5" w:themeFillShade="99"/>
      </w:tcPr>
    </w:tblStylePr>
    <w:tblStylePr w:type="firstCol">
      <w:rPr>
        <w:color w:val="FFFFFF" w:themeColor="background1"/>
      </w:rPr>
      <w:tblPr/>
      <w:tcPr>
        <w:tcBorders>
          <w:top w:val="nil"/>
          <w:left w:val="nil"/>
          <w:bottom w:val="nil"/>
          <w:right w:val="nil"/>
          <w:insideH w:val="single" w:sz="4" w:space="0" w:color="005C5D" w:themeColor="accent5" w:themeShade="99"/>
          <w:insideV w:val="nil"/>
        </w:tcBorders>
        <w:shd w:val="clear" w:color="auto" w:fill="005C5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005C5D" w:themeFill="accent5" w:themeFillShade="99"/>
      </w:tcPr>
    </w:tblStylePr>
    <w:tblStylePr w:type="band1Vert">
      <w:tblPr/>
      <w:tcPr>
        <w:shd w:val="clear" w:color="auto" w:fill="71FDFF" w:themeFill="accent5" w:themeFillTint="66"/>
      </w:tcPr>
    </w:tblStylePr>
    <w:tblStylePr w:type="band1Horz">
      <w:tblPr/>
      <w:tcPr>
        <w:shd w:val="clear" w:color="auto" w:fill="4EFDFF"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9E6ED7"/>
    <w:rPr>
      <w:color w:val="000000" w:themeColor="text1"/>
    </w:rPr>
    <w:tblPr>
      <w:tblStyleRowBandSize w:val="1"/>
      <w:tblStyleColBandSize w:val="1"/>
      <w:tblBorders>
        <w:top w:val="single" w:sz="24" w:space="0" w:color="009A9B" w:themeColor="accent5"/>
        <w:left w:val="single" w:sz="4" w:space="0" w:color="FFCE00" w:themeColor="accent6"/>
        <w:bottom w:val="single" w:sz="4" w:space="0" w:color="FFCE00" w:themeColor="accent6"/>
        <w:right w:val="single" w:sz="4" w:space="0" w:color="FFCE00" w:themeColor="accent6"/>
        <w:insideH w:val="single" w:sz="4" w:space="0" w:color="FFFFFF" w:themeColor="background1"/>
        <w:insideV w:val="single" w:sz="4" w:space="0" w:color="FFFFFF" w:themeColor="background1"/>
      </w:tblBorders>
    </w:tblPr>
    <w:tcPr>
      <w:shd w:val="clear" w:color="auto" w:fill="FFFAE6" w:themeFill="accent6" w:themeFillTint="19"/>
    </w:tcPr>
    <w:tblStylePr w:type="firstRow">
      <w:rPr>
        <w:b/>
        <w:bCs/>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B00" w:themeFill="accent6" w:themeFillShade="99"/>
      </w:tcPr>
    </w:tblStylePr>
    <w:tblStylePr w:type="firstCol">
      <w:rPr>
        <w:color w:val="FFFFFF" w:themeColor="background1"/>
      </w:rPr>
      <w:tblPr/>
      <w:tcPr>
        <w:tcBorders>
          <w:top w:val="nil"/>
          <w:left w:val="nil"/>
          <w:bottom w:val="nil"/>
          <w:right w:val="nil"/>
          <w:insideH w:val="single" w:sz="4" w:space="0" w:color="997B00" w:themeColor="accent6" w:themeShade="99"/>
          <w:insideV w:val="nil"/>
        </w:tcBorders>
        <w:shd w:val="clear" w:color="auto" w:fill="997B00"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997B00" w:themeFill="accent6" w:themeFillShade="99"/>
      </w:tcPr>
    </w:tblStylePr>
    <w:tblStylePr w:type="band1Vert">
      <w:tblPr/>
      <w:tcPr>
        <w:shd w:val="clear" w:color="auto" w:fill="FFEB99" w:themeFill="accent6" w:themeFillTint="66"/>
      </w:tcPr>
    </w:tblStylePr>
    <w:tblStylePr w:type="band1Horz">
      <w:tblPr/>
      <w:tcPr>
        <w:shd w:val="clear" w:color="auto" w:fill="FFE68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9E6ED7"/>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9E6ED7"/>
    <w:rPr>
      <w:color w:val="FFFFFF" w:themeColor="background1"/>
    </w:rPr>
    <w:tblPr>
      <w:tblStyleRowBandSize w:val="1"/>
      <w:tblStyleColBandSize w:val="1"/>
    </w:tblPr>
    <w:tcPr>
      <w:shd w:val="clear" w:color="auto" w:fill="00876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33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654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654D" w:themeFill="accent1" w:themeFillShade="BF"/>
      </w:tcPr>
    </w:tblStylePr>
    <w:tblStylePr w:type="band1Vert">
      <w:tblPr/>
      <w:tcPr>
        <w:tcBorders>
          <w:top w:val="nil"/>
          <w:left w:val="nil"/>
          <w:bottom w:val="nil"/>
          <w:right w:val="nil"/>
          <w:insideH w:val="nil"/>
          <w:insideV w:val="nil"/>
        </w:tcBorders>
        <w:shd w:val="clear" w:color="auto" w:fill="00654D" w:themeFill="accent1" w:themeFillShade="BF"/>
      </w:tcPr>
    </w:tblStylePr>
    <w:tblStylePr w:type="band1Horz">
      <w:tblPr/>
      <w:tcPr>
        <w:tcBorders>
          <w:top w:val="nil"/>
          <w:left w:val="nil"/>
          <w:bottom w:val="nil"/>
          <w:right w:val="nil"/>
          <w:insideH w:val="nil"/>
          <w:insideV w:val="nil"/>
        </w:tcBorders>
        <w:shd w:val="clear" w:color="auto" w:fill="00654D" w:themeFill="accent1" w:themeFillShade="BF"/>
      </w:tcPr>
    </w:tblStylePr>
  </w:style>
  <w:style w:type="table" w:styleId="DarkList-Accent2">
    <w:name w:val="Dark List Accent 2"/>
    <w:basedOn w:val="TableNormal"/>
    <w:uiPriority w:val="70"/>
    <w:semiHidden/>
    <w:unhideWhenUsed/>
    <w:rsid w:val="009E6ED7"/>
    <w:rPr>
      <w:color w:val="FFFFFF" w:themeColor="background1"/>
    </w:rPr>
    <w:tblPr>
      <w:tblStyleRowBandSize w:val="1"/>
      <w:tblStyleColBandSize w:val="1"/>
    </w:tblPr>
    <w:tcPr>
      <w:shd w:val="clear" w:color="auto" w:fill="00353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A1E"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272E"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272E" w:themeFill="accent2" w:themeFillShade="BF"/>
      </w:tcPr>
    </w:tblStylePr>
    <w:tblStylePr w:type="band1Vert">
      <w:tblPr/>
      <w:tcPr>
        <w:tcBorders>
          <w:top w:val="nil"/>
          <w:left w:val="nil"/>
          <w:bottom w:val="nil"/>
          <w:right w:val="nil"/>
          <w:insideH w:val="nil"/>
          <w:insideV w:val="nil"/>
        </w:tcBorders>
        <w:shd w:val="clear" w:color="auto" w:fill="00272E" w:themeFill="accent2" w:themeFillShade="BF"/>
      </w:tcPr>
    </w:tblStylePr>
    <w:tblStylePr w:type="band1Horz">
      <w:tblPr/>
      <w:tcPr>
        <w:tcBorders>
          <w:top w:val="nil"/>
          <w:left w:val="nil"/>
          <w:bottom w:val="nil"/>
          <w:right w:val="nil"/>
          <w:insideH w:val="nil"/>
          <w:insideV w:val="nil"/>
        </w:tcBorders>
        <w:shd w:val="clear" w:color="auto" w:fill="00272E" w:themeFill="accent2" w:themeFillShade="BF"/>
      </w:tcPr>
    </w:tblStylePr>
  </w:style>
  <w:style w:type="table" w:styleId="DarkList-Accent3">
    <w:name w:val="Dark List Accent 3"/>
    <w:basedOn w:val="TableNormal"/>
    <w:uiPriority w:val="70"/>
    <w:semiHidden/>
    <w:unhideWhenUsed/>
    <w:rsid w:val="009E6ED7"/>
    <w:rPr>
      <w:color w:val="FFFFFF" w:themeColor="background1"/>
    </w:rPr>
    <w:tblPr>
      <w:tblStyleRowBandSize w:val="1"/>
      <w:tblStyleColBandSize w:val="1"/>
    </w:tblPr>
    <w:tcPr>
      <w:shd w:val="clear" w:color="auto" w:fill="AECC53"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A6E2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88A531"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88A531" w:themeFill="accent3" w:themeFillShade="BF"/>
      </w:tcPr>
    </w:tblStylePr>
    <w:tblStylePr w:type="band1Vert">
      <w:tblPr/>
      <w:tcPr>
        <w:tcBorders>
          <w:top w:val="nil"/>
          <w:left w:val="nil"/>
          <w:bottom w:val="nil"/>
          <w:right w:val="nil"/>
          <w:insideH w:val="nil"/>
          <w:insideV w:val="nil"/>
        </w:tcBorders>
        <w:shd w:val="clear" w:color="auto" w:fill="88A531" w:themeFill="accent3" w:themeFillShade="BF"/>
      </w:tcPr>
    </w:tblStylePr>
    <w:tblStylePr w:type="band1Horz">
      <w:tblPr/>
      <w:tcPr>
        <w:tcBorders>
          <w:top w:val="nil"/>
          <w:left w:val="nil"/>
          <w:bottom w:val="nil"/>
          <w:right w:val="nil"/>
          <w:insideH w:val="nil"/>
          <w:insideV w:val="nil"/>
        </w:tcBorders>
        <w:shd w:val="clear" w:color="auto" w:fill="88A531" w:themeFill="accent3" w:themeFillShade="BF"/>
      </w:tcPr>
    </w:tblStylePr>
  </w:style>
  <w:style w:type="table" w:styleId="DarkList-Accent4">
    <w:name w:val="Dark List Accent 4"/>
    <w:basedOn w:val="TableNormal"/>
    <w:uiPriority w:val="70"/>
    <w:semiHidden/>
    <w:unhideWhenUsed/>
    <w:rsid w:val="009E6ED7"/>
    <w:rPr>
      <w:color w:val="FFFFFF" w:themeColor="background1"/>
    </w:rPr>
    <w:tblPr>
      <w:tblStyleRowBandSize w:val="1"/>
      <w:tblStyleColBandSize w:val="1"/>
    </w:tblPr>
    <w:tcPr>
      <w:shd w:val="clear" w:color="auto" w:fill="E5271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1130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AB1D0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AB1D0E" w:themeFill="accent4" w:themeFillShade="BF"/>
      </w:tcPr>
    </w:tblStylePr>
    <w:tblStylePr w:type="band1Vert">
      <w:tblPr/>
      <w:tcPr>
        <w:tcBorders>
          <w:top w:val="nil"/>
          <w:left w:val="nil"/>
          <w:bottom w:val="nil"/>
          <w:right w:val="nil"/>
          <w:insideH w:val="nil"/>
          <w:insideV w:val="nil"/>
        </w:tcBorders>
        <w:shd w:val="clear" w:color="auto" w:fill="AB1D0E" w:themeFill="accent4" w:themeFillShade="BF"/>
      </w:tcPr>
    </w:tblStylePr>
    <w:tblStylePr w:type="band1Horz">
      <w:tblPr/>
      <w:tcPr>
        <w:tcBorders>
          <w:top w:val="nil"/>
          <w:left w:val="nil"/>
          <w:bottom w:val="nil"/>
          <w:right w:val="nil"/>
          <w:insideH w:val="nil"/>
          <w:insideV w:val="nil"/>
        </w:tcBorders>
        <w:shd w:val="clear" w:color="auto" w:fill="AB1D0E" w:themeFill="accent4" w:themeFillShade="BF"/>
      </w:tcPr>
    </w:tblStylePr>
  </w:style>
  <w:style w:type="table" w:styleId="DarkList-Accent5">
    <w:name w:val="Dark List Accent 5"/>
    <w:basedOn w:val="TableNormal"/>
    <w:uiPriority w:val="70"/>
    <w:semiHidden/>
    <w:unhideWhenUsed/>
    <w:rsid w:val="009E6ED7"/>
    <w:rPr>
      <w:color w:val="FFFFFF" w:themeColor="background1"/>
    </w:rPr>
    <w:tblPr>
      <w:tblStyleRowBandSize w:val="1"/>
      <w:tblStyleColBandSize w:val="1"/>
    </w:tblPr>
    <w:tcPr>
      <w:shd w:val="clear" w:color="auto" w:fill="009A9B"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C4D"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007374"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007374" w:themeFill="accent5" w:themeFillShade="BF"/>
      </w:tcPr>
    </w:tblStylePr>
    <w:tblStylePr w:type="band1Vert">
      <w:tblPr/>
      <w:tcPr>
        <w:tcBorders>
          <w:top w:val="nil"/>
          <w:left w:val="nil"/>
          <w:bottom w:val="nil"/>
          <w:right w:val="nil"/>
          <w:insideH w:val="nil"/>
          <w:insideV w:val="nil"/>
        </w:tcBorders>
        <w:shd w:val="clear" w:color="auto" w:fill="007374" w:themeFill="accent5" w:themeFillShade="BF"/>
      </w:tcPr>
    </w:tblStylePr>
    <w:tblStylePr w:type="band1Horz">
      <w:tblPr/>
      <w:tcPr>
        <w:tcBorders>
          <w:top w:val="nil"/>
          <w:left w:val="nil"/>
          <w:bottom w:val="nil"/>
          <w:right w:val="nil"/>
          <w:insideH w:val="nil"/>
          <w:insideV w:val="nil"/>
        </w:tcBorders>
        <w:shd w:val="clear" w:color="auto" w:fill="007374" w:themeFill="accent5" w:themeFillShade="BF"/>
      </w:tcPr>
    </w:tblStylePr>
  </w:style>
  <w:style w:type="table" w:styleId="DarkList-Accent6">
    <w:name w:val="Dark List Accent 6"/>
    <w:basedOn w:val="TableNormal"/>
    <w:uiPriority w:val="70"/>
    <w:semiHidden/>
    <w:unhideWhenUsed/>
    <w:rsid w:val="009E6ED7"/>
    <w:rPr>
      <w:color w:val="FFFFFF" w:themeColor="background1"/>
    </w:rPr>
    <w:tblPr>
      <w:tblStyleRowBandSize w:val="1"/>
      <w:tblStyleColBandSize w:val="1"/>
    </w:tblPr>
    <w:tcPr>
      <w:shd w:val="clear" w:color="auto" w:fill="FFCE00"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60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F9A0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F9A00" w:themeFill="accent6" w:themeFillShade="BF"/>
      </w:tcPr>
    </w:tblStylePr>
    <w:tblStylePr w:type="band1Vert">
      <w:tblPr/>
      <w:tcPr>
        <w:tcBorders>
          <w:top w:val="nil"/>
          <w:left w:val="nil"/>
          <w:bottom w:val="nil"/>
          <w:right w:val="nil"/>
          <w:insideH w:val="nil"/>
          <w:insideV w:val="nil"/>
        </w:tcBorders>
        <w:shd w:val="clear" w:color="auto" w:fill="BF9A00" w:themeFill="accent6" w:themeFillShade="BF"/>
      </w:tcPr>
    </w:tblStylePr>
    <w:tblStylePr w:type="band1Horz">
      <w:tblPr/>
      <w:tcPr>
        <w:tcBorders>
          <w:top w:val="nil"/>
          <w:left w:val="nil"/>
          <w:bottom w:val="nil"/>
          <w:right w:val="nil"/>
          <w:insideH w:val="nil"/>
          <w:insideV w:val="nil"/>
        </w:tcBorders>
        <w:shd w:val="clear" w:color="auto" w:fill="BF9A00" w:themeFill="accent6" w:themeFillShade="BF"/>
      </w:tcPr>
    </w:tblStylePr>
  </w:style>
  <w:style w:type="table" w:styleId="LightGrid">
    <w:name w:val="Light Grid"/>
    <w:basedOn w:val="TableNormal"/>
    <w:uiPriority w:val="62"/>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18" w:space="0" w:color="008768" w:themeColor="accent1"/>
          <w:right w:val="single" w:sz="8" w:space="0" w:color="008768" w:themeColor="accent1"/>
          <w:insideH w:val="nil"/>
          <w:insideV w:val="single" w:sz="8" w:space="0" w:color="008768"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insideH w:val="nil"/>
          <w:insideV w:val="single" w:sz="8" w:space="0" w:color="008768"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shd w:val="clear" w:color="auto" w:fill="A2FFE9" w:themeFill="accent1" w:themeFillTint="3F"/>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shd w:val="clear" w:color="auto" w:fill="A2FFE9" w:themeFill="accent1" w:themeFillTint="3F"/>
      </w:tcPr>
    </w:tblStylePr>
    <w:tblStylePr w:type="band2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insideV w:val="single" w:sz="8" w:space="0" w:color="008768" w:themeColor="accent1"/>
        </w:tcBorders>
      </w:tcPr>
    </w:tblStylePr>
  </w:style>
  <w:style w:type="table" w:styleId="LightGrid-Accent2">
    <w:name w:val="Light Grid Accent 2"/>
    <w:basedOn w:val="TableNormal"/>
    <w:uiPriority w:val="62"/>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18" w:space="0" w:color="00353E" w:themeColor="accent2"/>
          <w:right w:val="single" w:sz="8" w:space="0" w:color="00353E" w:themeColor="accent2"/>
          <w:insideH w:val="nil"/>
          <w:insideV w:val="single" w:sz="8" w:space="0" w:color="00353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insideH w:val="nil"/>
          <w:insideV w:val="single" w:sz="8" w:space="0" w:color="00353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shd w:val="clear" w:color="auto" w:fill="90EEFF" w:themeFill="accent2" w:themeFillTint="3F"/>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shd w:val="clear" w:color="auto" w:fill="90EEFF" w:themeFill="accent2" w:themeFillTint="3F"/>
      </w:tcPr>
    </w:tblStylePr>
    <w:tblStylePr w:type="band2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insideV w:val="single" w:sz="8" w:space="0" w:color="00353E" w:themeColor="accent2"/>
        </w:tcBorders>
      </w:tcPr>
    </w:tblStylePr>
  </w:style>
  <w:style w:type="table" w:styleId="LightGrid-Accent3">
    <w:name w:val="Light Grid Accent 3"/>
    <w:basedOn w:val="TableNormal"/>
    <w:uiPriority w:val="62"/>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18" w:space="0" w:color="AECC53" w:themeColor="accent3"/>
          <w:right w:val="single" w:sz="8" w:space="0" w:color="AECC53" w:themeColor="accent3"/>
          <w:insideH w:val="nil"/>
          <w:insideV w:val="single" w:sz="8" w:space="0" w:color="AECC53"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insideH w:val="nil"/>
          <w:insideV w:val="single" w:sz="8" w:space="0" w:color="AECC53"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shd w:val="clear" w:color="auto" w:fill="EAF2D4" w:themeFill="accent3" w:themeFillTint="3F"/>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shd w:val="clear" w:color="auto" w:fill="EAF2D4" w:themeFill="accent3" w:themeFillTint="3F"/>
      </w:tcPr>
    </w:tblStylePr>
    <w:tblStylePr w:type="band2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insideV w:val="single" w:sz="8" w:space="0" w:color="AECC53" w:themeColor="accent3"/>
        </w:tcBorders>
      </w:tcPr>
    </w:tblStylePr>
  </w:style>
  <w:style w:type="table" w:styleId="LightGrid-Accent4">
    <w:name w:val="Light Grid Accent 4"/>
    <w:basedOn w:val="TableNormal"/>
    <w:uiPriority w:val="62"/>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18" w:space="0" w:color="E52713" w:themeColor="accent4"/>
          <w:right w:val="single" w:sz="8" w:space="0" w:color="E52713" w:themeColor="accent4"/>
          <w:insideH w:val="nil"/>
          <w:insideV w:val="single" w:sz="8" w:space="0" w:color="E5271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insideH w:val="nil"/>
          <w:insideV w:val="single" w:sz="8" w:space="0" w:color="E5271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shd w:val="clear" w:color="auto" w:fill="FAC8C2" w:themeFill="accent4" w:themeFillTint="3F"/>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shd w:val="clear" w:color="auto" w:fill="FAC8C2" w:themeFill="accent4" w:themeFillTint="3F"/>
      </w:tcPr>
    </w:tblStylePr>
    <w:tblStylePr w:type="band2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insideV w:val="single" w:sz="8" w:space="0" w:color="E52713" w:themeColor="accent4"/>
        </w:tcBorders>
      </w:tcPr>
    </w:tblStylePr>
  </w:style>
  <w:style w:type="table" w:styleId="LightGrid-Accent5">
    <w:name w:val="Light Grid Accent 5"/>
    <w:basedOn w:val="TableNormal"/>
    <w:uiPriority w:val="62"/>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18" w:space="0" w:color="009A9B" w:themeColor="accent5"/>
          <w:right w:val="single" w:sz="8" w:space="0" w:color="009A9B" w:themeColor="accent5"/>
          <w:insideH w:val="nil"/>
          <w:insideV w:val="single" w:sz="8" w:space="0" w:color="009A9B"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insideH w:val="nil"/>
          <w:insideV w:val="single" w:sz="8" w:space="0" w:color="009A9B"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shd w:val="clear" w:color="auto" w:fill="A7FEFF" w:themeFill="accent5" w:themeFillTint="3F"/>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shd w:val="clear" w:color="auto" w:fill="A7FEFF" w:themeFill="accent5" w:themeFillTint="3F"/>
      </w:tcPr>
    </w:tblStylePr>
    <w:tblStylePr w:type="band2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insideV w:val="single" w:sz="8" w:space="0" w:color="009A9B" w:themeColor="accent5"/>
        </w:tcBorders>
      </w:tcPr>
    </w:tblStylePr>
  </w:style>
  <w:style w:type="table" w:styleId="LightGrid-Accent6">
    <w:name w:val="Light Grid Accent 6"/>
    <w:basedOn w:val="TableNormal"/>
    <w:uiPriority w:val="62"/>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18" w:space="0" w:color="FFCE00" w:themeColor="accent6"/>
          <w:right w:val="single" w:sz="8" w:space="0" w:color="FFCE00" w:themeColor="accent6"/>
          <w:insideH w:val="nil"/>
          <w:insideV w:val="single" w:sz="8" w:space="0" w:color="FFCE00"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insideH w:val="nil"/>
          <w:insideV w:val="single" w:sz="8" w:space="0" w:color="FFCE00"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shd w:val="clear" w:color="auto" w:fill="FFF2C0" w:themeFill="accent6" w:themeFillTint="3F"/>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shd w:val="clear" w:color="auto" w:fill="FFF2C0" w:themeFill="accent6" w:themeFillTint="3F"/>
      </w:tcPr>
    </w:tblStylePr>
    <w:tblStylePr w:type="band2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insideV w:val="single" w:sz="8" w:space="0" w:color="FFCE00" w:themeColor="accent6"/>
        </w:tcBorders>
      </w:tcPr>
    </w:tblStylePr>
  </w:style>
  <w:style w:type="table" w:styleId="LightList">
    <w:name w:val="Light List"/>
    <w:basedOn w:val="TableNormal"/>
    <w:uiPriority w:val="61"/>
    <w:semiHidden/>
    <w:unhideWhenUsed/>
    <w:rsid w:val="009E6ED7"/>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9E6ED7"/>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pPr>
        <w:spacing w:before="0" w:after="0" w:line="240" w:lineRule="auto"/>
      </w:pPr>
      <w:rPr>
        <w:b/>
        <w:bCs/>
        <w:color w:val="FFFFFF" w:themeColor="background1"/>
      </w:rPr>
      <w:tblPr/>
      <w:tcPr>
        <w:shd w:val="clear" w:color="auto" w:fill="008768" w:themeFill="accent1"/>
      </w:tcPr>
    </w:tblStylePr>
    <w:tblStylePr w:type="lastRow">
      <w:pPr>
        <w:spacing w:before="0" w:after="0" w:line="240" w:lineRule="auto"/>
      </w:pPr>
      <w:rPr>
        <w:b/>
        <w:bCs/>
      </w:rPr>
      <w:tblPr/>
      <w:tcPr>
        <w:tcBorders>
          <w:top w:val="double" w:sz="6" w:space="0" w:color="008768" w:themeColor="accent1"/>
          <w:left w:val="single" w:sz="8" w:space="0" w:color="008768" w:themeColor="accent1"/>
          <w:bottom w:val="single" w:sz="8" w:space="0" w:color="008768" w:themeColor="accent1"/>
          <w:right w:val="single" w:sz="8" w:space="0" w:color="008768" w:themeColor="accent1"/>
        </w:tcBorders>
      </w:tcPr>
    </w:tblStylePr>
    <w:tblStylePr w:type="firstCol">
      <w:rPr>
        <w:b/>
        <w:bCs/>
      </w:rPr>
    </w:tblStylePr>
    <w:tblStylePr w:type="lastCol">
      <w:rPr>
        <w:b/>
        <w:bCs/>
      </w:rPr>
    </w:tblStylePr>
    <w:tblStylePr w:type="band1Vert">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tblStylePr w:type="band1Horz">
      <w:tblPr/>
      <w:tcPr>
        <w:tcBorders>
          <w:top w:val="single" w:sz="8" w:space="0" w:color="008768" w:themeColor="accent1"/>
          <w:left w:val="single" w:sz="8" w:space="0" w:color="008768" w:themeColor="accent1"/>
          <w:bottom w:val="single" w:sz="8" w:space="0" w:color="008768" w:themeColor="accent1"/>
          <w:right w:val="single" w:sz="8" w:space="0" w:color="008768" w:themeColor="accent1"/>
        </w:tcBorders>
      </w:tcPr>
    </w:tblStylePr>
  </w:style>
  <w:style w:type="table" w:styleId="LightList-Accent2">
    <w:name w:val="Light List Accent 2"/>
    <w:basedOn w:val="TableNormal"/>
    <w:uiPriority w:val="61"/>
    <w:semiHidden/>
    <w:unhideWhenUsed/>
    <w:rsid w:val="009E6ED7"/>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pPr>
        <w:spacing w:before="0" w:after="0" w:line="240" w:lineRule="auto"/>
      </w:pPr>
      <w:rPr>
        <w:b/>
        <w:bCs/>
        <w:color w:val="FFFFFF" w:themeColor="background1"/>
      </w:rPr>
      <w:tblPr/>
      <w:tcPr>
        <w:shd w:val="clear" w:color="auto" w:fill="00353E" w:themeFill="accent2"/>
      </w:tcPr>
    </w:tblStylePr>
    <w:tblStylePr w:type="lastRow">
      <w:pPr>
        <w:spacing w:before="0" w:after="0" w:line="240" w:lineRule="auto"/>
      </w:pPr>
      <w:rPr>
        <w:b/>
        <w:bCs/>
      </w:rPr>
      <w:tblPr/>
      <w:tcPr>
        <w:tcBorders>
          <w:top w:val="double" w:sz="6" w:space="0" w:color="00353E" w:themeColor="accent2"/>
          <w:left w:val="single" w:sz="8" w:space="0" w:color="00353E" w:themeColor="accent2"/>
          <w:bottom w:val="single" w:sz="8" w:space="0" w:color="00353E" w:themeColor="accent2"/>
          <w:right w:val="single" w:sz="8" w:space="0" w:color="00353E" w:themeColor="accent2"/>
        </w:tcBorders>
      </w:tcPr>
    </w:tblStylePr>
    <w:tblStylePr w:type="firstCol">
      <w:rPr>
        <w:b/>
        <w:bCs/>
      </w:rPr>
    </w:tblStylePr>
    <w:tblStylePr w:type="lastCol">
      <w:rPr>
        <w:b/>
        <w:bCs/>
      </w:rPr>
    </w:tblStylePr>
    <w:tblStylePr w:type="band1Vert">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tblStylePr w:type="band1Horz">
      <w:tblPr/>
      <w:tcPr>
        <w:tcBorders>
          <w:top w:val="single" w:sz="8" w:space="0" w:color="00353E" w:themeColor="accent2"/>
          <w:left w:val="single" w:sz="8" w:space="0" w:color="00353E" w:themeColor="accent2"/>
          <w:bottom w:val="single" w:sz="8" w:space="0" w:color="00353E" w:themeColor="accent2"/>
          <w:right w:val="single" w:sz="8" w:space="0" w:color="00353E" w:themeColor="accent2"/>
        </w:tcBorders>
      </w:tcPr>
    </w:tblStylePr>
  </w:style>
  <w:style w:type="table" w:styleId="LightList-Accent3">
    <w:name w:val="Light List Accent 3"/>
    <w:basedOn w:val="TableNormal"/>
    <w:uiPriority w:val="61"/>
    <w:semiHidden/>
    <w:unhideWhenUsed/>
    <w:rsid w:val="009E6ED7"/>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pPr>
        <w:spacing w:before="0" w:after="0" w:line="240" w:lineRule="auto"/>
      </w:pPr>
      <w:rPr>
        <w:b/>
        <w:bCs/>
        <w:color w:val="FFFFFF" w:themeColor="background1"/>
      </w:rPr>
      <w:tblPr/>
      <w:tcPr>
        <w:shd w:val="clear" w:color="auto" w:fill="AECC53" w:themeFill="accent3"/>
      </w:tcPr>
    </w:tblStylePr>
    <w:tblStylePr w:type="lastRow">
      <w:pPr>
        <w:spacing w:before="0" w:after="0" w:line="240" w:lineRule="auto"/>
      </w:pPr>
      <w:rPr>
        <w:b/>
        <w:bCs/>
      </w:rPr>
      <w:tblPr/>
      <w:tcPr>
        <w:tcBorders>
          <w:top w:val="double" w:sz="6" w:space="0" w:color="AECC53" w:themeColor="accent3"/>
          <w:left w:val="single" w:sz="8" w:space="0" w:color="AECC53" w:themeColor="accent3"/>
          <w:bottom w:val="single" w:sz="8" w:space="0" w:color="AECC53" w:themeColor="accent3"/>
          <w:right w:val="single" w:sz="8" w:space="0" w:color="AECC53" w:themeColor="accent3"/>
        </w:tcBorders>
      </w:tcPr>
    </w:tblStylePr>
    <w:tblStylePr w:type="firstCol">
      <w:rPr>
        <w:b/>
        <w:bCs/>
      </w:rPr>
    </w:tblStylePr>
    <w:tblStylePr w:type="lastCol">
      <w:rPr>
        <w:b/>
        <w:bCs/>
      </w:rPr>
    </w:tblStylePr>
    <w:tblStylePr w:type="band1Vert">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tblStylePr w:type="band1Horz">
      <w:tblPr/>
      <w:tcPr>
        <w:tcBorders>
          <w:top w:val="single" w:sz="8" w:space="0" w:color="AECC53" w:themeColor="accent3"/>
          <w:left w:val="single" w:sz="8" w:space="0" w:color="AECC53" w:themeColor="accent3"/>
          <w:bottom w:val="single" w:sz="8" w:space="0" w:color="AECC53" w:themeColor="accent3"/>
          <w:right w:val="single" w:sz="8" w:space="0" w:color="AECC53" w:themeColor="accent3"/>
        </w:tcBorders>
      </w:tcPr>
    </w:tblStylePr>
  </w:style>
  <w:style w:type="table" w:styleId="LightList-Accent4">
    <w:name w:val="Light List Accent 4"/>
    <w:basedOn w:val="TableNormal"/>
    <w:uiPriority w:val="61"/>
    <w:semiHidden/>
    <w:unhideWhenUsed/>
    <w:rsid w:val="009E6ED7"/>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pPr>
        <w:spacing w:before="0" w:after="0" w:line="240" w:lineRule="auto"/>
      </w:pPr>
      <w:rPr>
        <w:b/>
        <w:bCs/>
        <w:color w:val="FFFFFF" w:themeColor="background1"/>
      </w:rPr>
      <w:tblPr/>
      <w:tcPr>
        <w:shd w:val="clear" w:color="auto" w:fill="E52713" w:themeFill="accent4"/>
      </w:tcPr>
    </w:tblStylePr>
    <w:tblStylePr w:type="lastRow">
      <w:pPr>
        <w:spacing w:before="0" w:after="0" w:line="240" w:lineRule="auto"/>
      </w:pPr>
      <w:rPr>
        <w:b/>
        <w:bCs/>
      </w:rPr>
      <w:tblPr/>
      <w:tcPr>
        <w:tcBorders>
          <w:top w:val="double" w:sz="6" w:space="0" w:color="E52713" w:themeColor="accent4"/>
          <w:left w:val="single" w:sz="8" w:space="0" w:color="E52713" w:themeColor="accent4"/>
          <w:bottom w:val="single" w:sz="8" w:space="0" w:color="E52713" w:themeColor="accent4"/>
          <w:right w:val="single" w:sz="8" w:space="0" w:color="E52713" w:themeColor="accent4"/>
        </w:tcBorders>
      </w:tcPr>
    </w:tblStylePr>
    <w:tblStylePr w:type="firstCol">
      <w:rPr>
        <w:b/>
        <w:bCs/>
      </w:rPr>
    </w:tblStylePr>
    <w:tblStylePr w:type="lastCol">
      <w:rPr>
        <w:b/>
        <w:bCs/>
      </w:rPr>
    </w:tblStylePr>
    <w:tblStylePr w:type="band1Vert">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tblStylePr w:type="band1Horz">
      <w:tblPr/>
      <w:tcPr>
        <w:tcBorders>
          <w:top w:val="single" w:sz="8" w:space="0" w:color="E52713" w:themeColor="accent4"/>
          <w:left w:val="single" w:sz="8" w:space="0" w:color="E52713" w:themeColor="accent4"/>
          <w:bottom w:val="single" w:sz="8" w:space="0" w:color="E52713" w:themeColor="accent4"/>
          <w:right w:val="single" w:sz="8" w:space="0" w:color="E52713" w:themeColor="accent4"/>
        </w:tcBorders>
      </w:tcPr>
    </w:tblStylePr>
  </w:style>
  <w:style w:type="table" w:styleId="LightList-Accent5">
    <w:name w:val="Light List Accent 5"/>
    <w:basedOn w:val="TableNormal"/>
    <w:uiPriority w:val="61"/>
    <w:semiHidden/>
    <w:unhideWhenUsed/>
    <w:rsid w:val="009E6ED7"/>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pPr>
        <w:spacing w:before="0" w:after="0" w:line="240" w:lineRule="auto"/>
      </w:pPr>
      <w:rPr>
        <w:b/>
        <w:bCs/>
        <w:color w:val="FFFFFF" w:themeColor="background1"/>
      </w:rPr>
      <w:tblPr/>
      <w:tcPr>
        <w:shd w:val="clear" w:color="auto" w:fill="009A9B" w:themeFill="accent5"/>
      </w:tcPr>
    </w:tblStylePr>
    <w:tblStylePr w:type="lastRow">
      <w:pPr>
        <w:spacing w:before="0" w:after="0" w:line="240" w:lineRule="auto"/>
      </w:pPr>
      <w:rPr>
        <w:b/>
        <w:bCs/>
      </w:rPr>
      <w:tblPr/>
      <w:tcPr>
        <w:tcBorders>
          <w:top w:val="double" w:sz="6" w:space="0" w:color="009A9B" w:themeColor="accent5"/>
          <w:left w:val="single" w:sz="8" w:space="0" w:color="009A9B" w:themeColor="accent5"/>
          <w:bottom w:val="single" w:sz="8" w:space="0" w:color="009A9B" w:themeColor="accent5"/>
          <w:right w:val="single" w:sz="8" w:space="0" w:color="009A9B" w:themeColor="accent5"/>
        </w:tcBorders>
      </w:tcPr>
    </w:tblStylePr>
    <w:tblStylePr w:type="firstCol">
      <w:rPr>
        <w:b/>
        <w:bCs/>
      </w:rPr>
    </w:tblStylePr>
    <w:tblStylePr w:type="lastCol">
      <w:rPr>
        <w:b/>
        <w:bCs/>
      </w:rPr>
    </w:tblStylePr>
    <w:tblStylePr w:type="band1Vert">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tblStylePr w:type="band1Horz">
      <w:tblPr/>
      <w:tcPr>
        <w:tcBorders>
          <w:top w:val="single" w:sz="8" w:space="0" w:color="009A9B" w:themeColor="accent5"/>
          <w:left w:val="single" w:sz="8" w:space="0" w:color="009A9B" w:themeColor="accent5"/>
          <w:bottom w:val="single" w:sz="8" w:space="0" w:color="009A9B" w:themeColor="accent5"/>
          <w:right w:val="single" w:sz="8" w:space="0" w:color="009A9B" w:themeColor="accent5"/>
        </w:tcBorders>
      </w:tcPr>
    </w:tblStylePr>
  </w:style>
  <w:style w:type="table" w:styleId="LightList-Accent6">
    <w:name w:val="Light List Accent 6"/>
    <w:basedOn w:val="TableNormal"/>
    <w:uiPriority w:val="61"/>
    <w:semiHidden/>
    <w:unhideWhenUsed/>
    <w:rsid w:val="009E6ED7"/>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pPr>
        <w:spacing w:before="0" w:after="0" w:line="240" w:lineRule="auto"/>
      </w:pPr>
      <w:rPr>
        <w:b/>
        <w:bCs/>
        <w:color w:val="FFFFFF" w:themeColor="background1"/>
      </w:rPr>
      <w:tblPr/>
      <w:tcPr>
        <w:shd w:val="clear" w:color="auto" w:fill="FFCE00" w:themeFill="accent6"/>
      </w:tcPr>
    </w:tblStylePr>
    <w:tblStylePr w:type="lastRow">
      <w:pPr>
        <w:spacing w:before="0" w:after="0" w:line="240" w:lineRule="auto"/>
      </w:pPr>
      <w:rPr>
        <w:b/>
        <w:bCs/>
      </w:rPr>
      <w:tblPr/>
      <w:tcPr>
        <w:tcBorders>
          <w:top w:val="double" w:sz="6" w:space="0" w:color="FFCE00" w:themeColor="accent6"/>
          <w:left w:val="single" w:sz="8" w:space="0" w:color="FFCE00" w:themeColor="accent6"/>
          <w:bottom w:val="single" w:sz="8" w:space="0" w:color="FFCE00" w:themeColor="accent6"/>
          <w:right w:val="single" w:sz="8" w:space="0" w:color="FFCE00" w:themeColor="accent6"/>
        </w:tcBorders>
      </w:tcPr>
    </w:tblStylePr>
    <w:tblStylePr w:type="firstCol">
      <w:rPr>
        <w:b/>
        <w:bCs/>
      </w:rPr>
    </w:tblStylePr>
    <w:tblStylePr w:type="lastCol">
      <w:rPr>
        <w:b/>
        <w:bCs/>
      </w:rPr>
    </w:tblStylePr>
    <w:tblStylePr w:type="band1Vert">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tblStylePr w:type="band1Horz">
      <w:tblPr/>
      <w:tcPr>
        <w:tcBorders>
          <w:top w:val="single" w:sz="8" w:space="0" w:color="FFCE00" w:themeColor="accent6"/>
          <w:left w:val="single" w:sz="8" w:space="0" w:color="FFCE00" w:themeColor="accent6"/>
          <w:bottom w:val="single" w:sz="8" w:space="0" w:color="FFCE00" w:themeColor="accent6"/>
          <w:right w:val="single" w:sz="8" w:space="0" w:color="FFCE00" w:themeColor="accent6"/>
        </w:tcBorders>
      </w:tcPr>
    </w:tblStylePr>
  </w:style>
  <w:style w:type="table" w:styleId="LightShading">
    <w:name w:val="Light Shading"/>
    <w:basedOn w:val="TableNormal"/>
    <w:uiPriority w:val="60"/>
    <w:semiHidden/>
    <w:unhideWhenUsed/>
    <w:rsid w:val="009E6ED7"/>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9E6ED7"/>
    <w:rPr>
      <w:color w:val="00654D" w:themeColor="accent1" w:themeShade="BF"/>
    </w:rPr>
    <w:tblPr>
      <w:tblStyleRowBandSize w:val="1"/>
      <w:tblStyleColBandSize w:val="1"/>
      <w:tblBorders>
        <w:top w:val="single" w:sz="8" w:space="0" w:color="008768" w:themeColor="accent1"/>
        <w:bottom w:val="single" w:sz="8" w:space="0" w:color="008768" w:themeColor="accent1"/>
      </w:tblBorders>
    </w:tblPr>
    <w:tblStylePr w:type="fir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lastRow">
      <w:pPr>
        <w:spacing w:before="0" w:after="0" w:line="240" w:lineRule="auto"/>
      </w:pPr>
      <w:rPr>
        <w:b/>
        <w:bCs/>
      </w:rPr>
      <w:tblPr/>
      <w:tcPr>
        <w:tcBorders>
          <w:top w:val="single" w:sz="8" w:space="0" w:color="008768" w:themeColor="accent1"/>
          <w:left w:val="nil"/>
          <w:bottom w:val="single" w:sz="8" w:space="0" w:color="008768"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left w:val="nil"/>
          <w:right w:val="nil"/>
          <w:insideH w:val="nil"/>
          <w:insideV w:val="nil"/>
        </w:tcBorders>
        <w:shd w:val="clear" w:color="auto" w:fill="A2FFE9" w:themeFill="accent1" w:themeFillTint="3F"/>
      </w:tcPr>
    </w:tblStylePr>
  </w:style>
  <w:style w:type="table" w:styleId="LightShading-Accent2">
    <w:name w:val="Light Shading Accent 2"/>
    <w:basedOn w:val="TableNormal"/>
    <w:uiPriority w:val="60"/>
    <w:semiHidden/>
    <w:unhideWhenUsed/>
    <w:rsid w:val="009E6ED7"/>
    <w:rPr>
      <w:color w:val="00272E" w:themeColor="accent2" w:themeShade="BF"/>
    </w:rPr>
    <w:tblPr>
      <w:tblStyleRowBandSize w:val="1"/>
      <w:tblStyleColBandSize w:val="1"/>
      <w:tblBorders>
        <w:top w:val="single" w:sz="8" w:space="0" w:color="00353E" w:themeColor="accent2"/>
        <w:bottom w:val="single" w:sz="8" w:space="0" w:color="00353E" w:themeColor="accent2"/>
      </w:tblBorders>
    </w:tblPr>
    <w:tblStylePr w:type="fir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lastRow">
      <w:pPr>
        <w:spacing w:before="0" w:after="0" w:line="240" w:lineRule="auto"/>
      </w:pPr>
      <w:rPr>
        <w:b/>
        <w:bCs/>
      </w:rPr>
      <w:tblPr/>
      <w:tcPr>
        <w:tcBorders>
          <w:top w:val="single" w:sz="8" w:space="0" w:color="00353E" w:themeColor="accent2"/>
          <w:left w:val="nil"/>
          <w:bottom w:val="single" w:sz="8" w:space="0" w:color="00353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left w:val="nil"/>
          <w:right w:val="nil"/>
          <w:insideH w:val="nil"/>
          <w:insideV w:val="nil"/>
        </w:tcBorders>
        <w:shd w:val="clear" w:color="auto" w:fill="90EEFF" w:themeFill="accent2" w:themeFillTint="3F"/>
      </w:tcPr>
    </w:tblStylePr>
  </w:style>
  <w:style w:type="table" w:styleId="LightShading-Accent3">
    <w:name w:val="Light Shading Accent 3"/>
    <w:basedOn w:val="TableNormal"/>
    <w:uiPriority w:val="60"/>
    <w:semiHidden/>
    <w:unhideWhenUsed/>
    <w:rsid w:val="009E6ED7"/>
    <w:rPr>
      <w:color w:val="88A531" w:themeColor="accent3" w:themeShade="BF"/>
    </w:rPr>
    <w:tblPr>
      <w:tblStyleRowBandSize w:val="1"/>
      <w:tblStyleColBandSize w:val="1"/>
      <w:tblBorders>
        <w:top w:val="single" w:sz="8" w:space="0" w:color="AECC53" w:themeColor="accent3"/>
        <w:bottom w:val="single" w:sz="8" w:space="0" w:color="AECC53" w:themeColor="accent3"/>
      </w:tblBorders>
    </w:tblPr>
    <w:tblStylePr w:type="fir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lastRow">
      <w:pPr>
        <w:spacing w:before="0" w:after="0" w:line="240" w:lineRule="auto"/>
      </w:pPr>
      <w:rPr>
        <w:b/>
        <w:bCs/>
      </w:rPr>
      <w:tblPr/>
      <w:tcPr>
        <w:tcBorders>
          <w:top w:val="single" w:sz="8" w:space="0" w:color="AECC53" w:themeColor="accent3"/>
          <w:left w:val="nil"/>
          <w:bottom w:val="single" w:sz="8" w:space="0" w:color="AECC53"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left w:val="nil"/>
          <w:right w:val="nil"/>
          <w:insideH w:val="nil"/>
          <w:insideV w:val="nil"/>
        </w:tcBorders>
        <w:shd w:val="clear" w:color="auto" w:fill="EAF2D4" w:themeFill="accent3" w:themeFillTint="3F"/>
      </w:tcPr>
    </w:tblStylePr>
  </w:style>
  <w:style w:type="table" w:styleId="LightShading-Accent4">
    <w:name w:val="Light Shading Accent 4"/>
    <w:basedOn w:val="TableNormal"/>
    <w:uiPriority w:val="60"/>
    <w:semiHidden/>
    <w:unhideWhenUsed/>
    <w:rsid w:val="009E6ED7"/>
    <w:rPr>
      <w:color w:val="AB1D0E" w:themeColor="accent4" w:themeShade="BF"/>
    </w:rPr>
    <w:tblPr>
      <w:tblStyleRowBandSize w:val="1"/>
      <w:tblStyleColBandSize w:val="1"/>
      <w:tblBorders>
        <w:top w:val="single" w:sz="8" w:space="0" w:color="E52713" w:themeColor="accent4"/>
        <w:bottom w:val="single" w:sz="8" w:space="0" w:color="E52713" w:themeColor="accent4"/>
      </w:tblBorders>
    </w:tblPr>
    <w:tblStylePr w:type="fir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lastRow">
      <w:pPr>
        <w:spacing w:before="0" w:after="0" w:line="240" w:lineRule="auto"/>
      </w:pPr>
      <w:rPr>
        <w:b/>
        <w:bCs/>
      </w:rPr>
      <w:tblPr/>
      <w:tcPr>
        <w:tcBorders>
          <w:top w:val="single" w:sz="8" w:space="0" w:color="E52713" w:themeColor="accent4"/>
          <w:left w:val="nil"/>
          <w:bottom w:val="single" w:sz="8" w:space="0" w:color="E5271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left w:val="nil"/>
          <w:right w:val="nil"/>
          <w:insideH w:val="nil"/>
          <w:insideV w:val="nil"/>
        </w:tcBorders>
        <w:shd w:val="clear" w:color="auto" w:fill="FAC8C2" w:themeFill="accent4" w:themeFillTint="3F"/>
      </w:tcPr>
    </w:tblStylePr>
  </w:style>
  <w:style w:type="table" w:styleId="LightShading-Accent5">
    <w:name w:val="Light Shading Accent 5"/>
    <w:basedOn w:val="TableNormal"/>
    <w:uiPriority w:val="60"/>
    <w:semiHidden/>
    <w:unhideWhenUsed/>
    <w:rsid w:val="009E6ED7"/>
    <w:rPr>
      <w:color w:val="007374" w:themeColor="accent5" w:themeShade="BF"/>
    </w:rPr>
    <w:tblPr>
      <w:tblStyleRowBandSize w:val="1"/>
      <w:tblStyleColBandSize w:val="1"/>
      <w:tblBorders>
        <w:top w:val="single" w:sz="8" w:space="0" w:color="009A9B" w:themeColor="accent5"/>
        <w:bottom w:val="single" w:sz="8" w:space="0" w:color="009A9B" w:themeColor="accent5"/>
      </w:tblBorders>
    </w:tblPr>
    <w:tblStylePr w:type="fir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lastRow">
      <w:pPr>
        <w:spacing w:before="0" w:after="0" w:line="240" w:lineRule="auto"/>
      </w:pPr>
      <w:rPr>
        <w:b/>
        <w:bCs/>
      </w:rPr>
      <w:tblPr/>
      <w:tcPr>
        <w:tcBorders>
          <w:top w:val="single" w:sz="8" w:space="0" w:color="009A9B" w:themeColor="accent5"/>
          <w:left w:val="nil"/>
          <w:bottom w:val="single" w:sz="8" w:space="0" w:color="009A9B"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left w:val="nil"/>
          <w:right w:val="nil"/>
          <w:insideH w:val="nil"/>
          <w:insideV w:val="nil"/>
        </w:tcBorders>
        <w:shd w:val="clear" w:color="auto" w:fill="A7FEFF" w:themeFill="accent5" w:themeFillTint="3F"/>
      </w:tcPr>
    </w:tblStylePr>
  </w:style>
  <w:style w:type="table" w:styleId="LightShading-Accent6">
    <w:name w:val="Light Shading Accent 6"/>
    <w:basedOn w:val="TableNormal"/>
    <w:uiPriority w:val="60"/>
    <w:semiHidden/>
    <w:unhideWhenUsed/>
    <w:rsid w:val="009E6ED7"/>
    <w:rPr>
      <w:color w:val="BF9A00" w:themeColor="accent6" w:themeShade="BF"/>
    </w:rPr>
    <w:tblPr>
      <w:tblStyleRowBandSize w:val="1"/>
      <w:tblStyleColBandSize w:val="1"/>
      <w:tblBorders>
        <w:top w:val="single" w:sz="8" w:space="0" w:color="FFCE00" w:themeColor="accent6"/>
        <w:bottom w:val="single" w:sz="8" w:space="0" w:color="FFCE00" w:themeColor="accent6"/>
      </w:tblBorders>
    </w:tblPr>
    <w:tblStylePr w:type="fir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lastRow">
      <w:pPr>
        <w:spacing w:before="0" w:after="0" w:line="240" w:lineRule="auto"/>
      </w:pPr>
      <w:rPr>
        <w:b/>
        <w:bCs/>
      </w:rPr>
      <w:tblPr/>
      <w:tcPr>
        <w:tcBorders>
          <w:top w:val="single" w:sz="8" w:space="0" w:color="FFCE00" w:themeColor="accent6"/>
          <w:left w:val="nil"/>
          <w:bottom w:val="single" w:sz="8" w:space="0" w:color="FFCE00"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left w:val="nil"/>
          <w:right w:val="nil"/>
          <w:insideH w:val="nil"/>
          <w:insideV w:val="nil"/>
        </w:tcBorders>
        <w:shd w:val="clear" w:color="auto" w:fill="FFF2C0" w:themeFill="accent6" w:themeFillTint="3F"/>
      </w:tcPr>
    </w:tblStylePr>
  </w:style>
  <w:style w:type="table" w:styleId="MediumGrid1">
    <w:name w:val="Medium Grid 1"/>
    <w:basedOn w:val="TableNormal"/>
    <w:uiPriority w:val="67"/>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insideV w:val="single" w:sz="8" w:space="0" w:color="00E5B0" w:themeColor="accent1" w:themeTint="BF"/>
      </w:tblBorders>
    </w:tblPr>
    <w:tcPr>
      <w:shd w:val="clear" w:color="auto" w:fill="A2FFE9" w:themeFill="accent1" w:themeFillTint="3F"/>
    </w:tcPr>
    <w:tblStylePr w:type="firstRow">
      <w:rPr>
        <w:b/>
        <w:bCs/>
      </w:rPr>
    </w:tblStylePr>
    <w:tblStylePr w:type="lastRow">
      <w:rPr>
        <w:b/>
        <w:bCs/>
      </w:rPr>
      <w:tblPr/>
      <w:tcPr>
        <w:tcBorders>
          <w:top w:val="single" w:sz="18" w:space="0" w:color="00E5B0" w:themeColor="accent1" w:themeTint="BF"/>
        </w:tcBorders>
      </w:tcPr>
    </w:tblStylePr>
    <w:tblStylePr w:type="firstCol">
      <w:rPr>
        <w:b/>
        <w:bCs/>
      </w:rPr>
    </w:tblStylePr>
    <w:tblStylePr w:type="lastCol">
      <w:rPr>
        <w:b/>
        <w:bCs/>
      </w:rPr>
    </w:tblStylePr>
    <w:tblStylePr w:type="band1Vert">
      <w:tblPr/>
      <w:tcPr>
        <w:shd w:val="clear" w:color="auto" w:fill="44FFD3" w:themeFill="accent1" w:themeFillTint="7F"/>
      </w:tcPr>
    </w:tblStylePr>
    <w:tblStylePr w:type="band1Horz">
      <w:tblPr/>
      <w:tcPr>
        <w:shd w:val="clear" w:color="auto" w:fill="44FFD3" w:themeFill="accent1" w:themeFillTint="7F"/>
      </w:tcPr>
    </w:tblStylePr>
  </w:style>
  <w:style w:type="table" w:styleId="MediumGrid1-Accent2">
    <w:name w:val="Medium Grid 1 Accent 2"/>
    <w:basedOn w:val="TableNormal"/>
    <w:uiPriority w:val="67"/>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insideV w:val="single" w:sz="8" w:space="0" w:color="0094AE" w:themeColor="accent2" w:themeTint="BF"/>
      </w:tblBorders>
    </w:tblPr>
    <w:tcPr>
      <w:shd w:val="clear" w:color="auto" w:fill="90EEFF" w:themeFill="accent2" w:themeFillTint="3F"/>
    </w:tcPr>
    <w:tblStylePr w:type="firstRow">
      <w:rPr>
        <w:b/>
        <w:bCs/>
      </w:rPr>
    </w:tblStylePr>
    <w:tblStylePr w:type="lastRow">
      <w:rPr>
        <w:b/>
        <w:bCs/>
      </w:rPr>
      <w:tblPr/>
      <w:tcPr>
        <w:tcBorders>
          <w:top w:val="single" w:sz="18" w:space="0" w:color="0094AE" w:themeColor="accent2" w:themeTint="BF"/>
        </w:tcBorders>
      </w:tcPr>
    </w:tblStylePr>
    <w:tblStylePr w:type="firstCol">
      <w:rPr>
        <w:b/>
        <w:bCs/>
      </w:rPr>
    </w:tblStylePr>
    <w:tblStylePr w:type="lastCol">
      <w:rPr>
        <w:b/>
        <w:bCs/>
      </w:rPr>
    </w:tblStylePr>
    <w:tblStylePr w:type="band1Vert">
      <w:tblPr/>
      <w:tcPr>
        <w:shd w:val="clear" w:color="auto" w:fill="1FDDFF" w:themeFill="accent2" w:themeFillTint="7F"/>
      </w:tcPr>
    </w:tblStylePr>
    <w:tblStylePr w:type="band1Horz">
      <w:tblPr/>
      <w:tcPr>
        <w:shd w:val="clear" w:color="auto" w:fill="1FDDFF" w:themeFill="accent2" w:themeFillTint="7F"/>
      </w:tcPr>
    </w:tblStylePr>
  </w:style>
  <w:style w:type="table" w:styleId="MediumGrid1-Accent3">
    <w:name w:val="Medium Grid 1 Accent 3"/>
    <w:basedOn w:val="TableNormal"/>
    <w:uiPriority w:val="67"/>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insideV w:val="single" w:sz="8" w:space="0" w:color="C1D87D" w:themeColor="accent3" w:themeTint="BF"/>
      </w:tblBorders>
    </w:tblPr>
    <w:tcPr>
      <w:shd w:val="clear" w:color="auto" w:fill="EAF2D4" w:themeFill="accent3" w:themeFillTint="3F"/>
    </w:tcPr>
    <w:tblStylePr w:type="firstRow">
      <w:rPr>
        <w:b/>
        <w:bCs/>
      </w:rPr>
    </w:tblStylePr>
    <w:tblStylePr w:type="lastRow">
      <w:rPr>
        <w:b/>
        <w:bCs/>
      </w:rPr>
      <w:tblPr/>
      <w:tcPr>
        <w:tcBorders>
          <w:top w:val="single" w:sz="18" w:space="0" w:color="C1D87D" w:themeColor="accent3" w:themeTint="BF"/>
        </w:tcBorders>
      </w:tcPr>
    </w:tblStylePr>
    <w:tblStylePr w:type="firstCol">
      <w:rPr>
        <w:b/>
        <w:bCs/>
      </w:rPr>
    </w:tblStylePr>
    <w:tblStylePr w:type="lastCol">
      <w:rPr>
        <w:b/>
        <w:bCs/>
      </w:rPr>
    </w:tblStylePr>
    <w:tblStylePr w:type="band1Vert">
      <w:tblPr/>
      <w:tcPr>
        <w:shd w:val="clear" w:color="auto" w:fill="D6E5A9" w:themeFill="accent3" w:themeFillTint="7F"/>
      </w:tcPr>
    </w:tblStylePr>
    <w:tblStylePr w:type="band1Horz">
      <w:tblPr/>
      <w:tcPr>
        <w:shd w:val="clear" w:color="auto" w:fill="D6E5A9" w:themeFill="accent3" w:themeFillTint="7F"/>
      </w:tcPr>
    </w:tblStylePr>
  </w:style>
  <w:style w:type="table" w:styleId="MediumGrid1-Accent4">
    <w:name w:val="Medium Grid 1 Accent 4"/>
    <w:basedOn w:val="TableNormal"/>
    <w:uiPriority w:val="67"/>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insideV w:val="single" w:sz="8" w:space="0" w:color="F05949" w:themeColor="accent4" w:themeTint="BF"/>
      </w:tblBorders>
    </w:tblPr>
    <w:tcPr>
      <w:shd w:val="clear" w:color="auto" w:fill="FAC8C2" w:themeFill="accent4" w:themeFillTint="3F"/>
    </w:tcPr>
    <w:tblStylePr w:type="firstRow">
      <w:rPr>
        <w:b/>
        <w:bCs/>
      </w:rPr>
    </w:tblStylePr>
    <w:tblStylePr w:type="lastRow">
      <w:rPr>
        <w:b/>
        <w:bCs/>
      </w:rPr>
      <w:tblPr/>
      <w:tcPr>
        <w:tcBorders>
          <w:top w:val="single" w:sz="18" w:space="0" w:color="F05949" w:themeColor="accent4" w:themeTint="BF"/>
        </w:tcBorders>
      </w:tcPr>
    </w:tblStylePr>
    <w:tblStylePr w:type="firstCol">
      <w:rPr>
        <w:b/>
        <w:bCs/>
      </w:rPr>
    </w:tblStylePr>
    <w:tblStylePr w:type="lastCol">
      <w:rPr>
        <w:b/>
        <w:bCs/>
      </w:rPr>
    </w:tblStylePr>
    <w:tblStylePr w:type="band1Vert">
      <w:tblPr/>
      <w:tcPr>
        <w:shd w:val="clear" w:color="auto" w:fill="F59086" w:themeFill="accent4" w:themeFillTint="7F"/>
      </w:tcPr>
    </w:tblStylePr>
    <w:tblStylePr w:type="band1Horz">
      <w:tblPr/>
      <w:tcPr>
        <w:shd w:val="clear" w:color="auto" w:fill="F59086" w:themeFill="accent4" w:themeFillTint="7F"/>
      </w:tcPr>
    </w:tblStylePr>
  </w:style>
  <w:style w:type="table" w:styleId="MediumGrid1-Accent5">
    <w:name w:val="Medium Grid 1 Accent 5"/>
    <w:basedOn w:val="TableNormal"/>
    <w:uiPriority w:val="67"/>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insideV w:val="single" w:sz="8" w:space="0" w:color="00F2F4" w:themeColor="accent5" w:themeTint="BF"/>
      </w:tblBorders>
    </w:tblPr>
    <w:tcPr>
      <w:shd w:val="clear" w:color="auto" w:fill="A7FEFF" w:themeFill="accent5" w:themeFillTint="3F"/>
    </w:tcPr>
    <w:tblStylePr w:type="firstRow">
      <w:rPr>
        <w:b/>
        <w:bCs/>
      </w:rPr>
    </w:tblStylePr>
    <w:tblStylePr w:type="lastRow">
      <w:rPr>
        <w:b/>
        <w:bCs/>
      </w:rPr>
      <w:tblPr/>
      <w:tcPr>
        <w:tcBorders>
          <w:top w:val="single" w:sz="18" w:space="0" w:color="00F2F4" w:themeColor="accent5" w:themeTint="BF"/>
        </w:tcBorders>
      </w:tcPr>
    </w:tblStylePr>
    <w:tblStylePr w:type="firstCol">
      <w:rPr>
        <w:b/>
        <w:bCs/>
      </w:rPr>
    </w:tblStylePr>
    <w:tblStylePr w:type="lastCol">
      <w:rPr>
        <w:b/>
        <w:bCs/>
      </w:rPr>
    </w:tblStylePr>
    <w:tblStylePr w:type="band1Vert">
      <w:tblPr/>
      <w:tcPr>
        <w:shd w:val="clear" w:color="auto" w:fill="4EFDFF" w:themeFill="accent5" w:themeFillTint="7F"/>
      </w:tcPr>
    </w:tblStylePr>
    <w:tblStylePr w:type="band1Horz">
      <w:tblPr/>
      <w:tcPr>
        <w:shd w:val="clear" w:color="auto" w:fill="4EFDFF" w:themeFill="accent5" w:themeFillTint="7F"/>
      </w:tcPr>
    </w:tblStylePr>
  </w:style>
  <w:style w:type="table" w:styleId="MediumGrid1-Accent6">
    <w:name w:val="Medium Grid 1 Accent 6"/>
    <w:basedOn w:val="TableNormal"/>
    <w:uiPriority w:val="67"/>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insideV w:val="single" w:sz="8" w:space="0" w:color="FFDA40" w:themeColor="accent6" w:themeTint="BF"/>
      </w:tblBorders>
    </w:tblPr>
    <w:tcPr>
      <w:shd w:val="clear" w:color="auto" w:fill="FFF2C0" w:themeFill="accent6" w:themeFillTint="3F"/>
    </w:tcPr>
    <w:tblStylePr w:type="firstRow">
      <w:rPr>
        <w:b/>
        <w:bCs/>
      </w:rPr>
    </w:tblStylePr>
    <w:tblStylePr w:type="lastRow">
      <w:rPr>
        <w:b/>
        <w:bCs/>
      </w:rPr>
      <w:tblPr/>
      <w:tcPr>
        <w:tcBorders>
          <w:top w:val="single" w:sz="18" w:space="0" w:color="FFDA40" w:themeColor="accent6" w:themeTint="BF"/>
        </w:tcBorders>
      </w:tcPr>
    </w:tblStylePr>
    <w:tblStylePr w:type="firstCol">
      <w:rPr>
        <w:b/>
        <w:bCs/>
      </w:rPr>
    </w:tblStylePr>
    <w:tblStylePr w:type="lastCol">
      <w:rPr>
        <w:b/>
        <w:bCs/>
      </w:rPr>
    </w:tblStylePr>
    <w:tblStylePr w:type="band1Vert">
      <w:tblPr/>
      <w:tcPr>
        <w:shd w:val="clear" w:color="auto" w:fill="FFE680" w:themeFill="accent6" w:themeFillTint="7F"/>
      </w:tcPr>
    </w:tblStylePr>
    <w:tblStylePr w:type="band1Horz">
      <w:tblPr/>
      <w:tcPr>
        <w:shd w:val="clear" w:color="auto" w:fill="FFE680" w:themeFill="accent6" w:themeFillTint="7F"/>
      </w:tcPr>
    </w:tblStylePr>
  </w:style>
  <w:style w:type="table" w:styleId="MediumGrid2">
    <w:name w:val="Medium Grid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insideH w:val="single" w:sz="8" w:space="0" w:color="008768" w:themeColor="accent1"/>
        <w:insideV w:val="single" w:sz="8" w:space="0" w:color="008768" w:themeColor="accent1"/>
      </w:tblBorders>
    </w:tblPr>
    <w:tcPr>
      <w:shd w:val="clear" w:color="auto" w:fill="A2FFE9" w:themeFill="accent1" w:themeFillTint="3F"/>
    </w:tcPr>
    <w:tblStylePr w:type="firstRow">
      <w:rPr>
        <w:b/>
        <w:bCs/>
        <w:color w:val="000000" w:themeColor="text1"/>
      </w:rPr>
      <w:tblPr/>
      <w:tcPr>
        <w:shd w:val="clear" w:color="auto" w:fill="DAFFF6"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4FFED" w:themeFill="accent1" w:themeFillTint="33"/>
      </w:tcPr>
    </w:tblStylePr>
    <w:tblStylePr w:type="band1Vert">
      <w:tblPr/>
      <w:tcPr>
        <w:shd w:val="clear" w:color="auto" w:fill="44FFD3" w:themeFill="accent1" w:themeFillTint="7F"/>
      </w:tcPr>
    </w:tblStylePr>
    <w:tblStylePr w:type="band1Horz">
      <w:tblPr/>
      <w:tcPr>
        <w:tcBorders>
          <w:insideH w:val="single" w:sz="6" w:space="0" w:color="008768" w:themeColor="accent1"/>
          <w:insideV w:val="single" w:sz="6" w:space="0" w:color="008768" w:themeColor="accent1"/>
        </w:tcBorders>
        <w:shd w:val="clear" w:color="auto" w:fill="44FFD3"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insideH w:val="single" w:sz="8" w:space="0" w:color="00353E" w:themeColor="accent2"/>
        <w:insideV w:val="single" w:sz="8" w:space="0" w:color="00353E" w:themeColor="accent2"/>
      </w:tblBorders>
    </w:tblPr>
    <w:tcPr>
      <w:shd w:val="clear" w:color="auto" w:fill="90EEFF" w:themeFill="accent2" w:themeFillTint="3F"/>
    </w:tcPr>
    <w:tblStylePr w:type="firstRow">
      <w:rPr>
        <w:b/>
        <w:bCs/>
        <w:color w:val="000000" w:themeColor="text1"/>
      </w:rPr>
      <w:tblPr/>
      <w:tcPr>
        <w:shd w:val="clear" w:color="auto" w:fill="D3F8F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5F1FF" w:themeFill="accent2" w:themeFillTint="33"/>
      </w:tcPr>
    </w:tblStylePr>
    <w:tblStylePr w:type="band1Vert">
      <w:tblPr/>
      <w:tcPr>
        <w:shd w:val="clear" w:color="auto" w:fill="1FDDFF" w:themeFill="accent2" w:themeFillTint="7F"/>
      </w:tcPr>
    </w:tblStylePr>
    <w:tblStylePr w:type="band1Horz">
      <w:tblPr/>
      <w:tcPr>
        <w:tcBorders>
          <w:insideH w:val="single" w:sz="6" w:space="0" w:color="00353E" w:themeColor="accent2"/>
          <w:insideV w:val="single" w:sz="6" w:space="0" w:color="00353E" w:themeColor="accent2"/>
        </w:tcBorders>
        <w:shd w:val="clear" w:color="auto" w:fill="1FDDF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insideH w:val="single" w:sz="8" w:space="0" w:color="AECC53" w:themeColor="accent3"/>
        <w:insideV w:val="single" w:sz="8" w:space="0" w:color="AECC53" w:themeColor="accent3"/>
      </w:tblBorders>
    </w:tblPr>
    <w:tcPr>
      <w:shd w:val="clear" w:color="auto" w:fill="EAF2D4" w:themeFill="accent3" w:themeFillTint="3F"/>
    </w:tcPr>
    <w:tblStylePr w:type="firstRow">
      <w:rPr>
        <w:b/>
        <w:bCs/>
        <w:color w:val="000000" w:themeColor="text1"/>
      </w:rPr>
      <w:tblPr/>
      <w:tcPr>
        <w:shd w:val="clear" w:color="auto" w:fill="F6FA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EF4DC" w:themeFill="accent3" w:themeFillTint="33"/>
      </w:tcPr>
    </w:tblStylePr>
    <w:tblStylePr w:type="band1Vert">
      <w:tblPr/>
      <w:tcPr>
        <w:shd w:val="clear" w:color="auto" w:fill="D6E5A9" w:themeFill="accent3" w:themeFillTint="7F"/>
      </w:tcPr>
    </w:tblStylePr>
    <w:tblStylePr w:type="band1Horz">
      <w:tblPr/>
      <w:tcPr>
        <w:tcBorders>
          <w:insideH w:val="single" w:sz="6" w:space="0" w:color="AECC53" w:themeColor="accent3"/>
          <w:insideV w:val="single" w:sz="6" w:space="0" w:color="AECC53" w:themeColor="accent3"/>
        </w:tcBorders>
        <w:shd w:val="clear" w:color="auto" w:fill="D6E5A9"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insideH w:val="single" w:sz="8" w:space="0" w:color="E52713" w:themeColor="accent4"/>
        <w:insideV w:val="single" w:sz="8" w:space="0" w:color="E52713" w:themeColor="accent4"/>
      </w:tblBorders>
    </w:tblPr>
    <w:tcPr>
      <w:shd w:val="clear" w:color="auto" w:fill="FAC8C2" w:themeFill="accent4" w:themeFillTint="3F"/>
    </w:tcPr>
    <w:tblStylePr w:type="firstRow">
      <w:rPr>
        <w:b/>
        <w:bCs/>
        <w:color w:val="000000" w:themeColor="text1"/>
      </w:rPr>
      <w:tblPr/>
      <w:tcPr>
        <w:shd w:val="clear" w:color="auto" w:fill="FDE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D2CE" w:themeFill="accent4" w:themeFillTint="33"/>
      </w:tcPr>
    </w:tblStylePr>
    <w:tblStylePr w:type="band1Vert">
      <w:tblPr/>
      <w:tcPr>
        <w:shd w:val="clear" w:color="auto" w:fill="F59086" w:themeFill="accent4" w:themeFillTint="7F"/>
      </w:tcPr>
    </w:tblStylePr>
    <w:tblStylePr w:type="band1Horz">
      <w:tblPr/>
      <w:tcPr>
        <w:tcBorders>
          <w:insideH w:val="single" w:sz="6" w:space="0" w:color="E52713" w:themeColor="accent4"/>
          <w:insideV w:val="single" w:sz="6" w:space="0" w:color="E52713" w:themeColor="accent4"/>
        </w:tcBorders>
        <w:shd w:val="clear" w:color="auto" w:fill="F59086"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insideH w:val="single" w:sz="8" w:space="0" w:color="009A9B" w:themeColor="accent5"/>
        <w:insideV w:val="single" w:sz="8" w:space="0" w:color="009A9B" w:themeColor="accent5"/>
      </w:tblBorders>
    </w:tblPr>
    <w:tcPr>
      <w:shd w:val="clear" w:color="auto" w:fill="A7FEFF" w:themeFill="accent5" w:themeFillTint="3F"/>
    </w:tcPr>
    <w:tblStylePr w:type="firstRow">
      <w:rPr>
        <w:b/>
        <w:bCs/>
        <w:color w:val="000000" w:themeColor="text1"/>
      </w:rPr>
      <w:tblPr/>
      <w:tcPr>
        <w:shd w:val="clear" w:color="auto" w:fill="DCFEF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EFF" w:themeFill="accent5" w:themeFillTint="33"/>
      </w:tcPr>
    </w:tblStylePr>
    <w:tblStylePr w:type="band1Vert">
      <w:tblPr/>
      <w:tcPr>
        <w:shd w:val="clear" w:color="auto" w:fill="4EFDFF" w:themeFill="accent5" w:themeFillTint="7F"/>
      </w:tcPr>
    </w:tblStylePr>
    <w:tblStylePr w:type="band1Horz">
      <w:tblPr/>
      <w:tcPr>
        <w:tcBorders>
          <w:insideH w:val="single" w:sz="6" w:space="0" w:color="009A9B" w:themeColor="accent5"/>
          <w:insideV w:val="single" w:sz="6" w:space="0" w:color="009A9B" w:themeColor="accent5"/>
        </w:tcBorders>
        <w:shd w:val="clear" w:color="auto" w:fill="4EFDFF"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insideH w:val="single" w:sz="8" w:space="0" w:color="FFCE00" w:themeColor="accent6"/>
        <w:insideV w:val="single" w:sz="8" w:space="0" w:color="FFCE00" w:themeColor="accent6"/>
      </w:tblBorders>
    </w:tblPr>
    <w:tcPr>
      <w:shd w:val="clear" w:color="auto" w:fill="FFF2C0" w:themeFill="accent6" w:themeFillTint="3F"/>
    </w:tcPr>
    <w:tblStylePr w:type="firstRow">
      <w:rPr>
        <w:b/>
        <w:bCs/>
        <w:color w:val="000000" w:themeColor="text1"/>
      </w:rPr>
      <w:tblPr/>
      <w:tcPr>
        <w:shd w:val="clear" w:color="auto" w:fill="FFFAE6"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5CC" w:themeFill="accent6" w:themeFillTint="33"/>
      </w:tcPr>
    </w:tblStylePr>
    <w:tblStylePr w:type="band1Vert">
      <w:tblPr/>
      <w:tcPr>
        <w:shd w:val="clear" w:color="auto" w:fill="FFE680" w:themeFill="accent6" w:themeFillTint="7F"/>
      </w:tcPr>
    </w:tblStylePr>
    <w:tblStylePr w:type="band1Horz">
      <w:tblPr/>
      <w:tcPr>
        <w:tcBorders>
          <w:insideH w:val="single" w:sz="6" w:space="0" w:color="FFCE00" w:themeColor="accent6"/>
          <w:insideV w:val="single" w:sz="6" w:space="0" w:color="FFCE00" w:themeColor="accent6"/>
        </w:tcBorders>
        <w:shd w:val="clear" w:color="auto" w:fill="FFE68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2FFE9"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876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876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876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4FFD3"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4FFD3" w:themeFill="accent1" w:themeFillTint="7F"/>
      </w:tcPr>
    </w:tblStylePr>
  </w:style>
  <w:style w:type="table" w:styleId="MediumGrid3-Accent2">
    <w:name w:val="Medium Grid 3 Accent 2"/>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0EEFF"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353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353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353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1FDDF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1FDDFF" w:themeFill="accent2" w:themeFillTint="7F"/>
      </w:tcPr>
    </w:tblStylePr>
  </w:style>
  <w:style w:type="table" w:styleId="MediumGrid3-Accent3">
    <w:name w:val="Medium Grid 3 Accent 3"/>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AF2D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ECC53"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ECC53"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ECC53"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6E5A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6E5A9" w:themeFill="accent3" w:themeFillTint="7F"/>
      </w:tcPr>
    </w:tblStylePr>
  </w:style>
  <w:style w:type="table" w:styleId="MediumGrid3-Accent4">
    <w:name w:val="Medium Grid 3 Accent 4"/>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C8C2"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5271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5271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5271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59086"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59086" w:themeFill="accent4" w:themeFillTint="7F"/>
      </w:tcPr>
    </w:tblStylePr>
  </w:style>
  <w:style w:type="table" w:styleId="MediumGrid3-Accent5">
    <w:name w:val="Medium Grid 3 Accent 5"/>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EF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A9B"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A9B"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A9B"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DFF"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DFF" w:themeFill="accent5" w:themeFillTint="7F"/>
      </w:tcPr>
    </w:tblStylePr>
  </w:style>
  <w:style w:type="table" w:styleId="MediumGrid3-Accent6">
    <w:name w:val="Medium Grid 3 Accent 6"/>
    <w:basedOn w:val="TableNormal"/>
    <w:uiPriority w:val="69"/>
    <w:semiHidden/>
    <w:unhideWhenUsed/>
    <w:rsid w:val="009E6ED7"/>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2C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E00"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E00"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E00"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68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680" w:themeFill="accent6" w:themeFillTint="7F"/>
      </w:tcPr>
    </w:tblStylePr>
  </w:style>
  <w:style w:type="table" w:styleId="MediumList1">
    <w:name w:val="Medium List 1"/>
    <w:basedOn w:val="TableNormal"/>
    <w:uiPriority w:val="65"/>
    <w:semiHidden/>
    <w:unhideWhenUsed/>
    <w:rsid w:val="009E6ED7"/>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9E6ED7"/>
    <w:rPr>
      <w:color w:val="000000" w:themeColor="text1"/>
    </w:rPr>
    <w:tblPr>
      <w:tblStyleRowBandSize w:val="1"/>
      <w:tblStyleColBandSize w:val="1"/>
      <w:tblBorders>
        <w:top w:val="single" w:sz="8" w:space="0" w:color="008768" w:themeColor="accent1"/>
        <w:bottom w:val="single" w:sz="8" w:space="0" w:color="008768" w:themeColor="accent1"/>
      </w:tblBorders>
    </w:tblPr>
    <w:tblStylePr w:type="firstRow">
      <w:rPr>
        <w:rFonts w:asciiTheme="majorHAnsi" w:eastAsiaTheme="majorEastAsia" w:hAnsiTheme="majorHAnsi" w:cstheme="majorBidi"/>
      </w:rPr>
      <w:tblPr/>
      <w:tcPr>
        <w:tcBorders>
          <w:top w:val="nil"/>
          <w:bottom w:val="single" w:sz="8" w:space="0" w:color="008768" w:themeColor="accent1"/>
        </w:tcBorders>
      </w:tcPr>
    </w:tblStylePr>
    <w:tblStylePr w:type="lastRow">
      <w:rPr>
        <w:b/>
        <w:bCs/>
        <w:color w:val="000000" w:themeColor="text2"/>
      </w:rPr>
      <w:tblPr/>
      <w:tcPr>
        <w:tcBorders>
          <w:top w:val="single" w:sz="8" w:space="0" w:color="008768" w:themeColor="accent1"/>
          <w:bottom w:val="single" w:sz="8" w:space="0" w:color="008768" w:themeColor="accent1"/>
        </w:tcBorders>
      </w:tcPr>
    </w:tblStylePr>
    <w:tblStylePr w:type="firstCol">
      <w:rPr>
        <w:b/>
        <w:bCs/>
      </w:rPr>
    </w:tblStylePr>
    <w:tblStylePr w:type="lastCol">
      <w:rPr>
        <w:b/>
        <w:bCs/>
      </w:rPr>
      <w:tblPr/>
      <w:tcPr>
        <w:tcBorders>
          <w:top w:val="single" w:sz="8" w:space="0" w:color="008768" w:themeColor="accent1"/>
          <w:bottom w:val="single" w:sz="8" w:space="0" w:color="008768" w:themeColor="accent1"/>
        </w:tcBorders>
      </w:tcPr>
    </w:tblStylePr>
    <w:tblStylePr w:type="band1Vert">
      <w:tblPr/>
      <w:tcPr>
        <w:shd w:val="clear" w:color="auto" w:fill="A2FFE9" w:themeFill="accent1" w:themeFillTint="3F"/>
      </w:tcPr>
    </w:tblStylePr>
    <w:tblStylePr w:type="band1Horz">
      <w:tblPr/>
      <w:tcPr>
        <w:shd w:val="clear" w:color="auto" w:fill="A2FFE9" w:themeFill="accent1" w:themeFillTint="3F"/>
      </w:tcPr>
    </w:tblStylePr>
  </w:style>
  <w:style w:type="table" w:styleId="MediumList1-Accent2">
    <w:name w:val="Medium List 1 Accent 2"/>
    <w:basedOn w:val="TableNormal"/>
    <w:uiPriority w:val="65"/>
    <w:semiHidden/>
    <w:unhideWhenUsed/>
    <w:rsid w:val="009E6ED7"/>
    <w:rPr>
      <w:color w:val="000000" w:themeColor="text1"/>
    </w:rPr>
    <w:tblPr>
      <w:tblStyleRowBandSize w:val="1"/>
      <w:tblStyleColBandSize w:val="1"/>
      <w:tblBorders>
        <w:top w:val="single" w:sz="8" w:space="0" w:color="00353E" w:themeColor="accent2"/>
        <w:bottom w:val="single" w:sz="8" w:space="0" w:color="00353E" w:themeColor="accent2"/>
      </w:tblBorders>
    </w:tblPr>
    <w:tblStylePr w:type="firstRow">
      <w:rPr>
        <w:rFonts w:asciiTheme="majorHAnsi" w:eastAsiaTheme="majorEastAsia" w:hAnsiTheme="majorHAnsi" w:cstheme="majorBidi"/>
      </w:rPr>
      <w:tblPr/>
      <w:tcPr>
        <w:tcBorders>
          <w:top w:val="nil"/>
          <w:bottom w:val="single" w:sz="8" w:space="0" w:color="00353E" w:themeColor="accent2"/>
        </w:tcBorders>
      </w:tcPr>
    </w:tblStylePr>
    <w:tblStylePr w:type="lastRow">
      <w:rPr>
        <w:b/>
        <w:bCs/>
        <w:color w:val="000000" w:themeColor="text2"/>
      </w:rPr>
      <w:tblPr/>
      <w:tcPr>
        <w:tcBorders>
          <w:top w:val="single" w:sz="8" w:space="0" w:color="00353E" w:themeColor="accent2"/>
          <w:bottom w:val="single" w:sz="8" w:space="0" w:color="00353E" w:themeColor="accent2"/>
        </w:tcBorders>
      </w:tcPr>
    </w:tblStylePr>
    <w:tblStylePr w:type="firstCol">
      <w:rPr>
        <w:b/>
        <w:bCs/>
      </w:rPr>
    </w:tblStylePr>
    <w:tblStylePr w:type="lastCol">
      <w:rPr>
        <w:b/>
        <w:bCs/>
      </w:rPr>
      <w:tblPr/>
      <w:tcPr>
        <w:tcBorders>
          <w:top w:val="single" w:sz="8" w:space="0" w:color="00353E" w:themeColor="accent2"/>
          <w:bottom w:val="single" w:sz="8" w:space="0" w:color="00353E" w:themeColor="accent2"/>
        </w:tcBorders>
      </w:tcPr>
    </w:tblStylePr>
    <w:tblStylePr w:type="band1Vert">
      <w:tblPr/>
      <w:tcPr>
        <w:shd w:val="clear" w:color="auto" w:fill="90EEFF" w:themeFill="accent2" w:themeFillTint="3F"/>
      </w:tcPr>
    </w:tblStylePr>
    <w:tblStylePr w:type="band1Horz">
      <w:tblPr/>
      <w:tcPr>
        <w:shd w:val="clear" w:color="auto" w:fill="90EEFF" w:themeFill="accent2" w:themeFillTint="3F"/>
      </w:tcPr>
    </w:tblStylePr>
  </w:style>
  <w:style w:type="table" w:styleId="MediumList1-Accent3">
    <w:name w:val="Medium List 1 Accent 3"/>
    <w:basedOn w:val="TableNormal"/>
    <w:uiPriority w:val="65"/>
    <w:semiHidden/>
    <w:unhideWhenUsed/>
    <w:rsid w:val="009E6ED7"/>
    <w:rPr>
      <w:color w:val="000000" w:themeColor="text1"/>
    </w:rPr>
    <w:tblPr>
      <w:tblStyleRowBandSize w:val="1"/>
      <w:tblStyleColBandSize w:val="1"/>
      <w:tblBorders>
        <w:top w:val="single" w:sz="8" w:space="0" w:color="AECC53" w:themeColor="accent3"/>
        <w:bottom w:val="single" w:sz="8" w:space="0" w:color="AECC53" w:themeColor="accent3"/>
      </w:tblBorders>
    </w:tblPr>
    <w:tblStylePr w:type="firstRow">
      <w:rPr>
        <w:rFonts w:asciiTheme="majorHAnsi" w:eastAsiaTheme="majorEastAsia" w:hAnsiTheme="majorHAnsi" w:cstheme="majorBidi"/>
      </w:rPr>
      <w:tblPr/>
      <w:tcPr>
        <w:tcBorders>
          <w:top w:val="nil"/>
          <w:bottom w:val="single" w:sz="8" w:space="0" w:color="AECC53" w:themeColor="accent3"/>
        </w:tcBorders>
      </w:tcPr>
    </w:tblStylePr>
    <w:tblStylePr w:type="lastRow">
      <w:rPr>
        <w:b/>
        <w:bCs/>
        <w:color w:val="000000" w:themeColor="text2"/>
      </w:rPr>
      <w:tblPr/>
      <w:tcPr>
        <w:tcBorders>
          <w:top w:val="single" w:sz="8" w:space="0" w:color="AECC53" w:themeColor="accent3"/>
          <w:bottom w:val="single" w:sz="8" w:space="0" w:color="AECC53" w:themeColor="accent3"/>
        </w:tcBorders>
      </w:tcPr>
    </w:tblStylePr>
    <w:tblStylePr w:type="firstCol">
      <w:rPr>
        <w:b/>
        <w:bCs/>
      </w:rPr>
    </w:tblStylePr>
    <w:tblStylePr w:type="lastCol">
      <w:rPr>
        <w:b/>
        <w:bCs/>
      </w:rPr>
      <w:tblPr/>
      <w:tcPr>
        <w:tcBorders>
          <w:top w:val="single" w:sz="8" w:space="0" w:color="AECC53" w:themeColor="accent3"/>
          <w:bottom w:val="single" w:sz="8" w:space="0" w:color="AECC53" w:themeColor="accent3"/>
        </w:tcBorders>
      </w:tcPr>
    </w:tblStylePr>
    <w:tblStylePr w:type="band1Vert">
      <w:tblPr/>
      <w:tcPr>
        <w:shd w:val="clear" w:color="auto" w:fill="EAF2D4" w:themeFill="accent3" w:themeFillTint="3F"/>
      </w:tcPr>
    </w:tblStylePr>
    <w:tblStylePr w:type="band1Horz">
      <w:tblPr/>
      <w:tcPr>
        <w:shd w:val="clear" w:color="auto" w:fill="EAF2D4" w:themeFill="accent3" w:themeFillTint="3F"/>
      </w:tcPr>
    </w:tblStylePr>
  </w:style>
  <w:style w:type="table" w:styleId="MediumList1-Accent4">
    <w:name w:val="Medium List 1 Accent 4"/>
    <w:basedOn w:val="TableNormal"/>
    <w:uiPriority w:val="65"/>
    <w:semiHidden/>
    <w:unhideWhenUsed/>
    <w:rsid w:val="009E6ED7"/>
    <w:rPr>
      <w:color w:val="000000" w:themeColor="text1"/>
    </w:rPr>
    <w:tblPr>
      <w:tblStyleRowBandSize w:val="1"/>
      <w:tblStyleColBandSize w:val="1"/>
      <w:tblBorders>
        <w:top w:val="single" w:sz="8" w:space="0" w:color="E52713" w:themeColor="accent4"/>
        <w:bottom w:val="single" w:sz="8" w:space="0" w:color="E52713" w:themeColor="accent4"/>
      </w:tblBorders>
    </w:tblPr>
    <w:tblStylePr w:type="firstRow">
      <w:rPr>
        <w:rFonts w:asciiTheme="majorHAnsi" w:eastAsiaTheme="majorEastAsia" w:hAnsiTheme="majorHAnsi" w:cstheme="majorBidi"/>
      </w:rPr>
      <w:tblPr/>
      <w:tcPr>
        <w:tcBorders>
          <w:top w:val="nil"/>
          <w:bottom w:val="single" w:sz="8" w:space="0" w:color="E52713" w:themeColor="accent4"/>
        </w:tcBorders>
      </w:tcPr>
    </w:tblStylePr>
    <w:tblStylePr w:type="lastRow">
      <w:rPr>
        <w:b/>
        <w:bCs/>
        <w:color w:val="000000" w:themeColor="text2"/>
      </w:rPr>
      <w:tblPr/>
      <w:tcPr>
        <w:tcBorders>
          <w:top w:val="single" w:sz="8" w:space="0" w:color="E52713" w:themeColor="accent4"/>
          <w:bottom w:val="single" w:sz="8" w:space="0" w:color="E52713" w:themeColor="accent4"/>
        </w:tcBorders>
      </w:tcPr>
    </w:tblStylePr>
    <w:tblStylePr w:type="firstCol">
      <w:rPr>
        <w:b/>
        <w:bCs/>
      </w:rPr>
    </w:tblStylePr>
    <w:tblStylePr w:type="lastCol">
      <w:rPr>
        <w:b/>
        <w:bCs/>
      </w:rPr>
      <w:tblPr/>
      <w:tcPr>
        <w:tcBorders>
          <w:top w:val="single" w:sz="8" w:space="0" w:color="E52713" w:themeColor="accent4"/>
          <w:bottom w:val="single" w:sz="8" w:space="0" w:color="E52713" w:themeColor="accent4"/>
        </w:tcBorders>
      </w:tcPr>
    </w:tblStylePr>
    <w:tblStylePr w:type="band1Vert">
      <w:tblPr/>
      <w:tcPr>
        <w:shd w:val="clear" w:color="auto" w:fill="FAC8C2" w:themeFill="accent4" w:themeFillTint="3F"/>
      </w:tcPr>
    </w:tblStylePr>
    <w:tblStylePr w:type="band1Horz">
      <w:tblPr/>
      <w:tcPr>
        <w:shd w:val="clear" w:color="auto" w:fill="FAC8C2" w:themeFill="accent4" w:themeFillTint="3F"/>
      </w:tcPr>
    </w:tblStylePr>
  </w:style>
  <w:style w:type="table" w:styleId="MediumList1-Accent5">
    <w:name w:val="Medium List 1 Accent 5"/>
    <w:basedOn w:val="TableNormal"/>
    <w:uiPriority w:val="65"/>
    <w:semiHidden/>
    <w:unhideWhenUsed/>
    <w:rsid w:val="009E6ED7"/>
    <w:rPr>
      <w:color w:val="000000" w:themeColor="text1"/>
    </w:rPr>
    <w:tblPr>
      <w:tblStyleRowBandSize w:val="1"/>
      <w:tblStyleColBandSize w:val="1"/>
      <w:tblBorders>
        <w:top w:val="single" w:sz="8" w:space="0" w:color="009A9B" w:themeColor="accent5"/>
        <w:bottom w:val="single" w:sz="8" w:space="0" w:color="009A9B" w:themeColor="accent5"/>
      </w:tblBorders>
    </w:tblPr>
    <w:tblStylePr w:type="firstRow">
      <w:rPr>
        <w:rFonts w:asciiTheme="majorHAnsi" w:eastAsiaTheme="majorEastAsia" w:hAnsiTheme="majorHAnsi" w:cstheme="majorBidi"/>
      </w:rPr>
      <w:tblPr/>
      <w:tcPr>
        <w:tcBorders>
          <w:top w:val="nil"/>
          <w:bottom w:val="single" w:sz="8" w:space="0" w:color="009A9B" w:themeColor="accent5"/>
        </w:tcBorders>
      </w:tcPr>
    </w:tblStylePr>
    <w:tblStylePr w:type="lastRow">
      <w:rPr>
        <w:b/>
        <w:bCs/>
        <w:color w:val="000000" w:themeColor="text2"/>
      </w:rPr>
      <w:tblPr/>
      <w:tcPr>
        <w:tcBorders>
          <w:top w:val="single" w:sz="8" w:space="0" w:color="009A9B" w:themeColor="accent5"/>
          <w:bottom w:val="single" w:sz="8" w:space="0" w:color="009A9B" w:themeColor="accent5"/>
        </w:tcBorders>
      </w:tcPr>
    </w:tblStylePr>
    <w:tblStylePr w:type="firstCol">
      <w:rPr>
        <w:b/>
        <w:bCs/>
      </w:rPr>
    </w:tblStylePr>
    <w:tblStylePr w:type="lastCol">
      <w:rPr>
        <w:b/>
        <w:bCs/>
      </w:rPr>
      <w:tblPr/>
      <w:tcPr>
        <w:tcBorders>
          <w:top w:val="single" w:sz="8" w:space="0" w:color="009A9B" w:themeColor="accent5"/>
          <w:bottom w:val="single" w:sz="8" w:space="0" w:color="009A9B" w:themeColor="accent5"/>
        </w:tcBorders>
      </w:tcPr>
    </w:tblStylePr>
    <w:tblStylePr w:type="band1Vert">
      <w:tblPr/>
      <w:tcPr>
        <w:shd w:val="clear" w:color="auto" w:fill="A7FEFF" w:themeFill="accent5" w:themeFillTint="3F"/>
      </w:tcPr>
    </w:tblStylePr>
    <w:tblStylePr w:type="band1Horz">
      <w:tblPr/>
      <w:tcPr>
        <w:shd w:val="clear" w:color="auto" w:fill="A7FEFF" w:themeFill="accent5" w:themeFillTint="3F"/>
      </w:tcPr>
    </w:tblStylePr>
  </w:style>
  <w:style w:type="table" w:styleId="MediumList1-Accent6">
    <w:name w:val="Medium List 1 Accent 6"/>
    <w:basedOn w:val="TableNormal"/>
    <w:uiPriority w:val="65"/>
    <w:semiHidden/>
    <w:unhideWhenUsed/>
    <w:rsid w:val="009E6ED7"/>
    <w:rPr>
      <w:color w:val="000000" w:themeColor="text1"/>
    </w:rPr>
    <w:tblPr>
      <w:tblStyleRowBandSize w:val="1"/>
      <w:tblStyleColBandSize w:val="1"/>
      <w:tblBorders>
        <w:top w:val="single" w:sz="8" w:space="0" w:color="FFCE00" w:themeColor="accent6"/>
        <w:bottom w:val="single" w:sz="8" w:space="0" w:color="FFCE00" w:themeColor="accent6"/>
      </w:tblBorders>
    </w:tblPr>
    <w:tblStylePr w:type="firstRow">
      <w:rPr>
        <w:rFonts w:asciiTheme="majorHAnsi" w:eastAsiaTheme="majorEastAsia" w:hAnsiTheme="majorHAnsi" w:cstheme="majorBidi"/>
      </w:rPr>
      <w:tblPr/>
      <w:tcPr>
        <w:tcBorders>
          <w:top w:val="nil"/>
          <w:bottom w:val="single" w:sz="8" w:space="0" w:color="FFCE00" w:themeColor="accent6"/>
        </w:tcBorders>
      </w:tcPr>
    </w:tblStylePr>
    <w:tblStylePr w:type="lastRow">
      <w:rPr>
        <w:b/>
        <w:bCs/>
        <w:color w:val="000000" w:themeColor="text2"/>
      </w:rPr>
      <w:tblPr/>
      <w:tcPr>
        <w:tcBorders>
          <w:top w:val="single" w:sz="8" w:space="0" w:color="FFCE00" w:themeColor="accent6"/>
          <w:bottom w:val="single" w:sz="8" w:space="0" w:color="FFCE00" w:themeColor="accent6"/>
        </w:tcBorders>
      </w:tcPr>
    </w:tblStylePr>
    <w:tblStylePr w:type="firstCol">
      <w:rPr>
        <w:b/>
        <w:bCs/>
      </w:rPr>
    </w:tblStylePr>
    <w:tblStylePr w:type="lastCol">
      <w:rPr>
        <w:b/>
        <w:bCs/>
      </w:rPr>
      <w:tblPr/>
      <w:tcPr>
        <w:tcBorders>
          <w:top w:val="single" w:sz="8" w:space="0" w:color="FFCE00" w:themeColor="accent6"/>
          <w:bottom w:val="single" w:sz="8" w:space="0" w:color="FFCE00" w:themeColor="accent6"/>
        </w:tcBorders>
      </w:tcPr>
    </w:tblStylePr>
    <w:tblStylePr w:type="band1Vert">
      <w:tblPr/>
      <w:tcPr>
        <w:shd w:val="clear" w:color="auto" w:fill="FFF2C0" w:themeFill="accent6" w:themeFillTint="3F"/>
      </w:tcPr>
    </w:tblStylePr>
    <w:tblStylePr w:type="band1Horz">
      <w:tblPr/>
      <w:tcPr>
        <w:shd w:val="clear" w:color="auto" w:fill="FFF2C0" w:themeFill="accent6" w:themeFillTint="3F"/>
      </w:tcPr>
    </w:tblStylePr>
  </w:style>
  <w:style w:type="table" w:styleId="MediumList2">
    <w:name w:val="Medium Lis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8768" w:themeColor="accent1"/>
        <w:left w:val="single" w:sz="8" w:space="0" w:color="008768" w:themeColor="accent1"/>
        <w:bottom w:val="single" w:sz="8" w:space="0" w:color="008768" w:themeColor="accent1"/>
        <w:right w:val="single" w:sz="8" w:space="0" w:color="008768" w:themeColor="accent1"/>
      </w:tblBorders>
    </w:tblPr>
    <w:tblStylePr w:type="firstRow">
      <w:rPr>
        <w:sz w:val="24"/>
        <w:szCs w:val="24"/>
      </w:rPr>
      <w:tblPr/>
      <w:tcPr>
        <w:tcBorders>
          <w:top w:val="nil"/>
          <w:left w:val="nil"/>
          <w:bottom w:val="single" w:sz="24" w:space="0" w:color="008768" w:themeColor="accent1"/>
          <w:right w:val="nil"/>
          <w:insideH w:val="nil"/>
          <w:insideV w:val="nil"/>
        </w:tcBorders>
        <w:shd w:val="clear" w:color="auto" w:fill="FFFFFF" w:themeFill="background1"/>
      </w:tcPr>
    </w:tblStylePr>
    <w:tblStylePr w:type="lastRow">
      <w:tblPr/>
      <w:tcPr>
        <w:tcBorders>
          <w:top w:val="single" w:sz="8" w:space="0" w:color="00876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8768" w:themeColor="accent1"/>
          <w:insideH w:val="nil"/>
          <w:insideV w:val="nil"/>
        </w:tcBorders>
        <w:shd w:val="clear" w:color="auto" w:fill="FFFFFF" w:themeFill="background1"/>
      </w:tcPr>
    </w:tblStylePr>
    <w:tblStylePr w:type="lastCol">
      <w:tblPr/>
      <w:tcPr>
        <w:tcBorders>
          <w:top w:val="nil"/>
          <w:left w:val="single" w:sz="8" w:space="0" w:color="00876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2FFE9" w:themeFill="accent1" w:themeFillTint="3F"/>
      </w:tcPr>
    </w:tblStylePr>
    <w:tblStylePr w:type="band1Horz">
      <w:tblPr/>
      <w:tcPr>
        <w:tcBorders>
          <w:top w:val="nil"/>
          <w:bottom w:val="nil"/>
          <w:insideH w:val="nil"/>
          <w:insideV w:val="nil"/>
        </w:tcBorders>
        <w:shd w:val="clear" w:color="auto" w:fill="A2FFE9"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353E" w:themeColor="accent2"/>
        <w:left w:val="single" w:sz="8" w:space="0" w:color="00353E" w:themeColor="accent2"/>
        <w:bottom w:val="single" w:sz="8" w:space="0" w:color="00353E" w:themeColor="accent2"/>
        <w:right w:val="single" w:sz="8" w:space="0" w:color="00353E" w:themeColor="accent2"/>
      </w:tblBorders>
    </w:tblPr>
    <w:tblStylePr w:type="firstRow">
      <w:rPr>
        <w:sz w:val="24"/>
        <w:szCs w:val="24"/>
      </w:rPr>
      <w:tblPr/>
      <w:tcPr>
        <w:tcBorders>
          <w:top w:val="nil"/>
          <w:left w:val="nil"/>
          <w:bottom w:val="single" w:sz="24" w:space="0" w:color="00353E" w:themeColor="accent2"/>
          <w:right w:val="nil"/>
          <w:insideH w:val="nil"/>
          <w:insideV w:val="nil"/>
        </w:tcBorders>
        <w:shd w:val="clear" w:color="auto" w:fill="FFFFFF" w:themeFill="background1"/>
      </w:tcPr>
    </w:tblStylePr>
    <w:tblStylePr w:type="lastRow">
      <w:tblPr/>
      <w:tcPr>
        <w:tcBorders>
          <w:top w:val="single" w:sz="8" w:space="0" w:color="00353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353E" w:themeColor="accent2"/>
          <w:insideH w:val="nil"/>
          <w:insideV w:val="nil"/>
        </w:tcBorders>
        <w:shd w:val="clear" w:color="auto" w:fill="FFFFFF" w:themeFill="background1"/>
      </w:tcPr>
    </w:tblStylePr>
    <w:tblStylePr w:type="lastCol">
      <w:tblPr/>
      <w:tcPr>
        <w:tcBorders>
          <w:top w:val="nil"/>
          <w:left w:val="single" w:sz="8" w:space="0" w:color="00353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0EEFF" w:themeFill="accent2" w:themeFillTint="3F"/>
      </w:tcPr>
    </w:tblStylePr>
    <w:tblStylePr w:type="band1Horz">
      <w:tblPr/>
      <w:tcPr>
        <w:tcBorders>
          <w:top w:val="nil"/>
          <w:bottom w:val="nil"/>
          <w:insideH w:val="nil"/>
          <w:insideV w:val="nil"/>
        </w:tcBorders>
        <w:shd w:val="clear" w:color="auto" w:fill="90EEFF"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AECC53" w:themeColor="accent3"/>
        <w:left w:val="single" w:sz="8" w:space="0" w:color="AECC53" w:themeColor="accent3"/>
        <w:bottom w:val="single" w:sz="8" w:space="0" w:color="AECC53" w:themeColor="accent3"/>
        <w:right w:val="single" w:sz="8" w:space="0" w:color="AECC53" w:themeColor="accent3"/>
      </w:tblBorders>
    </w:tblPr>
    <w:tblStylePr w:type="firstRow">
      <w:rPr>
        <w:sz w:val="24"/>
        <w:szCs w:val="24"/>
      </w:rPr>
      <w:tblPr/>
      <w:tcPr>
        <w:tcBorders>
          <w:top w:val="nil"/>
          <w:left w:val="nil"/>
          <w:bottom w:val="single" w:sz="24" w:space="0" w:color="AECC53" w:themeColor="accent3"/>
          <w:right w:val="nil"/>
          <w:insideH w:val="nil"/>
          <w:insideV w:val="nil"/>
        </w:tcBorders>
        <w:shd w:val="clear" w:color="auto" w:fill="FFFFFF" w:themeFill="background1"/>
      </w:tcPr>
    </w:tblStylePr>
    <w:tblStylePr w:type="lastRow">
      <w:tblPr/>
      <w:tcPr>
        <w:tcBorders>
          <w:top w:val="single" w:sz="8" w:space="0" w:color="AECC53"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ECC53" w:themeColor="accent3"/>
          <w:insideH w:val="nil"/>
          <w:insideV w:val="nil"/>
        </w:tcBorders>
        <w:shd w:val="clear" w:color="auto" w:fill="FFFFFF" w:themeFill="background1"/>
      </w:tcPr>
    </w:tblStylePr>
    <w:tblStylePr w:type="lastCol">
      <w:tblPr/>
      <w:tcPr>
        <w:tcBorders>
          <w:top w:val="nil"/>
          <w:left w:val="single" w:sz="8" w:space="0" w:color="AECC53"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AF2D4" w:themeFill="accent3" w:themeFillTint="3F"/>
      </w:tcPr>
    </w:tblStylePr>
    <w:tblStylePr w:type="band1Horz">
      <w:tblPr/>
      <w:tcPr>
        <w:tcBorders>
          <w:top w:val="nil"/>
          <w:bottom w:val="nil"/>
          <w:insideH w:val="nil"/>
          <w:insideV w:val="nil"/>
        </w:tcBorders>
        <w:shd w:val="clear" w:color="auto" w:fill="EAF2D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E52713" w:themeColor="accent4"/>
        <w:left w:val="single" w:sz="8" w:space="0" w:color="E52713" w:themeColor="accent4"/>
        <w:bottom w:val="single" w:sz="8" w:space="0" w:color="E52713" w:themeColor="accent4"/>
        <w:right w:val="single" w:sz="8" w:space="0" w:color="E52713" w:themeColor="accent4"/>
      </w:tblBorders>
    </w:tblPr>
    <w:tblStylePr w:type="firstRow">
      <w:rPr>
        <w:sz w:val="24"/>
        <w:szCs w:val="24"/>
      </w:rPr>
      <w:tblPr/>
      <w:tcPr>
        <w:tcBorders>
          <w:top w:val="nil"/>
          <w:left w:val="nil"/>
          <w:bottom w:val="single" w:sz="24" w:space="0" w:color="E52713" w:themeColor="accent4"/>
          <w:right w:val="nil"/>
          <w:insideH w:val="nil"/>
          <w:insideV w:val="nil"/>
        </w:tcBorders>
        <w:shd w:val="clear" w:color="auto" w:fill="FFFFFF" w:themeFill="background1"/>
      </w:tcPr>
    </w:tblStylePr>
    <w:tblStylePr w:type="lastRow">
      <w:tblPr/>
      <w:tcPr>
        <w:tcBorders>
          <w:top w:val="single" w:sz="8" w:space="0" w:color="E5271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52713" w:themeColor="accent4"/>
          <w:insideH w:val="nil"/>
          <w:insideV w:val="nil"/>
        </w:tcBorders>
        <w:shd w:val="clear" w:color="auto" w:fill="FFFFFF" w:themeFill="background1"/>
      </w:tcPr>
    </w:tblStylePr>
    <w:tblStylePr w:type="lastCol">
      <w:tblPr/>
      <w:tcPr>
        <w:tcBorders>
          <w:top w:val="nil"/>
          <w:left w:val="single" w:sz="8" w:space="0" w:color="E5271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C8C2" w:themeFill="accent4" w:themeFillTint="3F"/>
      </w:tcPr>
    </w:tblStylePr>
    <w:tblStylePr w:type="band1Horz">
      <w:tblPr/>
      <w:tcPr>
        <w:tcBorders>
          <w:top w:val="nil"/>
          <w:bottom w:val="nil"/>
          <w:insideH w:val="nil"/>
          <w:insideV w:val="nil"/>
        </w:tcBorders>
        <w:shd w:val="clear" w:color="auto" w:fill="FAC8C2"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009A9B" w:themeColor="accent5"/>
        <w:left w:val="single" w:sz="8" w:space="0" w:color="009A9B" w:themeColor="accent5"/>
        <w:bottom w:val="single" w:sz="8" w:space="0" w:color="009A9B" w:themeColor="accent5"/>
        <w:right w:val="single" w:sz="8" w:space="0" w:color="009A9B" w:themeColor="accent5"/>
      </w:tblBorders>
    </w:tblPr>
    <w:tblStylePr w:type="firstRow">
      <w:rPr>
        <w:sz w:val="24"/>
        <w:szCs w:val="24"/>
      </w:rPr>
      <w:tblPr/>
      <w:tcPr>
        <w:tcBorders>
          <w:top w:val="nil"/>
          <w:left w:val="nil"/>
          <w:bottom w:val="single" w:sz="24" w:space="0" w:color="009A9B" w:themeColor="accent5"/>
          <w:right w:val="nil"/>
          <w:insideH w:val="nil"/>
          <w:insideV w:val="nil"/>
        </w:tcBorders>
        <w:shd w:val="clear" w:color="auto" w:fill="FFFFFF" w:themeFill="background1"/>
      </w:tcPr>
    </w:tblStylePr>
    <w:tblStylePr w:type="lastRow">
      <w:tblPr/>
      <w:tcPr>
        <w:tcBorders>
          <w:top w:val="single" w:sz="8" w:space="0" w:color="009A9B"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A9B" w:themeColor="accent5"/>
          <w:insideH w:val="nil"/>
          <w:insideV w:val="nil"/>
        </w:tcBorders>
        <w:shd w:val="clear" w:color="auto" w:fill="FFFFFF" w:themeFill="background1"/>
      </w:tcPr>
    </w:tblStylePr>
    <w:tblStylePr w:type="lastCol">
      <w:tblPr/>
      <w:tcPr>
        <w:tcBorders>
          <w:top w:val="nil"/>
          <w:left w:val="single" w:sz="8" w:space="0" w:color="009A9B"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EFF" w:themeFill="accent5" w:themeFillTint="3F"/>
      </w:tcPr>
    </w:tblStylePr>
    <w:tblStylePr w:type="band1Horz">
      <w:tblPr/>
      <w:tcPr>
        <w:tcBorders>
          <w:top w:val="nil"/>
          <w:bottom w:val="nil"/>
          <w:insideH w:val="nil"/>
          <w:insideV w:val="nil"/>
        </w:tcBorders>
        <w:shd w:val="clear" w:color="auto" w:fill="A7FEF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9E6ED7"/>
    <w:rPr>
      <w:rFonts w:asciiTheme="majorHAnsi" w:eastAsiaTheme="majorEastAsia" w:hAnsiTheme="majorHAnsi" w:cstheme="majorBidi"/>
      <w:color w:val="000000" w:themeColor="text1"/>
    </w:rPr>
    <w:tblPr>
      <w:tblStyleRowBandSize w:val="1"/>
      <w:tblStyleColBandSize w:val="1"/>
      <w:tblBorders>
        <w:top w:val="single" w:sz="8" w:space="0" w:color="FFCE00" w:themeColor="accent6"/>
        <w:left w:val="single" w:sz="8" w:space="0" w:color="FFCE00" w:themeColor="accent6"/>
        <w:bottom w:val="single" w:sz="8" w:space="0" w:color="FFCE00" w:themeColor="accent6"/>
        <w:right w:val="single" w:sz="8" w:space="0" w:color="FFCE00" w:themeColor="accent6"/>
      </w:tblBorders>
    </w:tblPr>
    <w:tblStylePr w:type="firstRow">
      <w:rPr>
        <w:sz w:val="24"/>
        <w:szCs w:val="24"/>
      </w:rPr>
      <w:tblPr/>
      <w:tcPr>
        <w:tcBorders>
          <w:top w:val="nil"/>
          <w:left w:val="nil"/>
          <w:bottom w:val="single" w:sz="24" w:space="0" w:color="FFCE00" w:themeColor="accent6"/>
          <w:right w:val="nil"/>
          <w:insideH w:val="nil"/>
          <w:insideV w:val="nil"/>
        </w:tcBorders>
        <w:shd w:val="clear" w:color="auto" w:fill="FFFFFF" w:themeFill="background1"/>
      </w:tcPr>
    </w:tblStylePr>
    <w:tblStylePr w:type="lastRow">
      <w:tblPr/>
      <w:tcPr>
        <w:tcBorders>
          <w:top w:val="single" w:sz="8" w:space="0" w:color="FFCE00"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E00" w:themeColor="accent6"/>
          <w:insideH w:val="nil"/>
          <w:insideV w:val="nil"/>
        </w:tcBorders>
        <w:shd w:val="clear" w:color="auto" w:fill="FFFFFF" w:themeFill="background1"/>
      </w:tcPr>
    </w:tblStylePr>
    <w:tblStylePr w:type="lastCol">
      <w:tblPr/>
      <w:tcPr>
        <w:tcBorders>
          <w:top w:val="nil"/>
          <w:left w:val="single" w:sz="8" w:space="0" w:color="FFCE00"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2C0" w:themeFill="accent6" w:themeFillTint="3F"/>
      </w:tcPr>
    </w:tblStylePr>
    <w:tblStylePr w:type="band1Horz">
      <w:tblPr/>
      <w:tcPr>
        <w:tcBorders>
          <w:top w:val="nil"/>
          <w:bottom w:val="nil"/>
          <w:insideH w:val="nil"/>
          <w:insideV w:val="nil"/>
        </w:tcBorders>
        <w:shd w:val="clear" w:color="auto" w:fill="FFF2C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9E6ED7"/>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9E6ED7"/>
    <w:tblPr>
      <w:tblStyleRowBandSize w:val="1"/>
      <w:tblStyleColBandSize w:val="1"/>
      <w:tbl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single" w:sz="8" w:space="0" w:color="00E5B0" w:themeColor="accent1" w:themeTint="BF"/>
      </w:tblBorders>
    </w:tblPr>
    <w:tblStylePr w:type="firstRow">
      <w:pPr>
        <w:spacing w:before="0" w:after="0" w:line="240" w:lineRule="auto"/>
      </w:pPr>
      <w:rPr>
        <w:b/>
        <w:bCs/>
        <w:color w:val="FFFFFF" w:themeColor="background1"/>
      </w:rPr>
      <w:tblPr/>
      <w:tcPr>
        <w:tcBorders>
          <w:top w:val="single" w:sz="8"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shd w:val="clear" w:color="auto" w:fill="008768" w:themeFill="accent1"/>
      </w:tcPr>
    </w:tblStylePr>
    <w:tblStylePr w:type="lastRow">
      <w:pPr>
        <w:spacing w:before="0" w:after="0" w:line="240" w:lineRule="auto"/>
      </w:pPr>
      <w:rPr>
        <w:b/>
        <w:bCs/>
      </w:rPr>
      <w:tblPr/>
      <w:tcPr>
        <w:tcBorders>
          <w:top w:val="double" w:sz="6" w:space="0" w:color="00E5B0" w:themeColor="accent1" w:themeTint="BF"/>
          <w:left w:val="single" w:sz="8" w:space="0" w:color="00E5B0" w:themeColor="accent1" w:themeTint="BF"/>
          <w:bottom w:val="single" w:sz="8" w:space="0" w:color="00E5B0" w:themeColor="accent1" w:themeTint="BF"/>
          <w:right w:val="single" w:sz="8" w:space="0" w:color="00E5B0" w:themeColor="accent1" w:themeTint="BF"/>
          <w:insideH w:val="nil"/>
          <w:insideV w:val="nil"/>
        </w:tcBorders>
      </w:tcPr>
    </w:tblStylePr>
    <w:tblStylePr w:type="firstCol">
      <w:rPr>
        <w:b/>
        <w:bCs/>
      </w:rPr>
    </w:tblStylePr>
    <w:tblStylePr w:type="lastCol">
      <w:rPr>
        <w:b/>
        <w:bCs/>
      </w:rPr>
    </w:tblStylePr>
    <w:tblStylePr w:type="band1Vert">
      <w:tblPr/>
      <w:tcPr>
        <w:shd w:val="clear" w:color="auto" w:fill="A2FFE9" w:themeFill="accent1" w:themeFillTint="3F"/>
      </w:tcPr>
    </w:tblStylePr>
    <w:tblStylePr w:type="band1Horz">
      <w:tblPr/>
      <w:tcPr>
        <w:tcBorders>
          <w:insideH w:val="nil"/>
          <w:insideV w:val="nil"/>
        </w:tcBorders>
        <w:shd w:val="clear" w:color="auto" w:fill="A2FFE9"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9E6ED7"/>
    <w:tblPr>
      <w:tblStyleRowBandSize w:val="1"/>
      <w:tblStyleColBandSize w:val="1"/>
      <w:tbl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single" w:sz="8" w:space="0" w:color="0094AE" w:themeColor="accent2" w:themeTint="BF"/>
      </w:tblBorders>
    </w:tblPr>
    <w:tblStylePr w:type="firstRow">
      <w:pPr>
        <w:spacing w:before="0" w:after="0" w:line="240" w:lineRule="auto"/>
      </w:pPr>
      <w:rPr>
        <w:b/>
        <w:bCs/>
        <w:color w:val="FFFFFF" w:themeColor="background1"/>
      </w:rPr>
      <w:tblPr/>
      <w:tcPr>
        <w:tcBorders>
          <w:top w:val="single" w:sz="8"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shd w:val="clear" w:color="auto" w:fill="00353E" w:themeFill="accent2"/>
      </w:tcPr>
    </w:tblStylePr>
    <w:tblStylePr w:type="lastRow">
      <w:pPr>
        <w:spacing w:before="0" w:after="0" w:line="240" w:lineRule="auto"/>
      </w:pPr>
      <w:rPr>
        <w:b/>
        <w:bCs/>
      </w:rPr>
      <w:tblPr/>
      <w:tcPr>
        <w:tcBorders>
          <w:top w:val="double" w:sz="6" w:space="0" w:color="0094AE" w:themeColor="accent2" w:themeTint="BF"/>
          <w:left w:val="single" w:sz="8" w:space="0" w:color="0094AE" w:themeColor="accent2" w:themeTint="BF"/>
          <w:bottom w:val="single" w:sz="8" w:space="0" w:color="0094AE" w:themeColor="accent2" w:themeTint="BF"/>
          <w:right w:val="single" w:sz="8" w:space="0" w:color="0094AE" w:themeColor="accent2" w:themeTint="BF"/>
          <w:insideH w:val="nil"/>
          <w:insideV w:val="nil"/>
        </w:tcBorders>
      </w:tcPr>
    </w:tblStylePr>
    <w:tblStylePr w:type="firstCol">
      <w:rPr>
        <w:b/>
        <w:bCs/>
      </w:rPr>
    </w:tblStylePr>
    <w:tblStylePr w:type="lastCol">
      <w:rPr>
        <w:b/>
        <w:bCs/>
      </w:rPr>
    </w:tblStylePr>
    <w:tblStylePr w:type="band1Vert">
      <w:tblPr/>
      <w:tcPr>
        <w:shd w:val="clear" w:color="auto" w:fill="90EEFF" w:themeFill="accent2" w:themeFillTint="3F"/>
      </w:tcPr>
    </w:tblStylePr>
    <w:tblStylePr w:type="band1Horz">
      <w:tblPr/>
      <w:tcPr>
        <w:tcBorders>
          <w:insideH w:val="nil"/>
          <w:insideV w:val="nil"/>
        </w:tcBorders>
        <w:shd w:val="clear" w:color="auto" w:fill="90EEFF"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9E6ED7"/>
    <w:tblPr>
      <w:tblStyleRowBandSize w:val="1"/>
      <w:tblStyleColBandSize w:val="1"/>
      <w:tbl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single" w:sz="8" w:space="0" w:color="C1D87D" w:themeColor="accent3" w:themeTint="BF"/>
      </w:tblBorders>
    </w:tblPr>
    <w:tblStylePr w:type="firstRow">
      <w:pPr>
        <w:spacing w:before="0" w:after="0" w:line="240" w:lineRule="auto"/>
      </w:pPr>
      <w:rPr>
        <w:b/>
        <w:bCs/>
        <w:color w:val="FFFFFF" w:themeColor="background1"/>
      </w:rPr>
      <w:tblPr/>
      <w:tcPr>
        <w:tcBorders>
          <w:top w:val="single" w:sz="8"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shd w:val="clear" w:color="auto" w:fill="AECC53" w:themeFill="accent3"/>
      </w:tcPr>
    </w:tblStylePr>
    <w:tblStylePr w:type="lastRow">
      <w:pPr>
        <w:spacing w:before="0" w:after="0" w:line="240" w:lineRule="auto"/>
      </w:pPr>
      <w:rPr>
        <w:b/>
        <w:bCs/>
      </w:rPr>
      <w:tblPr/>
      <w:tcPr>
        <w:tcBorders>
          <w:top w:val="double" w:sz="6" w:space="0" w:color="C1D87D" w:themeColor="accent3" w:themeTint="BF"/>
          <w:left w:val="single" w:sz="8" w:space="0" w:color="C1D87D" w:themeColor="accent3" w:themeTint="BF"/>
          <w:bottom w:val="single" w:sz="8" w:space="0" w:color="C1D87D" w:themeColor="accent3" w:themeTint="BF"/>
          <w:right w:val="single" w:sz="8" w:space="0" w:color="C1D87D" w:themeColor="accent3" w:themeTint="BF"/>
          <w:insideH w:val="nil"/>
          <w:insideV w:val="nil"/>
        </w:tcBorders>
      </w:tcPr>
    </w:tblStylePr>
    <w:tblStylePr w:type="firstCol">
      <w:rPr>
        <w:b/>
        <w:bCs/>
      </w:rPr>
    </w:tblStylePr>
    <w:tblStylePr w:type="lastCol">
      <w:rPr>
        <w:b/>
        <w:bCs/>
      </w:rPr>
    </w:tblStylePr>
    <w:tblStylePr w:type="band1Vert">
      <w:tblPr/>
      <w:tcPr>
        <w:shd w:val="clear" w:color="auto" w:fill="EAF2D4" w:themeFill="accent3" w:themeFillTint="3F"/>
      </w:tcPr>
    </w:tblStylePr>
    <w:tblStylePr w:type="band1Horz">
      <w:tblPr/>
      <w:tcPr>
        <w:tcBorders>
          <w:insideH w:val="nil"/>
          <w:insideV w:val="nil"/>
        </w:tcBorders>
        <w:shd w:val="clear" w:color="auto" w:fill="EAF2D4"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9E6ED7"/>
    <w:tblPr>
      <w:tblStyleRowBandSize w:val="1"/>
      <w:tblStyleColBandSize w:val="1"/>
      <w:tbl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single" w:sz="8" w:space="0" w:color="F05949" w:themeColor="accent4" w:themeTint="BF"/>
      </w:tblBorders>
    </w:tblPr>
    <w:tblStylePr w:type="firstRow">
      <w:pPr>
        <w:spacing w:before="0" w:after="0" w:line="240" w:lineRule="auto"/>
      </w:pPr>
      <w:rPr>
        <w:b/>
        <w:bCs/>
        <w:color w:val="FFFFFF" w:themeColor="background1"/>
      </w:rPr>
      <w:tblPr/>
      <w:tcPr>
        <w:tcBorders>
          <w:top w:val="single" w:sz="8"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shd w:val="clear" w:color="auto" w:fill="E52713" w:themeFill="accent4"/>
      </w:tcPr>
    </w:tblStylePr>
    <w:tblStylePr w:type="lastRow">
      <w:pPr>
        <w:spacing w:before="0" w:after="0" w:line="240" w:lineRule="auto"/>
      </w:pPr>
      <w:rPr>
        <w:b/>
        <w:bCs/>
      </w:rPr>
      <w:tblPr/>
      <w:tcPr>
        <w:tcBorders>
          <w:top w:val="double" w:sz="6" w:space="0" w:color="F05949" w:themeColor="accent4" w:themeTint="BF"/>
          <w:left w:val="single" w:sz="8" w:space="0" w:color="F05949" w:themeColor="accent4" w:themeTint="BF"/>
          <w:bottom w:val="single" w:sz="8" w:space="0" w:color="F05949" w:themeColor="accent4" w:themeTint="BF"/>
          <w:right w:val="single" w:sz="8" w:space="0" w:color="F05949" w:themeColor="accent4" w:themeTint="BF"/>
          <w:insideH w:val="nil"/>
          <w:insideV w:val="nil"/>
        </w:tcBorders>
      </w:tcPr>
    </w:tblStylePr>
    <w:tblStylePr w:type="firstCol">
      <w:rPr>
        <w:b/>
        <w:bCs/>
      </w:rPr>
    </w:tblStylePr>
    <w:tblStylePr w:type="lastCol">
      <w:rPr>
        <w:b/>
        <w:bCs/>
      </w:rPr>
    </w:tblStylePr>
    <w:tblStylePr w:type="band1Vert">
      <w:tblPr/>
      <w:tcPr>
        <w:shd w:val="clear" w:color="auto" w:fill="FAC8C2" w:themeFill="accent4" w:themeFillTint="3F"/>
      </w:tcPr>
    </w:tblStylePr>
    <w:tblStylePr w:type="band1Horz">
      <w:tblPr/>
      <w:tcPr>
        <w:tcBorders>
          <w:insideH w:val="nil"/>
          <w:insideV w:val="nil"/>
        </w:tcBorders>
        <w:shd w:val="clear" w:color="auto" w:fill="FAC8C2"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9E6ED7"/>
    <w:tblPr>
      <w:tblStyleRowBandSize w:val="1"/>
      <w:tblStyleColBandSize w:val="1"/>
      <w:tbl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single" w:sz="8" w:space="0" w:color="00F2F4" w:themeColor="accent5" w:themeTint="BF"/>
      </w:tblBorders>
    </w:tblPr>
    <w:tblStylePr w:type="firstRow">
      <w:pPr>
        <w:spacing w:before="0" w:after="0" w:line="240" w:lineRule="auto"/>
      </w:pPr>
      <w:rPr>
        <w:b/>
        <w:bCs/>
        <w:color w:val="FFFFFF" w:themeColor="background1"/>
      </w:rPr>
      <w:tblPr/>
      <w:tcPr>
        <w:tcBorders>
          <w:top w:val="single" w:sz="8"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shd w:val="clear" w:color="auto" w:fill="009A9B" w:themeFill="accent5"/>
      </w:tcPr>
    </w:tblStylePr>
    <w:tblStylePr w:type="lastRow">
      <w:pPr>
        <w:spacing w:before="0" w:after="0" w:line="240" w:lineRule="auto"/>
      </w:pPr>
      <w:rPr>
        <w:b/>
        <w:bCs/>
      </w:rPr>
      <w:tblPr/>
      <w:tcPr>
        <w:tcBorders>
          <w:top w:val="double" w:sz="6" w:space="0" w:color="00F2F4" w:themeColor="accent5" w:themeTint="BF"/>
          <w:left w:val="single" w:sz="8" w:space="0" w:color="00F2F4" w:themeColor="accent5" w:themeTint="BF"/>
          <w:bottom w:val="single" w:sz="8" w:space="0" w:color="00F2F4" w:themeColor="accent5" w:themeTint="BF"/>
          <w:right w:val="single" w:sz="8" w:space="0" w:color="00F2F4" w:themeColor="accent5" w:themeTint="BF"/>
          <w:insideH w:val="nil"/>
          <w:insideV w:val="nil"/>
        </w:tcBorders>
      </w:tcPr>
    </w:tblStylePr>
    <w:tblStylePr w:type="firstCol">
      <w:rPr>
        <w:b/>
        <w:bCs/>
      </w:rPr>
    </w:tblStylePr>
    <w:tblStylePr w:type="lastCol">
      <w:rPr>
        <w:b/>
        <w:bCs/>
      </w:rPr>
    </w:tblStylePr>
    <w:tblStylePr w:type="band1Vert">
      <w:tblPr/>
      <w:tcPr>
        <w:shd w:val="clear" w:color="auto" w:fill="A7FEFF" w:themeFill="accent5" w:themeFillTint="3F"/>
      </w:tcPr>
    </w:tblStylePr>
    <w:tblStylePr w:type="band1Horz">
      <w:tblPr/>
      <w:tcPr>
        <w:tcBorders>
          <w:insideH w:val="nil"/>
          <w:insideV w:val="nil"/>
        </w:tcBorders>
        <w:shd w:val="clear" w:color="auto" w:fill="A7FEF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9E6ED7"/>
    <w:tblPr>
      <w:tblStyleRowBandSize w:val="1"/>
      <w:tblStyleColBandSize w:val="1"/>
      <w:tbl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single" w:sz="8" w:space="0" w:color="FFDA40" w:themeColor="accent6" w:themeTint="BF"/>
      </w:tblBorders>
    </w:tblPr>
    <w:tblStylePr w:type="firstRow">
      <w:pPr>
        <w:spacing w:before="0" w:after="0" w:line="240" w:lineRule="auto"/>
      </w:pPr>
      <w:rPr>
        <w:b/>
        <w:bCs/>
        <w:color w:val="FFFFFF" w:themeColor="background1"/>
      </w:rPr>
      <w:tblPr/>
      <w:tcPr>
        <w:tcBorders>
          <w:top w:val="single" w:sz="8"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shd w:val="clear" w:color="auto" w:fill="FFCE00" w:themeFill="accent6"/>
      </w:tcPr>
    </w:tblStylePr>
    <w:tblStylePr w:type="lastRow">
      <w:pPr>
        <w:spacing w:before="0" w:after="0" w:line="240" w:lineRule="auto"/>
      </w:pPr>
      <w:rPr>
        <w:b/>
        <w:bCs/>
      </w:rPr>
      <w:tblPr/>
      <w:tcPr>
        <w:tcBorders>
          <w:top w:val="double" w:sz="6" w:space="0" w:color="FFDA40" w:themeColor="accent6" w:themeTint="BF"/>
          <w:left w:val="single" w:sz="8" w:space="0" w:color="FFDA40" w:themeColor="accent6" w:themeTint="BF"/>
          <w:bottom w:val="single" w:sz="8" w:space="0" w:color="FFDA40" w:themeColor="accent6" w:themeTint="BF"/>
          <w:right w:val="single" w:sz="8" w:space="0" w:color="FFDA40" w:themeColor="accent6" w:themeTint="BF"/>
          <w:insideH w:val="nil"/>
          <w:insideV w:val="nil"/>
        </w:tcBorders>
      </w:tcPr>
    </w:tblStylePr>
    <w:tblStylePr w:type="firstCol">
      <w:rPr>
        <w:b/>
        <w:bCs/>
      </w:rPr>
    </w:tblStylePr>
    <w:tblStylePr w:type="lastCol">
      <w:rPr>
        <w:b/>
        <w:bCs/>
      </w:rPr>
    </w:tblStylePr>
    <w:tblStylePr w:type="band1Vert">
      <w:tblPr/>
      <w:tcPr>
        <w:shd w:val="clear" w:color="auto" w:fill="FFF2C0" w:themeFill="accent6" w:themeFillTint="3F"/>
      </w:tcPr>
    </w:tblStylePr>
    <w:tblStylePr w:type="band1Horz">
      <w:tblPr/>
      <w:tcPr>
        <w:tcBorders>
          <w:insideH w:val="nil"/>
          <w:insideV w:val="nil"/>
        </w:tcBorders>
        <w:shd w:val="clear" w:color="auto" w:fill="FFF2C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8768"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8768" w:themeFill="accent1"/>
      </w:tcPr>
    </w:tblStylePr>
    <w:tblStylePr w:type="lastCol">
      <w:rPr>
        <w:b/>
        <w:bCs/>
        <w:color w:val="FFFFFF" w:themeColor="background1"/>
      </w:rPr>
      <w:tblPr/>
      <w:tcPr>
        <w:tcBorders>
          <w:left w:val="nil"/>
          <w:right w:val="nil"/>
          <w:insideH w:val="nil"/>
          <w:insideV w:val="nil"/>
        </w:tcBorders>
        <w:shd w:val="clear" w:color="auto" w:fill="008768"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353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353E" w:themeFill="accent2"/>
      </w:tcPr>
    </w:tblStylePr>
    <w:tblStylePr w:type="lastCol">
      <w:rPr>
        <w:b/>
        <w:bCs/>
        <w:color w:val="FFFFFF" w:themeColor="background1"/>
      </w:rPr>
      <w:tblPr/>
      <w:tcPr>
        <w:tcBorders>
          <w:left w:val="nil"/>
          <w:right w:val="nil"/>
          <w:insideH w:val="nil"/>
          <w:insideV w:val="nil"/>
        </w:tcBorders>
        <w:shd w:val="clear" w:color="auto" w:fill="00353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ECC53"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ECC53" w:themeFill="accent3"/>
      </w:tcPr>
    </w:tblStylePr>
    <w:tblStylePr w:type="lastCol">
      <w:rPr>
        <w:b/>
        <w:bCs/>
        <w:color w:val="FFFFFF" w:themeColor="background1"/>
      </w:rPr>
      <w:tblPr/>
      <w:tcPr>
        <w:tcBorders>
          <w:left w:val="nil"/>
          <w:right w:val="nil"/>
          <w:insideH w:val="nil"/>
          <w:insideV w:val="nil"/>
        </w:tcBorders>
        <w:shd w:val="clear" w:color="auto" w:fill="AECC53"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5271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52713" w:themeFill="accent4"/>
      </w:tcPr>
    </w:tblStylePr>
    <w:tblStylePr w:type="lastCol">
      <w:rPr>
        <w:b/>
        <w:bCs/>
        <w:color w:val="FFFFFF" w:themeColor="background1"/>
      </w:rPr>
      <w:tblPr/>
      <w:tcPr>
        <w:tcBorders>
          <w:left w:val="nil"/>
          <w:right w:val="nil"/>
          <w:insideH w:val="nil"/>
          <w:insideV w:val="nil"/>
        </w:tcBorders>
        <w:shd w:val="clear" w:color="auto" w:fill="E5271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A9B"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A9B" w:themeFill="accent5"/>
      </w:tcPr>
    </w:tblStylePr>
    <w:tblStylePr w:type="lastCol">
      <w:rPr>
        <w:b/>
        <w:bCs/>
        <w:color w:val="FFFFFF" w:themeColor="background1"/>
      </w:rPr>
      <w:tblPr/>
      <w:tcPr>
        <w:tcBorders>
          <w:left w:val="nil"/>
          <w:right w:val="nil"/>
          <w:insideH w:val="nil"/>
          <w:insideV w:val="nil"/>
        </w:tcBorders>
        <w:shd w:val="clear" w:color="auto" w:fill="009A9B"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9E6ED7"/>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E00"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E00" w:themeFill="accent6"/>
      </w:tcPr>
    </w:tblStylePr>
    <w:tblStylePr w:type="lastCol">
      <w:rPr>
        <w:b/>
        <w:bCs/>
        <w:color w:val="FFFFFF" w:themeColor="background1"/>
      </w:rPr>
      <w:tblPr/>
      <w:tcPr>
        <w:tcBorders>
          <w:left w:val="nil"/>
          <w:right w:val="nil"/>
          <w:insideH w:val="nil"/>
          <w:insideV w:val="nil"/>
        </w:tcBorders>
        <w:shd w:val="clear" w:color="auto" w:fill="FFCE00"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E6ED7"/>
    <w:pPr>
      <w:spacing w:line="240" w:lineRule="atLeast"/>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E6ED7"/>
    <w:pPr>
      <w:spacing w:line="240" w:lineRule="atLeast"/>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E6ED7"/>
    <w:pPr>
      <w:spacing w:line="240" w:lineRule="atLeast"/>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E6ED7"/>
    <w:pPr>
      <w:spacing w:line="240" w:lineRule="atLeast"/>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E6ED7"/>
    <w:pPr>
      <w:spacing w:line="240" w:lineRule="atLeast"/>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E6ED7"/>
    <w:pPr>
      <w:spacing w:line="240" w:lineRule="atLeast"/>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9E6ED7"/>
    <w:pPr>
      <w:spacing w:line="240" w:lineRule="atLeast"/>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9E6ED7"/>
    <w:pPr>
      <w:spacing w:line="240" w:lineRule="atLeast"/>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9E6ED7"/>
    <w:pPr>
      <w:spacing w:line="240" w:lineRule="atLeast"/>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E6ED7"/>
    <w:pPr>
      <w:spacing w:line="240" w:lineRule="atLeast"/>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E6ED7"/>
    <w:pPr>
      <w:spacing w:line="240" w:lineRule="atLeas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E6ED7"/>
    <w:pPr>
      <w:spacing w:line="240" w:lineRule="atLeast"/>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E6ED7"/>
    <w:pPr>
      <w:spacing w:line="240" w:lineRule="atLeast"/>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E6ED7"/>
    <w:pPr>
      <w:spacing w:line="240" w:lineRule="atLeast"/>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E6ED7"/>
    <w:pPr>
      <w:spacing w:line="240" w:lineRule="atLeast"/>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E6ED7"/>
    <w:pPr>
      <w:spacing w:line="240" w:lineRule="atLeast"/>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E6ED7"/>
    <w:pPr>
      <w:spacing w:line="240" w:lineRule="atLeast"/>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E6ED7"/>
    <w:pPr>
      <w:spacing w:line="240" w:lineRule="atLeast"/>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E6ED7"/>
    <w:pPr>
      <w:spacing w:line="240" w:lineRule="atLeast"/>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E6ED7"/>
    <w:pPr>
      <w:spacing w:line="240" w:lineRule="atLeast"/>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E6ED7"/>
    <w:pPr>
      <w:spacing w:line="240" w:lineRule="atLeast"/>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E6ED7"/>
    <w:pPr>
      <w:spacing w:line="240" w:lineRule="atLeast"/>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E6ED7"/>
    <w:pPr>
      <w:spacing w:line="240" w:lineRule="atLeast"/>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E6ED7"/>
    <w:pPr>
      <w:spacing w:line="240" w:lineRule="atLeast"/>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E6ED7"/>
    <w:pPr>
      <w:spacing w:line="240" w:lineRule="atLeast"/>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E6ED7"/>
    <w:pPr>
      <w:spacing w:line="240" w:lineRule="atLeast"/>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E6ED7"/>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E6ED7"/>
    <w:pPr>
      <w:spacing w:line="240" w:lineRule="atLeast"/>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E6ED7"/>
    <w:pPr>
      <w:spacing w:line="240" w:lineRule="atLeast"/>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E6ED7"/>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E6ED7"/>
    <w:pPr>
      <w:spacing w:line="240" w:lineRule="atLeast"/>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E6ED7"/>
    <w:pPr>
      <w:spacing w:line="240" w:lineRule="atLeast"/>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E6ED7"/>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E6ED7"/>
    <w:pPr>
      <w:spacing w:line="240" w:lineRule="atLeast"/>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E6ED7"/>
    <w:pPr>
      <w:spacing w:line="240" w:lineRule="atLeast"/>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E6ED7"/>
    <w:pPr>
      <w:spacing w:line="240" w:lineRule="atLeast"/>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Header">
    <w:name w:val="header"/>
    <w:basedOn w:val="Normal"/>
    <w:link w:val="HeaderChar"/>
    <w:uiPriority w:val="99"/>
    <w:unhideWhenUsed/>
    <w:rsid w:val="007F6341"/>
    <w:pPr>
      <w:tabs>
        <w:tab w:val="center" w:pos="4513"/>
        <w:tab w:val="right" w:pos="9026"/>
      </w:tabs>
      <w:spacing w:line="240" w:lineRule="auto"/>
    </w:pPr>
    <w:rPr>
      <w:noProof/>
      <w:sz w:val="14"/>
    </w:rPr>
  </w:style>
  <w:style w:type="character" w:customStyle="1" w:styleId="HeaderChar">
    <w:name w:val="Header Char"/>
    <w:basedOn w:val="DefaultParagraphFont"/>
    <w:link w:val="Header"/>
    <w:uiPriority w:val="99"/>
    <w:rsid w:val="00F66A91"/>
    <w:rPr>
      <w:noProof/>
      <w:kern w:val="18"/>
      <w:sz w:val="14"/>
    </w:rPr>
  </w:style>
  <w:style w:type="paragraph" w:styleId="Footer">
    <w:name w:val="footer"/>
    <w:basedOn w:val="Normal"/>
    <w:link w:val="FooterChar"/>
    <w:uiPriority w:val="99"/>
    <w:unhideWhenUsed/>
    <w:rsid w:val="007F6341"/>
    <w:pPr>
      <w:tabs>
        <w:tab w:val="center" w:pos="4513"/>
        <w:tab w:val="right" w:pos="9026"/>
      </w:tabs>
      <w:spacing w:line="240" w:lineRule="auto"/>
    </w:pPr>
    <w:rPr>
      <w:noProof/>
      <w:sz w:val="14"/>
    </w:rPr>
  </w:style>
  <w:style w:type="character" w:customStyle="1" w:styleId="FooterChar">
    <w:name w:val="Footer Char"/>
    <w:basedOn w:val="DefaultParagraphFont"/>
    <w:link w:val="Footer"/>
    <w:uiPriority w:val="99"/>
    <w:rsid w:val="00F66A91"/>
    <w:rPr>
      <w:noProof/>
      <w:kern w:val="18"/>
      <w:sz w:val="14"/>
    </w:rPr>
  </w:style>
  <w:style w:type="numbering" w:customStyle="1" w:styleId="AECOMNumbering">
    <w:name w:val="AECOM Numbering"/>
    <w:basedOn w:val="NoList"/>
    <w:uiPriority w:val="99"/>
    <w:semiHidden/>
    <w:unhideWhenUsed/>
    <w:rsid w:val="00FF093C"/>
    <w:pPr>
      <w:numPr>
        <w:numId w:val="3"/>
      </w:numPr>
    </w:pPr>
  </w:style>
  <w:style w:type="numbering" w:customStyle="1" w:styleId="AECOMAppendix">
    <w:name w:val="AECOM Appendix"/>
    <w:uiPriority w:val="99"/>
    <w:semiHidden/>
    <w:unhideWhenUsed/>
    <w:rsid w:val="006A3705"/>
    <w:pPr>
      <w:numPr>
        <w:numId w:val="4"/>
      </w:numPr>
    </w:pPr>
  </w:style>
  <w:style w:type="character" w:customStyle="1" w:styleId="Heading6Char">
    <w:name w:val="Heading 6 Char"/>
    <w:basedOn w:val="DefaultParagraphFont"/>
    <w:link w:val="Heading6"/>
    <w:uiPriority w:val="9"/>
    <w:semiHidden/>
    <w:rsid w:val="00F66A91"/>
    <w:rPr>
      <w:rFonts w:asciiTheme="majorHAnsi" w:eastAsiaTheme="majorEastAsia" w:hAnsiTheme="majorHAnsi" w:cstheme="majorBidi"/>
      <w:i/>
      <w:iCs/>
      <w:color w:val="004333" w:themeColor="accent1" w:themeShade="7F"/>
      <w:kern w:val="18"/>
      <w:sz w:val="20"/>
    </w:rPr>
  </w:style>
  <w:style w:type="character" w:customStyle="1" w:styleId="Heading7Char">
    <w:name w:val="Heading 7 Char"/>
    <w:basedOn w:val="DefaultParagraphFont"/>
    <w:link w:val="Heading7"/>
    <w:uiPriority w:val="9"/>
    <w:semiHidden/>
    <w:rsid w:val="00F66A91"/>
    <w:rPr>
      <w:rFonts w:asciiTheme="majorHAnsi" w:eastAsiaTheme="majorEastAsia" w:hAnsiTheme="majorHAnsi" w:cstheme="majorBidi"/>
      <w:i/>
      <w:iCs/>
      <w:color w:val="404040" w:themeColor="text1" w:themeTint="BF"/>
      <w:kern w:val="18"/>
      <w:sz w:val="20"/>
    </w:rPr>
  </w:style>
  <w:style w:type="character" w:customStyle="1" w:styleId="Heading8Char">
    <w:name w:val="Heading 8 Char"/>
    <w:basedOn w:val="DefaultParagraphFont"/>
    <w:link w:val="Heading8"/>
    <w:uiPriority w:val="9"/>
    <w:semiHidden/>
    <w:rsid w:val="00F66A91"/>
    <w:rPr>
      <w:rFonts w:asciiTheme="majorHAnsi" w:eastAsiaTheme="majorEastAsia" w:hAnsiTheme="majorHAnsi" w:cstheme="majorBidi"/>
      <w:color w:val="404040" w:themeColor="text1" w:themeTint="BF"/>
      <w:kern w:val="18"/>
      <w:sz w:val="20"/>
      <w:szCs w:val="20"/>
    </w:rPr>
  </w:style>
  <w:style w:type="character" w:customStyle="1" w:styleId="Heading9Char">
    <w:name w:val="Heading 9 Char"/>
    <w:basedOn w:val="DefaultParagraphFont"/>
    <w:link w:val="Heading9"/>
    <w:uiPriority w:val="9"/>
    <w:semiHidden/>
    <w:rsid w:val="00F66A91"/>
    <w:rPr>
      <w:rFonts w:asciiTheme="majorHAnsi" w:eastAsiaTheme="majorEastAsia" w:hAnsiTheme="majorHAnsi" w:cstheme="majorBidi"/>
      <w:i/>
      <w:iCs/>
      <w:color w:val="404040" w:themeColor="text1" w:themeTint="BF"/>
      <w:kern w:val="18"/>
      <w:sz w:val="20"/>
      <w:szCs w:val="20"/>
    </w:rPr>
  </w:style>
  <w:style w:type="table" w:customStyle="1" w:styleId="Plaingrid">
    <w:name w:val="Plain grid"/>
    <w:basedOn w:val="TableNormal"/>
    <w:uiPriority w:val="99"/>
    <w:semiHidden/>
    <w:unhideWhenUsed/>
    <w:rsid w:val="00E772F5"/>
    <w:tblPr>
      <w:tblCellMar>
        <w:left w:w="0" w:type="dxa"/>
      </w:tblCellMar>
    </w:tblPr>
  </w:style>
  <w:style w:type="paragraph" w:styleId="Title">
    <w:name w:val="Title"/>
    <w:basedOn w:val="Normal"/>
    <w:next w:val="Normal"/>
    <w:link w:val="TitleChar"/>
    <w:uiPriority w:val="10"/>
    <w:semiHidden/>
    <w:unhideWhenUsed/>
    <w:rsid w:val="00AA75D4"/>
    <w:pPr>
      <w:spacing w:after="300" w:line="240" w:lineRule="auto"/>
      <w:contextualSpacing/>
    </w:pPr>
    <w:rPr>
      <w:rFonts w:asciiTheme="majorHAnsi" w:eastAsiaTheme="majorEastAsia" w:hAnsiTheme="majorHAnsi" w:cstheme="majorBidi"/>
      <w:color w:val="FFFFFF" w:themeColor="background1"/>
      <w:kern w:val="28"/>
      <w:sz w:val="48"/>
      <w:szCs w:val="52"/>
    </w:rPr>
  </w:style>
  <w:style w:type="character" w:customStyle="1" w:styleId="TitleChar">
    <w:name w:val="Title Char"/>
    <w:basedOn w:val="DefaultParagraphFont"/>
    <w:link w:val="Title"/>
    <w:uiPriority w:val="10"/>
    <w:semiHidden/>
    <w:rsid w:val="00F66A91"/>
    <w:rPr>
      <w:rFonts w:asciiTheme="majorHAnsi" w:eastAsiaTheme="majorEastAsia" w:hAnsiTheme="majorHAnsi" w:cstheme="majorBidi"/>
      <w:color w:val="FFFFFF" w:themeColor="background1"/>
      <w:kern w:val="28"/>
      <w:sz w:val="48"/>
      <w:szCs w:val="52"/>
    </w:rPr>
  </w:style>
  <w:style w:type="paragraph" w:styleId="TOCHeading">
    <w:name w:val="TOC Heading"/>
    <w:basedOn w:val="Heading1"/>
    <w:next w:val="Normal"/>
    <w:uiPriority w:val="39"/>
    <w:semiHidden/>
    <w:unhideWhenUsed/>
    <w:rsid w:val="000D13AF"/>
    <w:pPr>
      <w:numPr>
        <w:numId w:val="0"/>
      </w:numPr>
      <w:spacing w:line="240" w:lineRule="atLeast"/>
      <w:outlineLvl w:val="9"/>
    </w:pPr>
    <w:rPr>
      <w:sz w:val="28"/>
    </w:rPr>
  </w:style>
  <w:style w:type="paragraph" w:styleId="Subtitle">
    <w:name w:val="Subtitle"/>
    <w:basedOn w:val="Normal"/>
    <w:next w:val="Normal"/>
    <w:link w:val="SubtitleChar"/>
    <w:uiPriority w:val="11"/>
    <w:semiHidden/>
    <w:unhideWhenUsed/>
    <w:rsid w:val="00AA75D4"/>
    <w:pPr>
      <w:numPr>
        <w:ilvl w:val="1"/>
      </w:numPr>
    </w:pPr>
    <w:rPr>
      <w:rFonts w:asciiTheme="majorHAnsi" w:eastAsiaTheme="majorEastAsia" w:hAnsiTheme="majorHAnsi" w:cstheme="majorBidi"/>
      <w:iCs/>
      <w:color w:val="FFFFFF" w:themeColor="background1"/>
      <w:sz w:val="24"/>
      <w:szCs w:val="24"/>
    </w:rPr>
  </w:style>
  <w:style w:type="character" w:customStyle="1" w:styleId="SubtitleChar">
    <w:name w:val="Subtitle Char"/>
    <w:basedOn w:val="DefaultParagraphFont"/>
    <w:link w:val="Subtitle"/>
    <w:uiPriority w:val="11"/>
    <w:semiHidden/>
    <w:rsid w:val="00F66A91"/>
    <w:rPr>
      <w:rFonts w:asciiTheme="majorHAnsi" w:eastAsiaTheme="majorEastAsia" w:hAnsiTheme="majorHAnsi" w:cstheme="majorBidi"/>
      <w:iCs/>
      <w:color w:val="FFFFFF" w:themeColor="background1"/>
      <w:kern w:val="18"/>
      <w:sz w:val="24"/>
      <w:szCs w:val="24"/>
    </w:rPr>
  </w:style>
  <w:style w:type="paragraph" w:styleId="TOC1">
    <w:name w:val="toc 1"/>
    <w:basedOn w:val="Normal"/>
    <w:next w:val="Normal"/>
    <w:autoRedefine/>
    <w:uiPriority w:val="39"/>
    <w:unhideWhenUsed/>
    <w:rsid w:val="003964F2"/>
    <w:pPr>
      <w:tabs>
        <w:tab w:val="clear" w:pos="284"/>
        <w:tab w:val="right" w:leader="dot" w:pos="9354"/>
      </w:tabs>
      <w:spacing w:after="40"/>
      <w:ind w:left="567" w:right="522" w:hanging="567"/>
    </w:pPr>
    <w:rPr>
      <w:rFonts w:asciiTheme="majorHAnsi" w:hAnsiTheme="majorHAnsi"/>
    </w:rPr>
  </w:style>
  <w:style w:type="paragraph" w:styleId="TOC2">
    <w:name w:val="toc 2"/>
    <w:basedOn w:val="Normal"/>
    <w:next w:val="Normal"/>
    <w:autoRedefine/>
    <w:uiPriority w:val="39"/>
    <w:unhideWhenUsed/>
    <w:rsid w:val="003964F2"/>
    <w:pPr>
      <w:tabs>
        <w:tab w:val="clear" w:pos="284"/>
        <w:tab w:val="right" w:leader="dot" w:pos="9354"/>
      </w:tabs>
      <w:spacing w:after="40"/>
      <w:ind w:left="1134" w:right="522" w:hanging="567"/>
    </w:pPr>
  </w:style>
  <w:style w:type="paragraph" w:styleId="TOC3">
    <w:name w:val="toc 3"/>
    <w:basedOn w:val="Normal"/>
    <w:next w:val="Normal"/>
    <w:autoRedefine/>
    <w:uiPriority w:val="39"/>
    <w:unhideWhenUsed/>
    <w:rsid w:val="003964F2"/>
    <w:pPr>
      <w:tabs>
        <w:tab w:val="clear" w:pos="284"/>
        <w:tab w:val="right" w:leader="dot" w:pos="9354"/>
      </w:tabs>
      <w:spacing w:after="40"/>
      <w:ind w:left="1134" w:hanging="567"/>
    </w:pPr>
  </w:style>
  <w:style w:type="paragraph" w:customStyle="1" w:styleId="Coverdata">
    <w:name w:val="Cover data"/>
    <w:basedOn w:val="Subtitle"/>
    <w:uiPriority w:val="1"/>
    <w:semiHidden/>
    <w:unhideWhenUsed/>
    <w:rsid w:val="00DA79BC"/>
    <w:pPr>
      <w:jc w:val="right"/>
    </w:pPr>
    <w:rPr>
      <w:sz w:val="16"/>
    </w:rPr>
  </w:style>
  <w:style w:type="paragraph" w:customStyle="1" w:styleId="Coverfooter">
    <w:name w:val="Cover footer"/>
    <w:basedOn w:val="Coverdata"/>
    <w:uiPriority w:val="1"/>
    <w:semiHidden/>
    <w:unhideWhenUsed/>
    <w:rsid w:val="00B97816"/>
    <w:pPr>
      <w:spacing w:line="200" w:lineRule="atLeast"/>
      <w:jc w:val="left"/>
    </w:pPr>
    <w:rPr>
      <w:rFonts w:asciiTheme="minorHAnsi" w:hAnsiTheme="minorHAnsi"/>
    </w:rPr>
  </w:style>
  <w:style w:type="paragraph" w:customStyle="1" w:styleId="Subtitleheading">
    <w:name w:val="Subtitle heading"/>
    <w:basedOn w:val="Subtitle"/>
    <w:uiPriority w:val="1"/>
    <w:semiHidden/>
    <w:unhideWhenUsed/>
    <w:rsid w:val="00AA75D4"/>
  </w:style>
  <w:style w:type="character" w:styleId="Strong">
    <w:name w:val="Strong"/>
    <w:basedOn w:val="DefaultParagraphFont"/>
    <w:uiPriority w:val="22"/>
    <w:semiHidden/>
    <w:unhideWhenUsed/>
    <w:rsid w:val="00542F08"/>
    <w:rPr>
      <w:b/>
      <w:bCs/>
    </w:rPr>
  </w:style>
  <w:style w:type="paragraph" w:styleId="CommentText">
    <w:name w:val="annotation text"/>
    <w:basedOn w:val="Normal"/>
    <w:link w:val="CommentTextChar"/>
    <w:uiPriority w:val="99"/>
    <w:unhideWhenUsed/>
    <w:rsid w:val="00542F08"/>
    <w:pPr>
      <w:spacing w:line="240" w:lineRule="auto"/>
    </w:pPr>
    <w:rPr>
      <w:szCs w:val="20"/>
    </w:rPr>
  </w:style>
  <w:style w:type="character" w:customStyle="1" w:styleId="CommentTextChar">
    <w:name w:val="Comment Text Char"/>
    <w:basedOn w:val="DefaultParagraphFont"/>
    <w:link w:val="CommentText"/>
    <w:uiPriority w:val="99"/>
    <w:rsid w:val="00F66A91"/>
    <w:rPr>
      <w:kern w:val="18"/>
      <w:sz w:val="20"/>
      <w:szCs w:val="20"/>
    </w:rPr>
  </w:style>
  <w:style w:type="paragraph" w:styleId="CommentSubject">
    <w:name w:val="annotation subject"/>
    <w:basedOn w:val="CommentText"/>
    <w:next w:val="CommentText"/>
    <w:link w:val="CommentSubjectChar"/>
    <w:uiPriority w:val="99"/>
    <w:semiHidden/>
    <w:unhideWhenUsed/>
    <w:rsid w:val="00542F08"/>
    <w:rPr>
      <w:b/>
      <w:bCs/>
    </w:rPr>
  </w:style>
  <w:style w:type="character" w:customStyle="1" w:styleId="CommentSubjectChar">
    <w:name w:val="Comment Subject Char"/>
    <w:basedOn w:val="CommentTextChar"/>
    <w:link w:val="CommentSubject"/>
    <w:uiPriority w:val="99"/>
    <w:semiHidden/>
    <w:rsid w:val="00F66A91"/>
    <w:rPr>
      <w:b/>
      <w:bCs/>
      <w:kern w:val="18"/>
      <w:sz w:val="20"/>
      <w:szCs w:val="20"/>
    </w:rPr>
  </w:style>
  <w:style w:type="paragraph" w:customStyle="1" w:styleId="Heading">
    <w:name w:val="Heading"/>
    <w:basedOn w:val="BodyText"/>
    <w:next w:val="BodyText"/>
    <w:uiPriority w:val="1"/>
    <w:unhideWhenUsed/>
    <w:rsid w:val="008952D6"/>
    <w:pPr>
      <w:spacing w:after="120"/>
    </w:pPr>
    <w:rPr>
      <w:rFonts w:asciiTheme="majorHAnsi" w:hAnsiTheme="majorHAnsi" w:cstheme="majorHAnsi"/>
      <w:color w:val="000000" w:themeColor="text2"/>
      <w:sz w:val="24"/>
    </w:rPr>
  </w:style>
  <w:style w:type="paragraph" w:styleId="TableofFigures">
    <w:name w:val="table of figures"/>
    <w:basedOn w:val="Normal"/>
    <w:next w:val="Normal"/>
    <w:uiPriority w:val="99"/>
    <w:unhideWhenUsed/>
    <w:rsid w:val="00A34EE8"/>
    <w:pPr>
      <w:tabs>
        <w:tab w:val="clear" w:pos="284"/>
        <w:tab w:val="right" w:leader="dot" w:pos="9354"/>
      </w:tabs>
    </w:pPr>
  </w:style>
  <w:style w:type="numbering" w:customStyle="1" w:styleId="AECOMSectionnumbering">
    <w:name w:val="AECOM Section numbering"/>
    <w:uiPriority w:val="99"/>
    <w:semiHidden/>
    <w:unhideWhenUsed/>
    <w:rsid w:val="0055609F"/>
    <w:pPr>
      <w:numPr>
        <w:numId w:val="5"/>
      </w:numPr>
    </w:pPr>
  </w:style>
  <w:style w:type="paragraph" w:styleId="BalloonText">
    <w:name w:val="Balloon Text"/>
    <w:basedOn w:val="Normal"/>
    <w:link w:val="BalloonTextChar"/>
    <w:uiPriority w:val="99"/>
    <w:semiHidden/>
    <w:unhideWhenUsed/>
    <w:rsid w:val="00F97FCB"/>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66A91"/>
    <w:rPr>
      <w:rFonts w:ascii="Tahoma" w:hAnsi="Tahoma" w:cs="Tahoma"/>
      <w:kern w:val="18"/>
      <w:sz w:val="16"/>
      <w:szCs w:val="16"/>
    </w:rPr>
  </w:style>
  <w:style w:type="paragraph" w:styleId="Quote">
    <w:name w:val="Quote"/>
    <w:basedOn w:val="Normal"/>
    <w:next w:val="Normal"/>
    <w:link w:val="QuoteChar"/>
    <w:uiPriority w:val="22"/>
    <w:qFormat/>
    <w:rsid w:val="00292BCA"/>
    <w:pPr>
      <w:spacing w:after="120"/>
      <w:ind w:left="567" w:right="567"/>
    </w:pPr>
    <w:rPr>
      <w:i/>
      <w:iCs/>
      <w:color w:val="000000" w:themeColor="text1"/>
    </w:rPr>
  </w:style>
  <w:style w:type="character" w:customStyle="1" w:styleId="QuoteChar">
    <w:name w:val="Quote Char"/>
    <w:basedOn w:val="DefaultParagraphFont"/>
    <w:link w:val="Quote"/>
    <w:uiPriority w:val="22"/>
    <w:rsid w:val="00292BCA"/>
    <w:rPr>
      <w:i/>
      <w:iCs/>
      <w:color w:val="000000" w:themeColor="text1"/>
      <w:kern w:val="18"/>
      <w:sz w:val="20"/>
    </w:rPr>
  </w:style>
  <w:style w:type="numbering" w:styleId="111111">
    <w:name w:val="Outline List 2"/>
    <w:basedOn w:val="NoList"/>
    <w:uiPriority w:val="99"/>
    <w:semiHidden/>
    <w:unhideWhenUsed/>
    <w:rsid w:val="004C255D"/>
    <w:pPr>
      <w:numPr>
        <w:numId w:val="6"/>
      </w:numPr>
    </w:pPr>
  </w:style>
  <w:style w:type="numbering" w:styleId="1ai">
    <w:name w:val="Outline List 1"/>
    <w:basedOn w:val="NoList"/>
    <w:uiPriority w:val="99"/>
    <w:semiHidden/>
    <w:unhideWhenUsed/>
    <w:rsid w:val="004C255D"/>
    <w:pPr>
      <w:numPr>
        <w:numId w:val="7"/>
      </w:numPr>
    </w:pPr>
  </w:style>
  <w:style w:type="numbering" w:styleId="ArticleSection">
    <w:name w:val="Outline List 3"/>
    <w:basedOn w:val="NoList"/>
    <w:uiPriority w:val="99"/>
    <w:semiHidden/>
    <w:unhideWhenUsed/>
    <w:rsid w:val="004C255D"/>
    <w:pPr>
      <w:numPr>
        <w:numId w:val="8"/>
      </w:numPr>
    </w:pPr>
  </w:style>
  <w:style w:type="paragraph" w:styleId="Bibliography">
    <w:name w:val="Bibliography"/>
    <w:basedOn w:val="Normal"/>
    <w:next w:val="Normal"/>
    <w:uiPriority w:val="37"/>
    <w:semiHidden/>
    <w:unhideWhenUsed/>
    <w:rsid w:val="004C255D"/>
  </w:style>
  <w:style w:type="paragraph" w:styleId="BlockText">
    <w:name w:val="Block Text"/>
    <w:basedOn w:val="Normal"/>
    <w:uiPriority w:val="99"/>
    <w:semiHidden/>
    <w:unhideWhenUsed/>
    <w:rsid w:val="004C255D"/>
    <w:pPr>
      <w:pBdr>
        <w:top w:val="single" w:sz="2" w:space="10" w:color="008768" w:themeColor="accent1" w:shadow="1" w:frame="1"/>
        <w:left w:val="single" w:sz="2" w:space="10" w:color="008768" w:themeColor="accent1" w:shadow="1" w:frame="1"/>
        <w:bottom w:val="single" w:sz="2" w:space="10" w:color="008768" w:themeColor="accent1" w:shadow="1" w:frame="1"/>
        <w:right w:val="single" w:sz="2" w:space="10" w:color="008768" w:themeColor="accent1" w:shadow="1" w:frame="1"/>
      </w:pBdr>
      <w:ind w:left="1152" w:right="1152"/>
    </w:pPr>
    <w:rPr>
      <w:rFonts w:eastAsiaTheme="minorEastAsia"/>
      <w:i/>
      <w:iCs/>
      <w:color w:val="008768" w:themeColor="accent1"/>
    </w:rPr>
  </w:style>
  <w:style w:type="paragraph" w:styleId="BodyText2">
    <w:name w:val="Body Text 2"/>
    <w:basedOn w:val="Normal"/>
    <w:link w:val="BodyText2Char"/>
    <w:uiPriority w:val="99"/>
    <w:semiHidden/>
    <w:unhideWhenUsed/>
    <w:rsid w:val="004C255D"/>
    <w:pPr>
      <w:spacing w:after="120" w:line="480" w:lineRule="auto"/>
    </w:pPr>
  </w:style>
  <w:style w:type="character" w:customStyle="1" w:styleId="BodyText2Char">
    <w:name w:val="Body Text 2 Char"/>
    <w:basedOn w:val="DefaultParagraphFont"/>
    <w:link w:val="BodyText2"/>
    <w:uiPriority w:val="99"/>
    <w:semiHidden/>
    <w:rsid w:val="00F66A91"/>
    <w:rPr>
      <w:kern w:val="18"/>
    </w:rPr>
  </w:style>
  <w:style w:type="paragraph" w:styleId="BodyText3">
    <w:name w:val="Body Text 3"/>
    <w:basedOn w:val="Normal"/>
    <w:link w:val="BodyText3Char"/>
    <w:uiPriority w:val="99"/>
    <w:semiHidden/>
    <w:unhideWhenUsed/>
    <w:rsid w:val="004C255D"/>
    <w:pPr>
      <w:spacing w:after="120"/>
    </w:pPr>
    <w:rPr>
      <w:sz w:val="16"/>
      <w:szCs w:val="16"/>
    </w:rPr>
  </w:style>
  <w:style w:type="character" w:customStyle="1" w:styleId="BodyText3Char">
    <w:name w:val="Body Text 3 Char"/>
    <w:basedOn w:val="DefaultParagraphFont"/>
    <w:link w:val="BodyText3"/>
    <w:uiPriority w:val="99"/>
    <w:semiHidden/>
    <w:rsid w:val="00F66A91"/>
    <w:rPr>
      <w:kern w:val="18"/>
      <w:sz w:val="16"/>
      <w:szCs w:val="16"/>
    </w:rPr>
  </w:style>
  <w:style w:type="paragraph" w:styleId="BodyTextFirstIndent">
    <w:name w:val="Body Text First Indent"/>
    <w:basedOn w:val="BodyText"/>
    <w:link w:val="BodyTextFirstIndentChar"/>
    <w:uiPriority w:val="99"/>
    <w:semiHidden/>
    <w:unhideWhenUsed/>
    <w:rsid w:val="004C255D"/>
    <w:pPr>
      <w:spacing w:after="0"/>
      <w:ind w:firstLine="360"/>
    </w:pPr>
  </w:style>
  <w:style w:type="character" w:customStyle="1" w:styleId="BodyTextFirstIndentChar">
    <w:name w:val="Body Text First Indent Char"/>
    <w:basedOn w:val="BodyTextChar"/>
    <w:link w:val="BodyTextFirstIndent"/>
    <w:uiPriority w:val="99"/>
    <w:semiHidden/>
    <w:rsid w:val="00F66A91"/>
    <w:rPr>
      <w:kern w:val="18"/>
    </w:rPr>
  </w:style>
  <w:style w:type="paragraph" w:styleId="BodyTextIndent">
    <w:name w:val="Body Text Indent"/>
    <w:basedOn w:val="Normal"/>
    <w:link w:val="BodyTextIndentChar"/>
    <w:uiPriority w:val="99"/>
    <w:semiHidden/>
    <w:unhideWhenUsed/>
    <w:rsid w:val="004C255D"/>
    <w:pPr>
      <w:spacing w:after="120"/>
      <w:ind w:left="283"/>
    </w:pPr>
  </w:style>
  <w:style w:type="character" w:customStyle="1" w:styleId="BodyTextIndentChar">
    <w:name w:val="Body Text Indent Char"/>
    <w:basedOn w:val="DefaultParagraphFont"/>
    <w:link w:val="BodyTextIndent"/>
    <w:uiPriority w:val="99"/>
    <w:semiHidden/>
    <w:rsid w:val="00F66A91"/>
    <w:rPr>
      <w:kern w:val="18"/>
    </w:rPr>
  </w:style>
  <w:style w:type="paragraph" w:styleId="BodyTextFirstIndent2">
    <w:name w:val="Body Text First Indent 2"/>
    <w:basedOn w:val="BodyTextIndent"/>
    <w:link w:val="BodyTextFirstIndent2Char"/>
    <w:uiPriority w:val="99"/>
    <w:semiHidden/>
    <w:unhideWhenUsed/>
    <w:rsid w:val="004C255D"/>
    <w:pPr>
      <w:spacing w:after="0"/>
      <w:ind w:left="360" w:firstLine="360"/>
    </w:pPr>
  </w:style>
  <w:style w:type="character" w:customStyle="1" w:styleId="BodyTextFirstIndent2Char">
    <w:name w:val="Body Text First Indent 2 Char"/>
    <w:basedOn w:val="BodyTextIndentChar"/>
    <w:link w:val="BodyTextFirstIndent2"/>
    <w:uiPriority w:val="99"/>
    <w:semiHidden/>
    <w:rsid w:val="00F66A91"/>
    <w:rPr>
      <w:kern w:val="18"/>
    </w:rPr>
  </w:style>
  <w:style w:type="paragraph" w:styleId="BodyTextIndent2">
    <w:name w:val="Body Text Indent 2"/>
    <w:basedOn w:val="Normal"/>
    <w:link w:val="BodyTextIndent2Char"/>
    <w:uiPriority w:val="99"/>
    <w:semiHidden/>
    <w:unhideWhenUsed/>
    <w:rsid w:val="004C255D"/>
    <w:pPr>
      <w:spacing w:after="120" w:line="480" w:lineRule="auto"/>
      <w:ind w:left="283"/>
    </w:pPr>
  </w:style>
  <w:style w:type="character" w:customStyle="1" w:styleId="BodyTextIndent2Char">
    <w:name w:val="Body Text Indent 2 Char"/>
    <w:basedOn w:val="DefaultParagraphFont"/>
    <w:link w:val="BodyTextIndent2"/>
    <w:uiPriority w:val="99"/>
    <w:semiHidden/>
    <w:rsid w:val="00F66A91"/>
    <w:rPr>
      <w:kern w:val="18"/>
    </w:rPr>
  </w:style>
  <w:style w:type="paragraph" w:styleId="BodyTextIndent3">
    <w:name w:val="Body Text Indent 3"/>
    <w:basedOn w:val="Normal"/>
    <w:link w:val="BodyTextIndent3Char"/>
    <w:uiPriority w:val="99"/>
    <w:semiHidden/>
    <w:unhideWhenUsed/>
    <w:rsid w:val="004C255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F66A91"/>
    <w:rPr>
      <w:kern w:val="18"/>
      <w:sz w:val="16"/>
      <w:szCs w:val="16"/>
    </w:rPr>
  </w:style>
  <w:style w:type="character" w:styleId="BookTitle">
    <w:name w:val="Book Title"/>
    <w:basedOn w:val="DefaultParagraphFont"/>
    <w:uiPriority w:val="33"/>
    <w:semiHidden/>
    <w:unhideWhenUsed/>
    <w:rsid w:val="004C255D"/>
    <w:rPr>
      <w:b/>
      <w:bCs/>
      <w:smallCaps/>
      <w:spacing w:val="5"/>
    </w:rPr>
  </w:style>
  <w:style w:type="paragraph" w:styleId="Closing">
    <w:name w:val="Closing"/>
    <w:basedOn w:val="Normal"/>
    <w:link w:val="ClosingChar"/>
    <w:uiPriority w:val="99"/>
    <w:semiHidden/>
    <w:unhideWhenUsed/>
    <w:rsid w:val="004C255D"/>
    <w:pPr>
      <w:spacing w:line="240" w:lineRule="auto"/>
      <w:ind w:left="4252"/>
    </w:pPr>
  </w:style>
  <w:style w:type="character" w:customStyle="1" w:styleId="ClosingChar">
    <w:name w:val="Closing Char"/>
    <w:basedOn w:val="DefaultParagraphFont"/>
    <w:link w:val="Closing"/>
    <w:uiPriority w:val="99"/>
    <w:semiHidden/>
    <w:rsid w:val="00F66A91"/>
    <w:rPr>
      <w:kern w:val="18"/>
    </w:rPr>
  </w:style>
  <w:style w:type="character" w:styleId="CommentReference">
    <w:name w:val="annotation reference"/>
    <w:basedOn w:val="DefaultParagraphFont"/>
    <w:uiPriority w:val="99"/>
    <w:unhideWhenUsed/>
    <w:rsid w:val="004C255D"/>
    <w:rPr>
      <w:sz w:val="16"/>
      <w:szCs w:val="16"/>
    </w:rPr>
  </w:style>
  <w:style w:type="paragraph" w:styleId="Date">
    <w:name w:val="Date"/>
    <w:basedOn w:val="Normal"/>
    <w:next w:val="Normal"/>
    <w:link w:val="DateChar"/>
    <w:uiPriority w:val="99"/>
    <w:semiHidden/>
    <w:unhideWhenUsed/>
    <w:rsid w:val="004C255D"/>
  </w:style>
  <w:style w:type="character" w:customStyle="1" w:styleId="DateChar">
    <w:name w:val="Date Char"/>
    <w:basedOn w:val="DefaultParagraphFont"/>
    <w:link w:val="Date"/>
    <w:uiPriority w:val="99"/>
    <w:semiHidden/>
    <w:rsid w:val="00F66A91"/>
    <w:rPr>
      <w:kern w:val="18"/>
    </w:rPr>
  </w:style>
  <w:style w:type="paragraph" w:styleId="DocumentMap">
    <w:name w:val="Document Map"/>
    <w:basedOn w:val="Normal"/>
    <w:link w:val="DocumentMapChar"/>
    <w:uiPriority w:val="99"/>
    <w:semiHidden/>
    <w:unhideWhenUsed/>
    <w:rsid w:val="004C255D"/>
    <w:pPr>
      <w:spacing w:line="240" w:lineRule="auto"/>
    </w:pPr>
    <w:rPr>
      <w:rFonts w:ascii="Tahoma" w:hAnsi="Tahoma" w:cs="Tahoma"/>
      <w:sz w:val="16"/>
      <w:szCs w:val="16"/>
    </w:rPr>
  </w:style>
  <w:style w:type="character" w:customStyle="1" w:styleId="DocumentMapChar">
    <w:name w:val="Document Map Char"/>
    <w:basedOn w:val="DefaultParagraphFont"/>
    <w:link w:val="DocumentMap"/>
    <w:uiPriority w:val="99"/>
    <w:semiHidden/>
    <w:rsid w:val="00F66A91"/>
    <w:rPr>
      <w:rFonts w:ascii="Tahoma" w:hAnsi="Tahoma" w:cs="Tahoma"/>
      <w:kern w:val="18"/>
      <w:sz w:val="16"/>
      <w:szCs w:val="16"/>
    </w:rPr>
  </w:style>
  <w:style w:type="paragraph" w:styleId="EmailSignature">
    <w:name w:val="E-mail Signature"/>
    <w:basedOn w:val="Normal"/>
    <w:link w:val="EmailSignatureChar"/>
    <w:uiPriority w:val="99"/>
    <w:semiHidden/>
    <w:unhideWhenUsed/>
    <w:rsid w:val="004C255D"/>
    <w:pPr>
      <w:spacing w:line="240" w:lineRule="auto"/>
    </w:pPr>
  </w:style>
  <w:style w:type="character" w:customStyle="1" w:styleId="EmailSignatureChar">
    <w:name w:val="Email Signature Char"/>
    <w:basedOn w:val="DefaultParagraphFont"/>
    <w:link w:val="EmailSignature"/>
    <w:uiPriority w:val="99"/>
    <w:semiHidden/>
    <w:rsid w:val="00F66A91"/>
    <w:rPr>
      <w:kern w:val="18"/>
    </w:rPr>
  </w:style>
  <w:style w:type="character" w:styleId="Emphasis">
    <w:name w:val="Emphasis"/>
    <w:basedOn w:val="DefaultParagraphFont"/>
    <w:uiPriority w:val="20"/>
    <w:semiHidden/>
    <w:unhideWhenUsed/>
    <w:rsid w:val="004C255D"/>
    <w:rPr>
      <w:i/>
      <w:iCs/>
    </w:rPr>
  </w:style>
  <w:style w:type="character" w:styleId="EndnoteReference">
    <w:name w:val="endnote reference"/>
    <w:basedOn w:val="DefaultParagraphFont"/>
    <w:uiPriority w:val="99"/>
    <w:semiHidden/>
    <w:unhideWhenUsed/>
    <w:rsid w:val="004C255D"/>
    <w:rPr>
      <w:vertAlign w:val="superscript"/>
    </w:rPr>
  </w:style>
  <w:style w:type="paragraph" w:styleId="EndnoteText">
    <w:name w:val="endnote text"/>
    <w:basedOn w:val="Normal"/>
    <w:link w:val="EndnoteTextChar"/>
    <w:uiPriority w:val="99"/>
    <w:semiHidden/>
    <w:unhideWhenUsed/>
    <w:rsid w:val="004C255D"/>
    <w:pPr>
      <w:spacing w:line="240" w:lineRule="auto"/>
    </w:pPr>
    <w:rPr>
      <w:szCs w:val="20"/>
    </w:rPr>
  </w:style>
  <w:style w:type="character" w:customStyle="1" w:styleId="EndnoteTextChar">
    <w:name w:val="Endnote Text Char"/>
    <w:basedOn w:val="DefaultParagraphFont"/>
    <w:link w:val="EndnoteText"/>
    <w:uiPriority w:val="99"/>
    <w:semiHidden/>
    <w:rsid w:val="00F66A91"/>
    <w:rPr>
      <w:kern w:val="18"/>
      <w:sz w:val="20"/>
      <w:szCs w:val="20"/>
    </w:rPr>
  </w:style>
  <w:style w:type="paragraph" w:styleId="EnvelopeAddress">
    <w:name w:val="envelope address"/>
    <w:basedOn w:val="Normal"/>
    <w:uiPriority w:val="99"/>
    <w:semiHidden/>
    <w:unhideWhenUsed/>
    <w:rsid w:val="004C255D"/>
    <w:pPr>
      <w:framePr w:w="7920" w:h="1980" w:hRule="exact" w:hSpace="180" w:wrap="auto" w:hAnchor="page" w:xAlign="center" w:yAlign="bottom"/>
      <w:spacing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4C255D"/>
    <w:pPr>
      <w:spacing w:line="240" w:lineRule="auto"/>
    </w:pPr>
    <w:rPr>
      <w:rFonts w:asciiTheme="majorHAnsi" w:eastAsiaTheme="majorEastAsia" w:hAnsiTheme="majorHAnsi" w:cstheme="majorBidi"/>
      <w:szCs w:val="20"/>
    </w:rPr>
  </w:style>
  <w:style w:type="character" w:styleId="HTMLAcronym">
    <w:name w:val="HTML Acronym"/>
    <w:basedOn w:val="DefaultParagraphFont"/>
    <w:uiPriority w:val="99"/>
    <w:semiHidden/>
    <w:unhideWhenUsed/>
    <w:rsid w:val="004C255D"/>
  </w:style>
  <w:style w:type="paragraph" w:styleId="HTMLAddress">
    <w:name w:val="HTML Address"/>
    <w:basedOn w:val="Normal"/>
    <w:link w:val="HTMLAddressChar"/>
    <w:uiPriority w:val="99"/>
    <w:semiHidden/>
    <w:unhideWhenUsed/>
    <w:rsid w:val="004C255D"/>
    <w:pPr>
      <w:spacing w:line="240" w:lineRule="auto"/>
    </w:pPr>
    <w:rPr>
      <w:i/>
      <w:iCs/>
    </w:rPr>
  </w:style>
  <w:style w:type="character" w:customStyle="1" w:styleId="HTMLAddressChar">
    <w:name w:val="HTML Address Char"/>
    <w:basedOn w:val="DefaultParagraphFont"/>
    <w:link w:val="HTMLAddress"/>
    <w:uiPriority w:val="99"/>
    <w:semiHidden/>
    <w:rsid w:val="00F66A91"/>
    <w:rPr>
      <w:i/>
      <w:iCs/>
      <w:kern w:val="18"/>
    </w:rPr>
  </w:style>
  <w:style w:type="character" w:styleId="HTMLCite">
    <w:name w:val="HTML Cite"/>
    <w:basedOn w:val="DefaultParagraphFont"/>
    <w:uiPriority w:val="99"/>
    <w:semiHidden/>
    <w:unhideWhenUsed/>
    <w:rsid w:val="004C255D"/>
    <w:rPr>
      <w:i/>
      <w:iCs/>
    </w:rPr>
  </w:style>
  <w:style w:type="character" w:styleId="HTMLCode">
    <w:name w:val="HTML Code"/>
    <w:basedOn w:val="DefaultParagraphFont"/>
    <w:uiPriority w:val="99"/>
    <w:semiHidden/>
    <w:unhideWhenUsed/>
    <w:rsid w:val="004C255D"/>
    <w:rPr>
      <w:rFonts w:ascii="Consolas" w:hAnsi="Consolas"/>
      <w:sz w:val="20"/>
      <w:szCs w:val="20"/>
    </w:rPr>
  </w:style>
  <w:style w:type="character" w:styleId="HTMLDefinition">
    <w:name w:val="HTML Definition"/>
    <w:basedOn w:val="DefaultParagraphFont"/>
    <w:uiPriority w:val="99"/>
    <w:semiHidden/>
    <w:unhideWhenUsed/>
    <w:rsid w:val="004C255D"/>
    <w:rPr>
      <w:i/>
      <w:iCs/>
    </w:rPr>
  </w:style>
  <w:style w:type="character" w:styleId="HTMLKeyboard">
    <w:name w:val="HTML Keyboard"/>
    <w:basedOn w:val="DefaultParagraphFont"/>
    <w:uiPriority w:val="99"/>
    <w:semiHidden/>
    <w:unhideWhenUsed/>
    <w:rsid w:val="004C255D"/>
    <w:rPr>
      <w:rFonts w:ascii="Consolas" w:hAnsi="Consolas"/>
      <w:sz w:val="20"/>
      <w:szCs w:val="20"/>
    </w:rPr>
  </w:style>
  <w:style w:type="paragraph" w:styleId="HTMLPreformatted">
    <w:name w:val="HTML Preformatted"/>
    <w:basedOn w:val="Normal"/>
    <w:link w:val="HTMLPreformattedChar"/>
    <w:uiPriority w:val="99"/>
    <w:semiHidden/>
    <w:unhideWhenUsed/>
    <w:rsid w:val="004C255D"/>
    <w:pPr>
      <w:spacing w:line="240" w:lineRule="auto"/>
    </w:pPr>
    <w:rPr>
      <w:rFonts w:ascii="Consolas" w:hAnsi="Consolas"/>
      <w:szCs w:val="20"/>
    </w:rPr>
  </w:style>
  <w:style w:type="character" w:customStyle="1" w:styleId="HTMLPreformattedChar">
    <w:name w:val="HTML Preformatted Char"/>
    <w:basedOn w:val="DefaultParagraphFont"/>
    <w:link w:val="HTMLPreformatted"/>
    <w:uiPriority w:val="99"/>
    <w:semiHidden/>
    <w:rsid w:val="00F66A91"/>
    <w:rPr>
      <w:rFonts w:ascii="Consolas" w:hAnsi="Consolas"/>
      <w:kern w:val="18"/>
      <w:sz w:val="20"/>
      <w:szCs w:val="20"/>
    </w:rPr>
  </w:style>
  <w:style w:type="character" w:styleId="HTMLSample">
    <w:name w:val="HTML Sample"/>
    <w:basedOn w:val="DefaultParagraphFont"/>
    <w:uiPriority w:val="99"/>
    <w:semiHidden/>
    <w:unhideWhenUsed/>
    <w:rsid w:val="004C255D"/>
    <w:rPr>
      <w:rFonts w:ascii="Consolas" w:hAnsi="Consolas"/>
      <w:sz w:val="24"/>
      <w:szCs w:val="24"/>
    </w:rPr>
  </w:style>
  <w:style w:type="character" w:styleId="HTMLTypewriter">
    <w:name w:val="HTML Typewriter"/>
    <w:basedOn w:val="DefaultParagraphFont"/>
    <w:uiPriority w:val="99"/>
    <w:semiHidden/>
    <w:unhideWhenUsed/>
    <w:rsid w:val="004C255D"/>
    <w:rPr>
      <w:rFonts w:ascii="Consolas" w:hAnsi="Consolas"/>
      <w:sz w:val="20"/>
      <w:szCs w:val="20"/>
    </w:rPr>
  </w:style>
  <w:style w:type="character" w:styleId="HTMLVariable">
    <w:name w:val="HTML Variable"/>
    <w:basedOn w:val="DefaultParagraphFont"/>
    <w:uiPriority w:val="99"/>
    <w:semiHidden/>
    <w:unhideWhenUsed/>
    <w:rsid w:val="004C255D"/>
    <w:rPr>
      <w:i/>
      <w:iCs/>
    </w:rPr>
  </w:style>
  <w:style w:type="paragraph" w:styleId="Index1">
    <w:name w:val="index 1"/>
    <w:basedOn w:val="Normal"/>
    <w:next w:val="Normal"/>
    <w:autoRedefine/>
    <w:uiPriority w:val="99"/>
    <w:semiHidden/>
    <w:unhideWhenUsed/>
    <w:rsid w:val="004C255D"/>
    <w:pPr>
      <w:tabs>
        <w:tab w:val="clear" w:pos="284"/>
      </w:tabs>
      <w:spacing w:line="240" w:lineRule="auto"/>
      <w:ind w:left="180" w:hanging="180"/>
    </w:pPr>
  </w:style>
  <w:style w:type="paragraph" w:styleId="Index2">
    <w:name w:val="index 2"/>
    <w:basedOn w:val="Normal"/>
    <w:next w:val="Normal"/>
    <w:autoRedefine/>
    <w:uiPriority w:val="99"/>
    <w:semiHidden/>
    <w:unhideWhenUsed/>
    <w:rsid w:val="004C255D"/>
    <w:pPr>
      <w:tabs>
        <w:tab w:val="clear" w:pos="284"/>
      </w:tabs>
      <w:spacing w:line="240" w:lineRule="auto"/>
      <w:ind w:left="360" w:hanging="180"/>
    </w:pPr>
  </w:style>
  <w:style w:type="paragraph" w:styleId="Index3">
    <w:name w:val="index 3"/>
    <w:basedOn w:val="Normal"/>
    <w:next w:val="Normal"/>
    <w:autoRedefine/>
    <w:uiPriority w:val="99"/>
    <w:semiHidden/>
    <w:unhideWhenUsed/>
    <w:rsid w:val="004C255D"/>
    <w:pPr>
      <w:tabs>
        <w:tab w:val="clear" w:pos="284"/>
      </w:tabs>
      <w:spacing w:line="240" w:lineRule="auto"/>
      <w:ind w:left="540" w:hanging="180"/>
    </w:pPr>
  </w:style>
  <w:style w:type="paragraph" w:styleId="Index4">
    <w:name w:val="index 4"/>
    <w:basedOn w:val="Normal"/>
    <w:next w:val="Normal"/>
    <w:autoRedefine/>
    <w:uiPriority w:val="99"/>
    <w:semiHidden/>
    <w:unhideWhenUsed/>
    <w:rsid w:val="004C255D"/>
    <w:pPr>
      <w:tabs>
        <w:tab w:val="clear" w:pos="284"/>
      </w:tabs>
      <w:spacing w:line="240" w:lineRule="auto"/>
      <w:ind w:left="720" w:hanging="180"/>
    </w:pPr>
  </w:style>
  <w:style w:type="paragraph" w:styleId="Index5">
    <w:name w:val="index 5"/>
    <w:basedOn w:val="Normal"/>
    <w:next w:val="Normal"/>
    <w:autoRedefine/>
    <w:uiPriority w:val="99"/>
    <w:semiHidden/>
    <w:unhideWhenUsed/>
    <w:rsid w:val="004C255D"/>
    <w:pPr>
      <w:tabs>
        <w:tab w:val="clear" w:pos="284"/>
      </w:tabs>
      <w:spacing w:line="240" w:lineRule="auto"/>
      <w:ind w:left="900" w:hanging="180"/>
    </w:pPr>
  </w:style>
  <w:style w:type="paragraph" w:styleId="Index6">
    <w:name w:val="index 6"/>
    <w:basedOn w:val="Normal"/>
    <w:next w:val="Normal"/>
    <w:autoRedefine/>
    <w:uiPriority w:val="99"/>
    <w:semiHidden/>
    <w:unhideWhenUsed/>
    <w:rsid w:val="004C255D"/>
    <w:pPr>
      <w:tabs>
        <w:tab w:val="clear" w:pos="284"/>
      </w:tabs>
      <w:spacing w:line="240" w:lineRule="auto"/>
      <w:ind w:left="1080" w:hanging="180"/>
    </w:pPr>
  </w:style>
  <w:style w:type="paragraph" w:styleId="Index7">
    <w:name w:val="index 7"/>
    <w:basedOn w:val="Normal"/>
    <w:next w:val="Normal"/>
    <w:autoRedefine/>
    <w:uiPriority w:val="99"/>
    <w:semiHidden/>
    <w:unhideWhenUsed/>
    <w:rsid w:val="004C255D"/>
    <w:pPr>
      <w:tabs>
        <w:tab w:val="clear" w:pos="284"/>
      </w:tabs>
      <w:spacing w:line="240" w:lineRule="auto"/>
      <w:ind w:left="1260" w:hanging="180"/>
    </w:pPr>
  </w:style>
  <w:style w:type="paragraph" w:styleId="Index8">
    <w:name w:val="index 8"/>
    <w:basedOn w:val="Normal"/>
    <w:next w:val="Normal"/>
    <w:autoRedefine/>
    <w:uiPriority w:val="99"/>
    <w:semiHidden/>
    <w:unhideWhenUsed/>
    <w:rsid w:val="004C255D"/>
    <w:pPr>
      <w:tabs>
        <w:tab w:val="clear" w:pos="284"/>
      </w:tabs>
      <w:spacing w:line="240" w:lineRule="auto"/>
      <w:ind w:left="1440" w:hanging="180"/>
    </w:pPr>
  </w:style>
  <w:style w:type="paragraph" w:styleId="Index9">
    <w:name w:val="index 9"/>
    <w:basedOn w:val="Normal"/>
    <w:next w:val="Normal"/>
    <w:autoRedefine/>
    <w:uiPriority w:val="99"/>
    <w:semiHidden/>
    <w:unhideWhenUsed/>
    <w:rsid w:val="004C255D"/>
    <w:pPr>
      <w:tabs>
        <w:tab w:val="clear" w:pos="284"/>
      </w:tabs>
      <w:spacing w:line="240" w:lineRule="auto"/>
      <w:ind w:left="1620" w:hanging="180"/>
    </w:pPr>
  </w:style>
  <w:style w:type="paragraph" w:styleId="IndexHeading">
    <w:name w:val="index heading"/>
    <w:basedOn w:val="Normal"/>
    <w:next w:val="Index1"/>
    <w:uiPriority w:val="99"/>
    <w:semiHidden/>
    <w:unhideWhenUsed/>
    <w:rsid w:val="004C255D"/>
    <w:rPr>
      <w:rFonts w:asciiTheme="majorHAnsi" w:eastAsiaTheme="majorEastAsia" w:hAnsiTheme="majorHAnsi" w:cstheme="majorBidi"/>
      <w:b/>
      <w:bCs/>
    </w:rPr>
  </w:style>
  <w:style w:type="character" w:styleId="IntenseEmphasis">
    <w:name w:val="Intense Emphasis"/>
    <w:basedOn w:val="DefaultParagraphFont"/>
    <w:uiPriority w:val="21"/>
    <w:semiHidden/>
    <w:unhideWhenUsed/>
    <w:rsid w:val="004C255D"/>
    <w:rPr>
      <w:b/>
      <w:bCs/>
      <w:i/>
      <w:iCs/>
      <w:color w:val="008768" w:themeColor="accent1"/>
    </w:rPr>
  </w:style>
  <w:style w:type="paragraph" w:styleId="IntenseQuote">
    <w:name w:val="Intense Quote"/>
    <w:basedOn w:val="Normal"/>
    <w:next w:val="Normal"/>
    <w:link w:val="IntenseQuoteChar"/>
    <w:uiPriority w:val="30"/>
    <w:semiHidden/>
    <w:unhideWhenUsed/>
    <w:rsid w:val="004C255D"/>
    <w:pPr>
      <w:pBdr>
        <w:bottom w:val="single" w:sz="4" w:space="4" w:color="008768" w:themeColor="accent1"/>
      </w:pBdr>
      <w:spacing w:before="200" w:after="280"/>
      <w:ind w:left="936" w:right="936"/>
    </w:pPr>
    <w:rPr>
      <w:b/>
      <w:bCs/>
      <w:i/>
      <w:iCs/>
      <w:color w:val="008768" w:themeColor="accent1"/>
    </w:rPr>
  </w:style>
  <w:style w:type="character" w:customStyle="1" w:styleId="IntenseQuoteChar">
    <w:name w:val="Intense Quote Char"/>
    <w:basedOn w:val="DefaultParagraphFont"/>
    <w:link w:val="IntenseQuote"/>
    <w:uiPriority w:val="30"/>
    <w:semiHidden/>
    <w:rsid w:val="00F66A91"/>
    <w:rPr>
      <w:b/>
      <w:bCs/>
      <w:i/>
      <w:iCs/>
      <w:color w:val="008768" w:themeColor="accent1"/>
      <w:kern w:val="18"/>
    </w:rPr>
  </w:style>
  <w:style w:type="character" w:styleId="IntenseReference">
    <w:name w:val="Intense Reference"/>
    <w:basedOn w:val="DefaultParagraphFont"/>
    <w:uiPriority w:val="32"/>
    <w:semiHidden/>
    <w:unhideWhenUsed/>
    <w:rsid w:val="004C255D"/>
    <w:rPr>
      <w:b/>
      <w:bCs/>
      <w:smallCaps/>
      <w:color w:val="00353E" w:themeColor="accent2"/>
      <w:spacing w:val="5"/>
      <w:u w:val="single"/>
    </w:rPr>
  </w:style>
  <w:style w:type="character" w:styleId="LineNumber">
    <w:name w:val="line number"/>
    <w:basedOn w:val="DefaultParagraphFont"/>
    <w:uiPriority w:val="99"/>
    <w:semiHidden/>
    <w:unhideWhenUsed/>
    <w:rsid w:val="004C255D"/>
  </w:style>
  <w:style w:type="paragraph" w:styleId="List">
    <w:name w:val="List"/>
    <w:basedOn w:val="Normal"/>
    <w:uiPriority w:val="99"/>
    <w:semiHidden/>
    <w:unhideWhenUsed/>
    <w:rsid w:val="004C255D"/>
    <w:pPr>
      <w:ind w:left="283" w:hanging="283"/>
      <w:contextualSpacing/>
    </w:pPr>
  </w:style>
  <w:style w:type="paragraph" w:styleId="List2">
    <w:name w:val="List 2"/>
    <w:basedOn w:val="Normal"/>
    <w:uiPriority w:val="99"/>
    <w:semiHidden/>
    <w:unhideWhenUsed/>
    <w:rsid w:val="004C255D"/>
    <w:pPr>
      <w:ind w:left="566" w:hanging="283"/>
      <w:contextualSpacing/>
    </w:pPr>
  </w:style>
  <w:style w:type="paragraph" w:styleId="List3">
    <w:name w:val="List 3"/>
    <w:basedOn w:val="Normal"/>
    <w:uiPriority w:val="99"/>
    <w:semiHidden/>
    <w:unhideWhenUsed/>
    <w:rsid w:val="004C255D"/>
    <w:pPr>
      <w:ind w:left="849" w:hanging="283"/>
      <w:contextualSpacing/>
    </w:pPr>
  </w:style>
  <w:style w:type="paragraph" w:styleId="List4">
    <w:name w:val="List 4"/>
    <w:basedOn w:val="Normal"/>
    <w:uiPriority w:val="99"/>
    <w:semiHidden/>
    <w:unhideWhenUsed/>
    <w:rsid w:val="004C255D"/>
    <w:pPr>
      <w:ind w:left="1132" w:hanging="283"/>
      <w:contextualSpacing/>
    </w:pPr>
  </w:style>
  <w:style w:type="paragraph" w:styleId="List5">
    <w:name w:val="List 5"/>
    <w:basedOn w:val="Normal"/>
    <w:uiPriority w:val="99"/>
    <w:semiHidden/>
    <w:unhideWhenUsed/>
    <w:rsid w:val="004C255D"/>
    <w:pPr>
      <w:ind w:left="1415" w:hanging="283"/>
      <w:contextualSpacing/>
    </w:pPr>
  </w:style>
  <w:style w:type="paragraph" w:styleId="ListBullet4">
    <w:name w:val="List Bullet 4"/>
    <w:basedOn w:val="Normal"/>
    <w:uiPriority w:val="99"/>
    <w:semiHidden/>
    <w:unhideWhenUsed/>
    <w:rsid w:val="004C255D"/>
    <w:pPr>
      <w:numPr>
        <w:numId w:val="7"/>
      </w:numPr>
      <w:tabs>
        <w:tab w:val="clear" w:pos="1209"/>
      </w:tabs>
      <w:ind w:left="360"/>
      <w:contextualSpacing/>
    </w:pPr>
  </w:style>
  <w:style w:type="paragraph" w:styleId="ListBullet5">
    <w:name w:val="List Bullet 5"/>
    <w:basedOn w:val="Normal"/>
    <w:uiPriority w:val="99"/>
    <w:semiHidden/>
    <w:unhideWhenUsed/>
    <w:rsid w:val="004C255D"/>
    <w:pPr>
      <w:numPr>
        <w:numId w:val="8"/>
      </w:numPr>
      <w:tabs>
        <w:tab w:val="clear" w:pos="1492"/>
      </w:tabs>
      <w:ind w:left="0" w:firstLine="0"/>
      <w:contextualSpacing/>
    </w:pPr>
  </w:style>
  <w:style w:type="paragraph" w:styleId="ListContinue">
    <w:name w:val="List Continue"/>
    <w:basedOn w:val="Normal"/>
    <w:uiPriority w:val="99"/>
    <w:semiHidden/>
    <w:unhideWhenUsed/>
    <w:rsid w:val="004C255D"/>
    <w:pPr>
      <w:spacing w:after="120"/>
      <w:ind w:left="283"/>
      <w:contextualSpacing/>
    </w:pPr>
  </w:style>
  <w:style w:type="paragraph" w:styleId="ListContinue2">
    <w:name w:val="List Continue 2"/>
    <w:basedOn w:val="Normal"/>
    <w:uiPriority w:val="99"/>
    <w:semiHidden/>
    <w:unhideWhenUsed/>
    <w:rsid w:val="004C255D"/>
    <w:pPr>
      <w:spacing w:after="120"/>
      <w:ind w:left="566"/>
      <w:contextualSpacing/>
    </w:pPr>
  </w:style>
  <w:style w:type="paragraph" w:styleId="ListContinue3">
    <w:name w:val="List Continue 3"/>
    <w:basedOn w:val="Normal"/>
    <w:uiPriority w:val="99"/>
    <w:semiHidden/>
    <w:unhideWhenUsed/>
    <w:rsid w:val="004C255D"/>
    <w:pPr>
      <w:spacing w:after="120"/>
      <w:ind w:left="849"/>
      <w:contextualSpacing/>
    </w:pPr>
  </w:style>
  <w:style w:type="paragraph" w:styleId="ListContinue4">
    <w:name w:val="List Continue 4"/>
    <w:basedOn w:val="Normal"/>
    <w:uiPriority w:val="99"/>
    <w:semiHidden/>
    <w:unhideWhenUsed/>
    <w:rsid w:val="004C255D"/>
    <w:pPr>
      <w:spacing w:after="120"/>
      <w:ind w:left="1132"/>
      <w:contextualSpacing/>
    </w:pPr>
  </w:style>
  <w:style w:type="paragraph" w:styleId="ListContinue5">
    <w:name w:val="List Continue 5"/>
    <w:basedOn w:val="Normal"/>
    <w:uiPriority w:val="99"/>
    <w:semiHidden/>
    <w:unhideWhenUsed/>
    <w:rsid w:val="004C255D"/>
    <w:pPr>
      <w:spacing w:after="120"/>
      <w:ind w:left="1415"/>
      <w:contextualSpacing/>
    </w:pPr>
  </w:style>
  <w:style w:type="paragraph" w:styleId="ListNumber4">
    <w:name w:val="List Number 4"/>
    <w:basedOn w:val="Normal"/>
    <w:uiPriority w:val="99"/>
    <w:semiHidden/>
    <w:unhideWhenUsed/>
    <w:rsid w:val="004C255D"/>
    <w:pPr>
      <w:numPr>
        <w:numId w:val="9"/>
      </w:numPr>
      <w:tabs>
        <w:tab w:val="clear" w:pos="1209"/>
        <w:tab w:val="num" w:pos="425"/>
      </w:tabs>
      <w:ind w:left="425" w:hanging="425"/>
      <w:contextualSpacing/>
    </w:pPr>
  </w:style>
  <w:style w:type="paragraph" w:styleId="ListNumber5">
    <w:name w:val="List Number 5"/>
    <w:basedOn w:val="Normal"/>
    <w:uiPriority w:val="99"/>
    <w:semiHidden/>
    <w:unhideWhenUsed/>
    <w:rsid w:val="004C255D"/>
    <w:pPr>
      <w:numPr>
        <w:numId w:val="10"/>
      </w:numPr>
      <w:tabs>
        <w:tab w:val="clear" w:pos="1492"/>
      </w:tabs>
      <w:ind w:left="425" w:hanging="425"/>
      <w:contextualSpacing/>
    </w:pPr>
  </w:style>
  <w:style w:type="paragraph" w:styleId="ListParagraph">
    <w:name w:val="List Paragraph"/>
    <w:basedOn w:val="Normal"/>
    <w:uiPriority w:val="34"/>
    <w:semiHidden/>
    <w:unhideWhenUsed/>
    <w:rsid w:val="004C255D"/>
    <w:pPr>
      <w:ind w:left="720"/>
      <w:contextualSpacing/>
    </w:pPr>
  </w:style>
  <w:style w:type="paragraph" w:styleId="MacroText">
    <w:name w:val="macro"/>
    <w:link w:val="MacroTextChar"/>
    <w:uiPriority w:val="99"/>
    <w:semiHidden/>
    <w:unhideWhenUsed/>
    <w:rsid w:val="004C255D"/>
    <w:pPr>
      <w:tabs>
        <w:tab w:val="left" w:pos="480"/>
        <w:tab w:val="left" w:pos="960"/>
        <w:tab w:val="left" w:pos="1440"/>
        <w:tab w:val="left" w:pos="1920"/>
        <w:tab w:val="left" w:pos="2400"/>
        <w:tab w:val="left" w:pos="2880"/>
        <w:tab w:val="left" w:pos="3360"/>
        <w:tab w:val="left" w:pos="3840"/>
        <w:tab w:val="left" w:pos="4320"/>
      </w:tabs>
      <w:spacing w:line="240" w:lineRule="atLeast"/>
    </w:pPr>
    <w:rPr>
      <w:rFonts w:ascii="Consolas" w:hAnsi="Consolas"/>
      <w:sz w:val="20"/>
      <w:szCs w:val="20"/>
    </w:rPr>
  </w:style>
  <w:style w:type="character" w:customStyle="1" w:styleId="MacroTextChar">
    <w:name w:val="Macro Text Char"/>
    <w:basedOn w:val="DefaultParagraphFont"/>
    <w:link w:val="MacroText"/>
    <w:uiPriority w:val="99"/>
    <w:semiHidden/>
    <w:rsid w:val="00F66A91"/>
    <w:rPr>
      <w:rFonts w:ascii="Consolas" w:hAnsi="Consolas"/>
      <w:sz w:val="20"/>
      <w:szCs w:val="20"/>
    </w:rPr>
  </w:style>
  <w:style w:type="paragraph" w:styleId="MessageHeader">
    <w:name w:val="Message Header"/>
    <w:basedOn w:val="Normal"/>
    <w:link w:val="MessageHeaderChar"/>
    <w:uiPriority w:val="99"/>
    <w:semiHidden/>
    <w:unhideWhenUsed/>
    <w:rsid w:val="004C255D"/>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F66A91"/>
    <w:rPr>
      <w:rFonts w:asciiTheme="majorHAnsi" w:eastAsiaTheme="majorEastAsia" w:hAnsiTheme="majorHAnsi" w:cstheme="majorBidi"/>
      <w:kern w:val="18"/>
      <w:sz w:val="24"/>
      <w:szCs w:val="24"/>
      <w:shd w:val="pct20" w:color="auto" w:fill="auto"/>
    </w:rPr>
  </w:style>
  <w:style w:type="paragraph" w:styleId="NoSpacing">
    <w:name w:val="No Spacing"/>
    <w:uiPriority w:val="1"/>
    <w:semiHidden/>
    <w:unhideWhenUsed/>
    <w:rsid w:val="004C255D"/>
    <w:pPr>
      <w:tabs>
        <w:tab w:val="left" w:pos="284"/>
      </w:tabs>
    </w:pPr>
  </w:style>
  <w:style w:type="paragraph" w:styleId="NormalWeb">
    <w:name w:val="Normal (Web)"/>
    <w:basedOn w:val="Normal"/>
    <w:uiPriority w:val="99"/>
    <w:semiHidden/>
    <w:unhideWhenUsed/>
    <w:rsid w:val="004C255D"/>
    <w:rPr>
      <w:rFonts w:ascii="Times New Roman" w:hAnsi="Times New Roman" w:cs="Times New Roman"/>
      <w:sz w:val="24"/>
      <w:szCs w:val="24"/>
    </w:rPr>
  </w:style>
  <w:style w:type="paragraph" w:styleId="NormalIndent">
    <w:name w:val="Normal Indent"/>
    <w:basedOn w:val="Normal"/>
    <w:uiPriority w:val="99"/>
    <w:semiHidden/>
    <w:unhideWhenUsed/>
    <w:rsid w:val="004C255D"/>
    <w:pPr>
      <w:ind w:left="720"/>
    </w:pPr>
  </w:style>
  <w:style w:type="paragraph" w:styleId="NoteHeading">
    <w:name w:val="Note Heading"/>
    <w:basedOn w:val="Normal"/>
    <w:next w:val="Normal"/>
    <w:link w:val="NoteHeadingChar"/>
    <w:uiPriority w:val="99"/>
    <w:semiHidden/>
    <w:unhideWhenUsed/>
    <w:rsid w:val="004C255D"/>
    <w:pPr>
      <w:spacing w:line="240" w:lineRule="auto"/>
    </w:pPr>
  </w:style>
  <w:style w:type="character" w:customStyle="1" w:styleId="NoteHeadingChar">
    <w:name w:val="Note Heading Char"/>
    <w:basedOn w:val="DefaultParagraphFont"/>
    <w:link w:val="NoteHeading"/>
    <w:uiPriority w:val="99"/>
    <w:semiHidden/>
    <w:rsid w:val="00F66A91"/>
    <w:rPr>
      <w:kern w:val="18"/>
    </w:rPr>
  </w:style>
  <w:style w:type="character" w:styleId="PageNumber">
    <w:name w:val="page number"/>
    <w:basedOn w:val="DefaultParagraphFont"/>
    <w:uiPriority w:val="99"/>
    <w:semiHidden/>
    <w:unhideWhenUsed/>
    <w:rsid w:val="004C255D"/>
  </w:style>
  <w:style w:type="character" w:styleId="PlaceholderText">
    <w:name w:val="Placeholder Text"/>
    <w:basedOn w:val="DefaultParagraphFont"/>
    <w:uiPriority w:val="99"/>
    <w:semiHidden/>
    <w:unhideWhenUsed/>
    <w:rsid w:val="004C255D"/>
    <w:rPr>
      <w:color w:val="808080"/>
    </w:rPr>
  </w:style>
  <w:style w:type="paragraph" w:styleId="PlainText">
    <w:name w:val="Plain Text"/>
    <w:basedOn w:val="Normal"/>
    <w:link w:val="PlainTextChar"/>
    <w:uiPriority w:val="99"/>
    <w:semiHidden/>
    <w:unhideWhenUsed/>
    <w:rsid w:val="004C255D"/>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F66A91"/>
    <w:rPr>
      <w:rFonts w:ascii="Consolas" w:hAnsi="Consolas"/>
      <w:kern w:val="18"/>
      <w:sz w:val="21"/>
      <w:szCs w:val="21"/>
    </w:rPr>
  </w:style>
  <w:style w:type="paragraph" w:styleId="Salutation">
    <w:name w:val="Salutation"/>
    <w:basedOn w:val="Normal"/>
    <w:next w:val="Normal"/>
    <w:link w:val="SalutationChar"/>
    <w:uiPriority w:val="99"/>
    <w:semiHidden/>
    <w:unhideWhenUsed/>
    <w:rsid w:val="004C255D"/>
  </w:style>
  <w:style w:type="character" w:customStyle="1" w:styleId="SalutationChar">
    <w:name w:val="Salutation Char"/>
    <w:basedOn w:val="DefaultParagraphFont"/>
    <w:link w:val="Salutation"/>
    <w:uiPriority w:val="99"/>
    <w:semiHidden/>
    <w:rsid w:val="00F66A91"/>
    <w:rPr>
      <w:kern w:val="18"/>
    </w:rPr>
  </w:style>
  <w:style w:type="paragraph" w:styleId="Signature">
    <w:name w:val="Signature"/>
    <w:basedOn w:val="Normal"/>
    <w:link w:val="SignatureChar"/>
    <w:uiPriority w:val="99"/>
    <w:semiHidden/>
    <w:unhideWhenUsed/>
    <w:rsid w:val="004C255D"/>
    <w:pPr>
      <w:spacing w:line="240" w:lineRule="auto"/>
      <w:ind w:left="4252"/>
    </w:pPr>
  </w:style>
  <w:style w:type="character" w:customStyle="1" w:styleId="SignatureChar">
    <w:name w:val="Signature Char"/>
    <w:basedOn w:val="DefaultParagraphFont"/>
    <w:link w:val="Signature"/>
    <w:uiPriority w:val="99"/>
    <w:semiHidden/>
    <w:rsid w:val="00F66A91"/>
    <w:rPr>
      <w:kern w:val="18"/>
    </w:rPr>
  </w:style>
  <w:style w:type="character" w:styleId="SubtleEmphasis">
    <w:name w:val="Subtle Emphasis"/>
    <w:basedOn w:val="DefaultParagraphFont"/>
    <w:uiPriority w:val="19"/>
    <w:semiHidden/>
    <w:unhideWhenUsed/>
    <w:rsid w:val="004C255D"/>
    <w:rPr>
      <w:i/>
      <w:iCs/>
      <w:color w:val="808080" w:themeColor="text1" w:themeTint="7F"/>
    </w:rPr>
  </w:style>
  <w:style w:type="character" w:styleId="SubtleReference">
    <w:name w:val="Subtle Reference"/>
    <w:basedOn w:val="DefaultParagraphFont"/>
    <w:uiPriority w:val="31"/>
    <w:semiHidden/>
    <w:unhideWhenUsed/>
    <w:rsid w:val="004C255D"/>
    <w:rPr>
      <w:smallCaps/>
      <w:color w:val="00353E" w:themeColor="accent2"/>
      <w:u w:val="single"/>
    </w:rPr>
  </w:style>
  <w:style w:type="paragraph" w:styleId="TableofAuthorities">
    <w:name w:val="table of authorities"/>
    <w:basedOn w:val="Normal"/>
    <w:next w:val="Normal"/>
    <w:uiPriority w:val="99"/>
    <w:semiHidden/>
    <w:unhideWhenUsed/>
    <w:rsid w:val="004C255D"/>
    <w:pPr>
      <w:tabs>
        <w:tab w:val="clear" w:pos="284"/>
      </w:tabs>
      <w:ind w:left="180" w:hanging="180"/>
    </w:pPr>
  </w:style>
  <w:style w:type="paragraph" w:styleId="TOAHeading">
    <w:name w:val="toa heading"/>
    <w:basedOn w:val="Normal"/>
    <w:next w:val="Normal"/>
    <w:uiPriority w:val="99"/>
    <w:semiHidden/>
    <w:unhideWhenUsed/>
    <w:rsid w:val="004C255D"/>
    <w:pPr>
      <w:spacing w:before="120"/>
    </w:pPr>
    <w:rPr>
      <w:rFonts w:asciiTheme="majorHAnsi" w:eastAsiaTheme="majorEastAsia" w:hAnsiTheme="majorHAnsi" w:cstheme="majorBidi"/>
      <w:b/>
      <w:bCs/>
      <w:sz w:val="24"/>
      <w:szCs w:val="24"/>
    </w:rPr>
  </w:style>
  <w:style w:type="paragraph" w:styleId="TOC4">
    <w:name w:val="toc 4"/>
    <w:basedOn w:val="Normal"/>
    <w:next w:val="Normal"/>
    <w:autoRedefine/>
    <w:uiPriority w:val="39"/>
    <w:unhideWhenUsed/>
    <w:rsid w:val="003964F2"/>
    <w:pPr>
      <w:tabs>
        <w:tab w:val="clear" w:pos="284"/>
        <w:tab w:val="right" w:leader="dot" w:pos="9354"/>
      </w:tabs>
      <w:spacing w:after="40"/>
      <w:ind w:left="1134" w:hanging="567"/>
    </w:pPr>
  </w:style>
  <w:style w:type="paragraph" w:styleId="TOC5">
    <w:name w:val="toc 5"/>
    <w:basedOn w:val="Normal"/>
    <w:next w:val="Normal"/>
    <w:autoRedefine/>
    <w:uiPriority w:val="39"/>
    <w:semiHidden/>
    <w:unhideWhenUsed/>
    <w:rsid w:val="004C255D"/>
    <w:pPr>
      <w:tabs>
        <w:tab w:val="clear" w:pos="284"/>
      </w:tabs>
      <w:spacing w:after="100"/>
      <w:ind w:left="720"/>
    </w:pPr>
  </w:style>
  <w:style w:type="paragraph" w:styleId="TOC6">
    <w:name w:val="toc 6"/>
    <w:basedOn w:val="Normal"/>
    <w:next w:val="Normal"/>
    <w:autoRedefine/>
    <w:uiPriority w:val="39"/>
    <w:semiHidden/>
    <w:unhideWhenUsed/>
    <w:rsid w:val="004C255D"/>
    <w:pPr>
      <w:tabs>
        <w:tab w:val="clear" w:pos="284"/>
      </w:tabs>
      <w:spacing w:after="100"/>
      <w:ind w:left="900"/>
    </w:pPr>
  </w:style>
  <w:style w:type="paragraph" w:styleId="TOC7">
    <w:name w:val="toc 7"/>
    <w:basedOn w:val="Normal"/>
    <w:next w:val="Normal"/>
    <w:autoRedefine/>
    <w:uiPriority w:val="39"/>
    <w:semiHidden/>
    <w:unhideWhenUsed/>
    <w:rsid w:val="004C255D"/>
    <w:pPr>
      <w:tabs>
        <w:tab w:val="clear" w:pos="284"/>
      </w:tabs>
      <w:spacing w:after="100"/>
      <w:ind w:left="1080"/>
    </w:pPr>
  </w:style>
  <w:style w:type="paragraph" w:styleId="TOC8">
    <w:name w:val="toc 8"/>
    <w:basedOn w:val="Normal"/>
    <w:next w:val="Normal"/>
    <w:autoRedefine/>
    <w:uiPriority w:val="39"/>
    <w:semiHidden/>
    <w:unhideWhenUsed/>
    <w:rsid w:val="004C255D"/>
    <w:pPr>
      <w:tabs>
        <w:tab w:val="clear" w:pos="284"/>
      </w:tabs>
      <w:spacing w:after="100"/>
      <w:ind w:left="1260"/>
    </w:pPr>
  </w:style>
  <w:style w:type="paragraph" w:styleId="TOC9">
    <w:name w:val="toc 9"/>
    <w:basedOn w:val="Normal"/>
    <w:next w:val="Normal"/>
    <w:autoRedefine/>
    <w:uiPriority w:val="39"/>
    <w:semiHidden/>
    <w:unhideWhenUsed/>
    <w:rsid w:val="004C255D"/>
    <w:pPr>
      <w:tabs>
        <w:tab w:val="clear" w:pos="284"/>
      </w:tabs>
      <w:spacing w:after="100"/>
      <w:ind w:left="1440"/>
    </w:pPr>
  </w:style>
  <w:style w:type="paragraph" w:customStyle="1" w:styleId="CVHeading">
    <w:name w:val="CV Heading"/>
    <w:basedOn w:val="BodyText"/>
    <w:uiPriority w:val="24"/>
    <w:qFormat/>
    <w:rsid w:val="004C255D"/>
    <w:rPr>
      <w:rFonts w:asciiTheme="majorHAnsi" w:hAnsiTheme="majorHAnsi"/>
      <w:b/>
      <w:sz w:val="24"/>
    </w:rPr>
  </w:style>
  <w:style w:type="paragraph" w:customStyle="1" w:styleId="CVIntroduction">
    <w:name w:val="CV Introduction"/>
    <w:basedOn w:val="BodyText"/>
    <w:uiPriority w:val="23"/>
    <w:qFormat/>
    <w:rsid w:val="004C255D"/>
    <w:pPr>
      <w:pBdr>
        <w:top w:val="single" w:sz="4" w:space="6" w:color="auto"/>
        <w:bottom w:val="single" w:sz="4" w:space="6" w:color="auto"/>
      </w:pBdr>
    </w:pPr>
    <w:rPr>
      <w:sz w:val="28"/>
    </w:rPr>
  </w:style>
  <w:style w:type="paragraph" w:customStyle="1" w:styleId="CVTitle">
    <w:name w:val="CV Title"/>
    <w:basedOn w:val="Normal"/>
    <w:uiPriority w:val="1"/>
    <w:semiHidden/>
    <w:unhideWhenUsed/>
    <w:rsid w:val="004C255D"/>
    <w:pPr>
      <w:tabs>
        <w:tab w:val="clear" w:pos="284"/>
      </w:tabs>
    </w:pPr>
    <w:rPr>
      <w:rFonts w:asciiTheme="majorHAnsi" w:hAnsiTheme="majorHAnsi"/>
      <w:color w:val="000000" w:themeColor="text1"/>
      <w:sz w:val="32"/>
    </w:rPr>
  </w:style>
  <w:style w:type="table" w:customStyle="1" w:styleId="Tablenoborders">
    <w:name w:val="Table no borders"/>
    <w:basedOn w:val="TableNormal"/>
    <w:uiPriority w:val="99"/>
    <w:semiHidden/>
    <w:unhideWhenUsed/>
    <w:rsid w:val="00C314D3"/>
    <w:tblPr>
      <w:tblCellMar>
        <w:left w:w="0" w:type="dxa"/>
        <w:right w:w="0" w:type="dxa"/>
      </w:tblCellMar>
    </w:tblPr>
  </w:style>
  <w:style w:type="numbering" w:customStyle="1" w:styleId="AECOMTableBullets">
    <w:name w:val="AECOM Table Bullets"/>
    <w:uiPriority w:val="99"/>
    <w:semiHidden/>
    <w:unhideWhenUsed/>
    <w:rsid w:val="002740A7"/>
    <w:pPr>
      <w:numPr>
        <w:numId w:val="11"/>
      </w:numPr>
    </w:pPr>
  </w:style>
  <w:style w:type="numbering" w:customStyle="1" w:styleId="AECOMTableNumbering">
    <w:name w:val="AECOM Table Numbering"/>
    <w:uiPriority w:val="99"/>
    <w:semiHidden/>
    <w:unhideWhenUsed/>
    <w:rsid w:val="002740A7"/>
    <w:pPr>
      <w:numPr>
        <w:numId w:val="15"/>
      </w:numPr>
    </w:pPr>
  </w:style>
  <w:style w:type="paragraph" w:customStyle="1" w:styleId="TableListBullet">
    <w:name w:val="Table List Bullet"/>
    <w:basedOn w:val="Normal"/>
    <w:uiPriority w:val="16"/>
    <w:qFormat/>
    <w:rsid w:val="002740A7"/>
    <w:pPr>
      <w:numPr>
        <w:numId w:val="16"/>
      </w:numPr>
      <w:tabs>
        <w:tab w:val="clear" w:pos="284"/>
      </w:tabs>
      <w:spacing w:after="40" w:line="240" w:lineRule="auto"/>
    </w:pPr>
    <w:rPr>
      <w:sz w:val="16"/>
    </w:rPr>
  </w:style>
  <w:style w:type="paragraph" w:customStyle="1" w:styleId="TableListBullet2">
    <w:name w:val="Table List Bullet 2"/>
    <w:basedOn w:val="Normal"/>
    <w:uiPriority w:val="17"/>
    <w:qFormat/>
    <w:rsid w:val="002740A7"/>
    <w:pPr>
      <w:numPr>
        <w:ilvl w:val="1"/>
        <w:numId w:val="16"/>
      </w:numPr>
      <w:tabs>
        <w:tab w:val="clear" w:pos="284"/>
      </w:tabs>
      <w:spacing w:after="40" w:line="240" w:lineRule="auto"/>
    </w:pPr>
    <w:rPr>
      <w:sz w:val="16"/>
    </w:rPr>
  </w:style>
  <w:style w:type="paragraph" w:customStyle="1" w:styleId="TableListBullet3">
    <w:name w:val="Table List Bullet 3"/>
    <w:basedOn w:val="Normal"/>
    <w:uiPriority w:val="18"/>
    <w:qFormat/>
    <w:rsid w:val="002740A7"/>
    <w:pPr>
      <w:numPr>
        <w:ilvl w:val="2"/>
        <w:numId w:val="16"/>
      </w:numPr>
      <w:tabs>
        <w:tab w:val="clear" w:pos="284"/>
      </w:tabs>
      <w:spacing w:after="40" w:line="240" w:lineRule="auto"/>
    </w:pPr>
    <w:rPr>
      <w:sz w:val="16"/>
    </w:rPr>
  </w:style>
  <w:style w:type="paragraph" w:customStyle="1" w:styleId="TableListNumber">
    <w:name w:val="Table List Number"/>
    <w:basedOn w:val="BodyText"/>
    <w:uiPriority w:val="19"/>
    <w:qFormat/>
    <w:rsid w:val="002740A7"/>
    <w:pPr>
      <w:numPr>
        <w:numId w:val="15"/>
      </w:numPr>
      <w:spacing w:after="40" w:line="240" w:lineRule="auto"/>
    </w:pPr>
    <w:rPr>
      <w:sz w:val="16"/>
    </w:rPr>
  </w:style>
  <w:style w:type="paragraph" w:customStyle="1" w:styleId="TableListNumber2">
    <w:name w:val="Table List Number 2"/>
    <w:basedOn w:val="Normal"/>
    <w:uiPriority w:val="20"/>
    <w:qFormat/>
    <w:rsid w:val="002740A7"/>
    <w:pPr>
      <w:numPr>
        <w:ilvl w:val="1"/>
        <w:numId w:val="15"/>
      </w:numPr>
      <w:tabs>
        <w:tab w:val="clear" w:pos="284"/>
      </w:tabs>
      <w:spacing w:after="40" w:line="240" w:lineRule="auto"/>
    </w:pPr>
    <w:rPr>
      <w:sz w:val="16"/>
    </w:rPr>
  </w:style>
  <w:style w:type="paragraph" w:customStyle="1" w:styleId="TableListNumber3">
    <w:name w:val="Table List Number 3"/>
    <w:basedOn w:val="Normal"/>
    <w:uiPriority w:val="21"/>
    <w:qFormat/>
    <w:rsid w:val="002740A7"/>
    <w:pPr>
      <w:numPr>
        <w:ilvl w:val="2"/>
        <w:numId w:val="15"/>
      </w:numPr>
      <w:tabs>
        <w:tab w:val="clear" w:pos="284"/>
      </w:tabs>
      <w:spacing w:after="40" w:line="240" w:lineRule="auto"/>
    </w:pPr>
    <w:rPr>
      <w:sz w:val="16"/>
    </w:rPr>
  </w:style>
  <w:style w:type="paragraph" w:customStyle="1" w:styleId="Tabletext">
    <w:name w:val="Table text"/>
    <w:basedOn w:val="BodyText"/>
    <w:link w:val="TabletextChar"/>
    <w:uiPriority w:val="1"/>
    <w:qFormat/>
    <w:rsid w:val="002C5B28"/>
    <w:pPr>
      <w:spacing w:before="40" w:after="40" w:line="240" w:lineRule="auto"/>
    </w:pPr>
    <w:rPr>
      <w:sz w:val="18"/>
    </w:rPr>
  </w:style>
  <w:style w:type="paragraph" w:customStyle="1" w:styleId="Callout">
    <w:name w:val="Callout"/>
    <w:basedOn w:val="BodyText"/>
    <w:uiPriority w:val="1"/>
    <w:semiHidden/>
    <w:unhideWhenUsed/>
    <w:rsid w:val="00F352C7"/>
    <w:pPr>
      <w:spacing w:after="60"/>
    </w:pPr>
  </w:style>
  <w:style w:type="paragraph" w:customStyle="1" w:styleId="SQL">
    <w:name w:val="SQL"/>
    <w:uiPriority w:val="1"/>
    <w:semiHidden/>
    <w:unhideWhenUsed/>
    <w:rsid w:val="004D4675"/>
    <w:pPr>
      <w:spacing w:after="120" w:line="240" w:lineRule="atLeast"/>
    </w:pPr>
    <w:rPr>
      <w:sz w:val="16"/>
      <w:lang w:val="en-CA"/>
    </w:rPr>
  </w:style>
  <w:style w:type="table" w:customStyle="1" w:styleId="AECOMcolouredtable">
    <w:name w:val="AECOM coloured table"/>
    <w:basedOn w:val="TableNormal"/>
    <w:uiPriority w:val="99"/>
    <w:semiHidden/>
    <w:unhideWhenUsed/>
    <w:rsid w:val="00890ADA"/>
    <w:tblPr>
      <w:tblStyleRowBandSize w:val="1"/>
    </w:tblPr>
    <w:tblStylePr w:type="firstRow">
      <w:rPr>
        <w:b/>
        <w:color w:val="FFFFFF" w:themeColor="background1"/>
      </w:rPr>
      <w:tblPr/>
      <w:tcPr>
        <w:tcBorders>
          <w:bottom w:val="single" w:sz="12" w:space="0" w:color="FFFFFF" w:themeColor="background1"/>
          <w:insideV w:val="single" w:sz="4" w:space="0" w:color="FFFFFF" w:themeColor="background1"/>
        </w:tcBorders>
        <w:shd w:val="clear" w:color="auto" w:fill="008768" w:themeFill="accent1"/>
      </w:tcPr>
    </w:tblStylePr>
    <w:tblStylePr w:type="firstCol">
      <w:rPr>
        <w:b/>
        <w:color w:val="FFFFFF" w:themeColor="background1"/>
      </w:rPr>
      <w:tblPr/>
      <w:tcPr>
        <w:tcBorders>
          <w:right w:val="single" w:sz="12" w:space="0" w:color="FFFFFF" w:themeColor="background1"/>
        </w:tcBorders>
        <w:shd w:val="clear" w:color="auto" w:fill="008768" w:themeFill="accent1"/>
      </w:tcPr>
    </w:tblStylePr>
    <w:tblStylePr w:type="band1Horz">
      <w:tblPr/>
      <w:tcPr>
        <w:shd w:val="clear" w:color="auto" w:fill="B4FFED" w:themeFill="accent1" w:themeFillTint="33"/>
      </w:tcPr>
    </w:tblStylePr>
    <w:tblStylePr w:type="band2Horz">
      <w:tblPr/>
      <w:tcPr>
        <w:shd w:val="clear" w:color="auto" w:fill="69FFDC" w:themeFill="accent1" w:themeFillTint="66"/>
      </w:tcPr>
    </w:tblStylePr>
  </w:style>
  <w:style w:type="paragraph" w:customStyle="1" w:styleId="Appendixheading2">
    <w:name w:val="Appendix heading 2"/>
    <w:basedOn w:val="Heading2"/>
    <w:uiPriority w:val="8"/>
    <w:qFormat/>
    <w:rsid w:val="003934D8"/>
    <w:pPr>
      <w:numPr>
        <w:numId w:val="17"/>
      </w:numPr>
      <w:ind w:left="851" w:hanging="851"/>
    </w:pPr>
    <w:rPr>
      <w:rFonts w:cstheme="majorHAnsi"/>
      <w:szCs w:val="36"/>
      <w:lang w:val="en-US"/>
    </w:rPr>
  </w:style>
  <w:style w:type="paragraph" w:customStyle="1" w:styleId="Numberedtext">
    <w:name w:val="Numbered text"/>
    <w:basedOn w:val="Heading2"/>
    <w:link w:val="NumberedtextChar"/>
    <w:uiPriority w:val="2"/>
    <w:qFormat/>
    <w:rsid w:val="00FD338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Heading1NewPage">
    <w:name w:val="Heading 1 New Page"/>
    <w:basedOn w:val="Heading1"/>
    <w:uiPriority w:val="1"/>
    <w:rsid w:val="00DF3C40"/>
  </w:style>
  <w:style w:type="paragraph" w:customStyle="1" w:styleId="Numberedtext2">
    <w:name w:val="Numbered text 2"/>
    <w:basedOn w:val="Heading3"/>
    <w:uiPriority w:val="1"/>
    <w:qFormat/>
    <w:rsid w:val="00B3542E"/>
    <w:pPr>
      <w:keepNext w:val="0"/>
      <w:keepLines w:val="0"/>
      <w:spacing w:before="0" w:after="180" w:line="240" w:lineRule="atLeast"/>
      <w:outlineLvl w:val="9"/>
    </w:pPr>
    <w:rPr>
      <w:rFonts w:asciiTheme="minorHAnsi" w:hAnsiTheme="minorHAnsi" w:cstheme="minorHAnsi"/>
      <w:b w:val="0"/>
      <w:color w:val="auto"/>
      <w:sz w:val="18"/>
    </w:rPr>
  </w:style>
  <w:style w:type="paragraph" w:customStyle="1" w:styleId="Plates">
    <w:name w:val="Plates"/>
    <w:basedOn w:val="Caption"/>
    <w:link w:val="PlatesChar"/>
    <w:uiPriority w:val="1"/>
    <w:qFormat/>
    <w:rsid w:val="00B26855"/>
    <w:pPr>
      <w:keepNext w:val="0"/>
    </w:pPr>
  </w:style>
  <w:style w:type="character" w:customStyle="1" w:styleId="CaptionChar">
    <w:name w:val="Caption Char"/>
    <w:aliases w:val="Table/Figure Heading Char1,Table Number# Char1,Table Number# + Bold Char1,Top: (Single solid line Char1,Custom Color(RGB(0 Char1,91 Char1,..... Char1,Caption Char Char Char Char1,Caption Char Char Char Char Char Char Char1,Caption1 Char"/>
    <w:basedOn w:val="DefaultParagraphFont"/>
    <w:link w:val="Caption"/>
    <w:uiPriority w:val="35"/>
    <w:rsid w:val="00B26855"/>
    <w:rPr>
      <w:rFonts w:asciiTheme="majorHAnsi" w:hAnsiTheme="majorHAnsi"/>
      <w:b/>
      <w:bCs/>
      <w:color w:val="008768" w:themeColor="accent1"/>
      <w:kern w:val="18"/>
      <w:sz w:val="20"/>
    </w:rPr>
  </w:style>
  <w:style w:type="character" w:customStyle="1" w:styleId="PlatesChar">
    <w:name w:val="Plates Char"/>
    <w:basedOn w:val="CaptionChar"/>
    <w:link w:val="Plates"/>
    <w:uiPriority w:val="1"/>
    <w:rsid w:val="00B26855"/>
    <w:rPr>
      <w:rFonts w:asciiTheme="majorHAnsi" w:hAnsiTheme="majorHAnsi"/>
      <w:b/>
      <w:bCs/>
      <w:color w:val="008768" w:themeColor="accent1"/>
      <w:kern w:val="18"/>
      <w:sz w:val="20"/>
    </w:rPr>
  </w:style>
  <w:style w:type="character" w:styleId="UnresolvedMention">
    <w:name w:val="Unresolved Mention"/>
    <w:basedOn w:val="DefaultParagraphFont"/>
    <w:uiPriority w:val="99"/>
    <w:semiHidden/>
    <w:unhideWhenUsed/>
    <w:rsid w:val="004A61DD"/>
    <w:rPr>
      <w:color w:val="605E5C"/>
      <w:shd w:val="clear" w:color="auto" w:fill="E1DFDD"/>
    </w:rPr>
  </w:style>
  <w:style w:type="character" w:customStyle="1" w:styleId="TabletextChar">
    <w:name w:val="Table text Char"/>
    <w:basedOn w:val="DefaultParagraphFont"/>
    <w:link w:val="Tabletext"/>
    <w:uiPriority w:val="1"/>
    <w:locked/>
    <w:rsid w:val="00771BA8"/>
    <w:rPr>
      <w:kern w:val="18"/>
    </w:rPr>
  </w:style>
  <w:style w:type="paragraph" w:styleId="Revision">
    <w:name w:val="Revision"/>
    <w:hidden/>
    <w:uiPriority w:val="99"/>
    <w:semiHidden/>
    <w:rsid w:val="003D6245"/>
    <w:rPr>
      <w:kern w:val="18"/>
      <w:sz w:val="20"/>
    </w:rPr>
  </w:style>
  <w:style w:type="character" w:styleId="Mention">
    <w:name w:val="Mention"/>
    <w:basedOn w:val="DefaultParagraphFont"/>
    <w:uiPriority w:val="99"/>
    <w:unhideWhenUsed/>
    <w:rsid w:val="00323F7E"/>
    <w:rPr>
      <w:color w:val="2B579A"/>
      <w:shd w:val="clear" w:color="auto" w:fill="E1DFDD"/>
    </w:rPr>
  </w:style>
  <w:style w:type="character" w:customStyle="1" w:styleId="NumberedtextChar">
    <w:name w:val="Numbered text Char"/>
    <w:basedOn w:val="DefaultParagraphFont"/>
    <w:link w:val="Numberedtext"/>
    <w:uiPriority w:val="2"/>
    <w:locked/>
    <w:rsid w:val="004C729A"/>
    <w:rPr>
      <w:rFonts w:eastAsiaTheme="majorEastAsia" w:cstheme="minorHAnsi"/>
      <w:bCs/>
      <w:kern w:val="18"/>
      <w:szCs w:val="26"/>
    </w:rPr>
  </w:style>
  <w:style w:type="character" w:customStyle="1" w:styleId="CaptionChar1">
    <w:name w:val="Caption Char1"/>
    <w:aliases w:val="Caption Char Char,Table/Figure Heading Char,Table Number# Char,Table Number# + Bold Char,Top: (Single solid line Char,Custom Color(RGB(0 Char,91 Char,..... Char,Caption Char Char Char Char,Caption Char Char Char Char Char Char Char"/>
    <w:uiPriority w:val="35"/>
    <w:rsid w:val="0006526E"/>
    <w:rPr>
      <w:rFonts w:asciiTheme="majorHAnsi" w:hAnsiTheme="majorHAnsi"/>
      <w:b/>
      <w:bCs/>
      <w:color w:val="008768" w:themeColor="accent1"/>
      <w:kern w:val="18"/>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5.xml"/><Relationship Id="rId21" Type="http://schemas.openxmlformats.org/officeDocument/2006/relationships/header" Target="header3.xml"/><Relationship Id="rId42" Type="http://schemas.openxmlformats.org/officeDocument/2006/relationships/hyperlink" Target="https://eur-lex.europa.eu/eli/dir/2011/92/oj/eng" TargetMode="External"/><Relationship Id="rId47" Type="http://schemas.openxmlformats.org/officeDocument/2006/relationships/hyperlink" Target="https://www.hsa.ie/media/4oap0mec/tlup-guidance-feb-2023-final.pdf" TargetMode="External"/><Relationship Id="rId63" Type="http://schemas.openxmlformats.org/officeDocument/2006/relationships/hyperlink" Target="https://www.sdcc.ie/en/devplan2022/adopted-plan/county-development-plan-written-statement/county-development-plan-written-statement1.pdf" TargetMode="External"/><Relationship Id="rId68" Type="http://schemas.openxmlformats.org/officeDocument/2006/relationships/image" Target="media/image7.png"/><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6.svg"/><Relationship Id="rId29" Type="http://schemas.openxmlformats.org/officeDocument/2006/relationships/footer" Target="footer6.xml"/><Relationship Id="rId11" Type="http://schemas.openxmlformats.org/officeDocument/2006/relationships/image" Target="media/image1.png"/><Relationship Id="rId24" Type="http://schemas.openxmlformats.org/officeDocument/2006/relationships/footer" Target="footer4.xml"/><Relationship Id="rId32" Type="http://schemas.openxmlformats.org/officeDocument/2006/relationships/header" Target="header8.xml"/><Relationship Id="rId37" Type="http://schemas.openxmlformats.org/officeDocument/2006/relationships/hyperlink" Target="https://www.epa.ie/publications/compliance--enforcement/licensees/reporting/financial-provisions/guidance-on-assessing-and-costing-environmental-liabilities.php" TargetMode="External"/><Relationship Id="rId40" Type="http://schemas.openxmlformats.org/officeDocument/2006/relationships/hyperlink" Target="https://eur-lex.europa.eu/eli/dir/1992/43/oj/eng" TargetMode="External"/><Relationship Id="rId45" Type="http://schemas.openxmlformats.org/officeDocument/2006/relationships/hyperlink" Target="https://gsi.geodata.gov.ie/portal/apps/webappviewer/index.html?id=d333a8a9b6ab44378411fc0d973db4ef" TargetMode="External"/><Relationship Id="rId53" Type="http://schemas.openxmlformats.org/officeDocument/2006/relationships/hyperlink" Target="https://www.irishstatutebook.ie/eli/2015/si/623/made/en/print?q=chemical+agents" TargetMode="External"/><Relationship Id="rId58" Type="http://schemas.openxmlformats.org/officeDocument/2006/relationships/hyperlink" Target="https://www.irishstatutebook.ie/eli/2022/si/421/made/en/print" TargetMode="External"/><Relationship Id="rId66" Type="http://schemas.openxmlformats.org/officeDocument/2006/relationships/header" Target="header9.xml"/><Relationship Id="rId5" Type="http://schemas.openxmlformats.org/officeDocument/2006/relationships/numbering" Target="numbering.xml"/><Relationship Id="rId61" Type="http://schemas.openxmlformats.org/officeDocument/2006/relationships/hyperlink" Target="https://assets.gov.ie/static/documents/46bd0747/NCSC-2025_National_Cyber_Risk_Assessment.pdf" TargetMode="External"/><Relationship Id="rId19" Type="http://schemas.openxmlformats.org/officeDocument/2006/relationships/header" Target="header2.xml"/><Relationship Id="rId14" Type="http://schemas.openxmlformats.org/officeDocument/2006/relationships/image" Target="media/image4.svg"/><Relationship Id="rId22" Type="http://schemas.openxmlformats.org/officeDocument/2006/relationships/footer" Target="footer3.xml"/><Relationship Id="rId27" Type="http://schemas.openxmlformats.org/officeDocument/2006/relationships/footer" Target="footer5.xml"/><Relationship Id="rId30" Type="http://schemas.openxmlformats.org/officeDocument/2006/relationships/header" Target="header7.xml"/><Relationship Id="rId35" Type="http://schemas.openxmlformats.org/officeDocument/2006/relationships/hyperlink" Target="https://www.gov.ie/en/department-of-housing-local-government-and-heritage/collections/a-framework-for-major-emergency-management/" TargetMode="External"/><Relationship Id="rId43" Type="http://schemas.openxmlformats.org/officeDocument/2006/relationships/hyperlink" Target="https://eur-lex.europa.eu/eli/dir/2012/18/oj/eng" TargetMode="External"/><Relationship Id="rId48" Type="http://schemas.openxmlformats.org/officeDocument/2006/relationships/hyperlink" Target="https://www.irishstatutebook.ie/eli/1972/act/10/enacted/en/html" TargetMode="External"/><Relationship Id="rId56" Type="http://schemas.openxmlformats.org/officeDocument/2006/relationships/hyperlink" Target="https://www.irishstatutebook.ie/eli/2021/si/231" TargetMode="External"/><Relationship Id="rId64" Type="http://schemas.openxmlformats.org/officeDocument/2006/relationships/hyperlink" Target="https://www.legislation.gov.uk/uksi/2015/483/contents/made" TargetMode="External"/><Relationship Id="rId69" Type="http://schemas.openxmlformats.org/officeDocument/2006/relationships/image" Target="media/image8.svg"/><Relationship Id="rId8" Type="http://schemas.openxmlformats.org/officeDocument/2006/relationships/webSettings" Target="webSettings.xml"/><Relationship Id="rId51" Type="http://schemas.openxmlformats.org/officeDocument/2006/relationships/hyperlink" Target="https://www.irishstatutebook.ie/eli/2005/act/10/enacted/en/print" TargetMode="External"/><Relationship Id="rId3" Type="http://schemas.openxmlformats.org/officeDocument/2006/relationships/customXml" Target="../customXml/item3.xml"/><Relationship Id="rId12" Type="http://schemas.openxmlformats.org/officeDocument/2006/relationships/image" Target="media/image2.svg"/><Relationship Id="rId17" Type="http://schemas.openxmlformats.org/officeDocument/2006/relationships/header" Target="header1.xml"/><Relationship Id="rId25" Type="http://schemas.openxmlformats.org/officeDocument/2006/relationships/hyperlink" Target="https://www.met.ie/climate/weather-extreme-records" TargetMode="External"/><Relationship Id="rId33" Type="http://schemas.openxmlformats.org/officeDocument/2006/relationships/footer" Target="footer8.xml"/><Relationship Id="rId38" Type="http://schemas.openxmlformats.org/officeDocument/2006/relationships/hyperlink" Target="https://www.epa.ie/publications/monitoring--assessment/assessment/EIAR_Guidelines_2022_Web.pdf" TargetMode="External"/><Relationship Id="rId46" Type="http://schemas.openxmlformats.org/officeDocument/2006/relationships/hyperlink" Target="https://gsi.geodata.gov.ie/portal/home/webmap/viewer.html?useExisting=1&amp;layers=3d3750eb72c349668f18eab4dd68adc1" TargetMode="External"/><Relationship Id="rId59" Type="http://schemas.openxmlformats.org/officeDocument/2006/relationships/hyperlink" Target="https://www.irishstatutebook.ie/eli/2023/si/255/made/en/print" TargetMode="External"/><Relationship Id="rId67" Type="http://schemas.openxmlformats.org/officeDocument/2006/relationships/footer" Target="footer9.xml"/><Relationship Id="rId20" Type="http://schemas.openxmlformats.org/officeDocument/2006/relationships/footer" Target="footer2.xml"/><Relationship Id="rId41" Type="http://schemas.openxmlformats.org/officeDocument/2006/relationships/hyperlink" Target="https://eur-lex.europa.eu/eli/dir/2009/147/oj/eng" TargetMode="External"/><Relationship Id="rId54" Type="http://schemas.openxmlformats.org/officeDocument/2006/relationships/hyperlink" Target="https://www.irishstatutebook.ie/eli/2020/si/191/made/en/print" TargetMode="External"/><Relationship Id="rId62" Type="http://schemas.openxmlformats.org/officeDocument/2006/relationships/hyperlink" Target="https://www.hsa.ie/media/4oap0mec/tlup-guidance-feb-2023-final.pdf"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5.png"/><Relationship Id="rId23" Type="http://schemas.openxmlformats.org/officeDocument/2006/relationships/header" Target="header4.xml"/><Relationship Id="rId28" Type="http://schemas.openxmlformats.org/officeDocument/2006/relationships/header" Target="header6.xml"/><Relationship Id="rId36" Type="http://schemas.openxmlformats.org/officeDocument/2006/relationships/hyperlink" Target="https://www.emra.ie/rses-download/EMRA-RSES.pdf" TargetMode="External"/><Relationship Id="rId49" Type="http://schemas.openxmlformats.org/officeDocument/2006/relationships/hyperlink" Target="https://www.irishstatutebook.ie/eli/2001/si/619/made/en/print?q=chemical+agents" TargetMode="External"/><Relationship Id="rId57" Type="http://schemas.openxmlformats.org/officeDocument/2006/relationships/hyperlink" Target="https://www.irishstatutebook.ie/eli/2021/si/528/made/en/print" TargetMode="External"/><Relationship Id="rId10" Type="http://schemas.openxmlformats.org/officeDocument/2006/relationships/endnotes" Target="endnotes.xml"/><Relationship Id="rId31" Type="http://schemas.openxmlformats.org/officeDocument/2006/relationships/footer" Target="footer7.xml"/><Relationship Id="rId44" Type="http://schemas.openxmlformats.org/officeDocument/2006/relationships/hyperlink" Target="https://eur-lex.europa.eu/legal-content/EN/TXT/?uri=celex:32014L0052" TargetMode="External"/><Relationship Id="rId52" Type="http://schemas.openxmlformats.org/officeDocument/2006/relationships/hyperlink" Target="https://www.irishstatutebook.ie/eli/2015/si/209/made/en/print" TargetMode="External"/><Relationship Id="rId60" Type="http://schemas.openxmlformats.org/officeDocument/2006/relationships/hyperlink" Target="https://www.gov.ie/en/department-of-the-taoiseach/policy-information/national-risk-assessment-2024-overview-of-strategic-risks/" TargetMode="External"/><Relationship Id="rId65" Type="http://schemas.openxmlformats.org/officeDocument/2006/relationships/hyperlink" Target="https://www.legislation.gov.uk/uksi/2002/2677/contents/made"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oter" Target="footer1.xml"/><Relationship Id="rId39" Type="http://schemas.openxmlformats.org/officeDocument/2006/relationships/hyperlink" Target="https://circabc.europa.eu/ui/group/3b48eff1-b955-423f-9086-0d85ad1c5879/library/b7451988-d869-4fee-80de-0935695f67f2/details?download=true" TargetMode="External"/><Relationship Id="rId34" Type="http://schemas.openxmlformats.org/officeDocument/2006/relationships/hyperlink" Target="https://www.sepa.org.uk/media/219154/cdoif_guideline__environmental_risk_assessment_v2.pdf" TargetMode="External"/><Relationship Id="rId50" Type="http://schemas.openxmlformats.org/officeDocument/2006/relationships/hyperlink" Target="https://www.irishstatutebook.ie/eli/2008/si/272/made/en/print" TargetMode="External"/><Relationship Id="rId55" Type="http://schemas.openxmlformats.org/officeDocument/2006/relationships/hyperlink" Target="https://www.gov.ie/en/department-of-housing-local-government-and-heritage/publications/building-standard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eixeiraPallaBragaL\AppData\Roaming\Microsoft\Templates\AECOM_Report.dotm" TargetMode="External"/></Relationships>
</file>

<file path=word/theme/theme1.xml><?xml version="1.0" encoding="utf-8"?>
<a:theme xmlns:a="http://schemas.openxmlformats.org/drawingml/2006/main" name="Office Theme">
  <a:themeElements>
    <a:clrScheme name="AECOM2021">
      <a:dk1>
        <a:sysClr val="windowText" lastClr="000000"/>
      </a:dk1>
      <a:lt1>
        <a:sysClr val="window" lastClr="FFFFFF"/>
      </a:lt1>
      <a:dk2>
        <a:srgbClr val="000000"/>
      </a:dk2>
      <a:lt2>
        <a:srgbClr val="FFFFFF"/>
      </a:lt2>
      <a:accent1>
        <a:srgbClr val="008768"/>
      </a:accent1>
      <a:accent2>
        <a:srgbClr val="00353E"/>
      </a:accent2>
      <a:accent3>
        <a:srgbClr val="AECC53"/>
      </a:accent3>
      <a:accent4>
        <a:srgbClr val="E52713"/>
      </a:accent4>
      <a:accent5>
        <a:srgbClr val="009A9B"/>
      </a:accent5>
      <a:accent6>
        <a:srgbClr val="FFCE00"/>
      </a:accent6>
      <a:hlink>
        <a:srgbClr val="C70C6F"/>
      </a:hlink>
      <a:folHlink>
        <a:srgbClr val="9C0880"/>
      </a:folHlink>
    </a:clrScheme>
    <a:fontScheme name="AECOM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B8273982945C747AFA2C8D2E2ACECBC" ma:contentTypeVersion="18" ma:contentTypeDescription="Create a new document." ma:contentTypeScope="" ma:versionID="b5272d9fb5448765933779fa0b4b731e">
  <xsd:schema xmlns:xsd="http://www.w3.org/2001/XMLSchema" xmlns:xs="http://www.w3.org/2001/XMLSchema" xmlns:p="http://schemas.microsoft.com/office/2006/metadata/properties" xmlns:ns2="681d8487-dcfd-4a8f-91dc-bed1aeb3ba72" xmlns:ns3="549488db-1b52-469d-baa8-401867194c68" targetNamespace="http://schemas.microsoft.com/office/2006/metadata/properties" ma:root="true" ma:fieldsID="aedf89f763120ed6528832e85aa1df60" ns2:_="" ns3:_="">
    <xsd:import namespace="681d8487-dcfd-4a8f-91dc-bed1aeb3ba72"/>
    <xsd:import namespace="549488db-1b52-469d-baa8-401867194c68"/>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3:SharedWithUsers" minOccurs="0"/>
                <xsd:element ref="ns3:SharedWithDetails"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1d8487-dcfd-4a8f-91dc-bed1aeb3ba7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d9981200-2054-4529-93bd-3e597e9db086"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49488db-1b52-469d-baa8-401867194c68"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d9ec83e-1644-4c3c-9911-a2b90dcfc6e7}" ma:internalName="TaxCatchAll" ma:showField="CatchAllData" ma:web="549488db-1b52-469d-baa8-401867194c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81d8487-dcfd-4a8f-91dc-bed1aeb3ba72">
      <Terms xmlns="http://schemas.microsoft.com/office/infopath/2007/PartnerControls"/>
    </lcf76f155ced4ddcb4097134ff3c332f>
    <TaxCatchAll xmlns="549488db-1b52-469d-baa8-401867194c68"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38F95FE-25FE-4388-A8D4-930247901981}"/>
</file>

<file path=customXml/itemProps2.xml><?xml version="1.0" encoding="utf-8"?>
<ds:datastoreItem xmlns:ds="http://schemas.openxmlformats.org/officeDocument/2006/customXml" ds:itemID="{BD5B15A8-F700-460B-990B-9418509E33F0}">
  <ds:schemaRefs>
    <ds:schemaRef ds:uri="http://schemas.microsoft.com/office/2006/metadata/properties"/>
    <ds:schemaRef ds:uri="http://schemas.microsoft.com/office/infopath/2007/PartnerControls"/>
    <ds:schemaRef ds:uri="f47703a4-047e-437d-827c-0b0606d4766b"/>
    <ds:schemaRef ds:uri="http://schemas.microsoft.com/sharepoint/v3"/>
    <ds:schemaRef ds:uri="74b8662a-2a87-4d5a-8e91-aee220d28978"/>
  </ds:schemaRefs>
</ds:datastoreItem>
</file>

<file path=customXml/itemProps3.xml><?xml version="1.0" encoding="utf-8"?>
<ds:datastoreItem xmlns:ds="http://schemas.openxmlformats.org/officeDocument/2006/customXml" ds:itemID="{CDF1859D-971B-4AC8-891A-C21BC63CDF79}">
  <ds:schemaRefs>
    <ds:schemaRef ds:uri="http://schemas.openxmlformats.org/officeDocument/2006/bibliography"/>
  </ds:schemaRefs>
</ds:datastoreItem>
</file>

<file path=customXml/itemProps4.xml><?xml version="1.0" encoding="utf-8"?>
<ds:datastoreItem xmlns:ds="http://schemas.openxmlformats.org/officeDocument/2006/customXml" ds:itemID="{F802DA55-147F-4EEA-8C28-5F840CD0625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AECOM_Report</Template>
  <TotalTime>1</TotalTime>
  <Pages>33</Pages>
  <Words>13365</Words>
  <Characters>76187</Characters>
  <Application>Microsoft Office Word</Application>
  <DocSecurity>0</DocSecurity>
  <Lines>634</Lines>
  <Paragraphs>178</Paragraphs>
  <ScaleCrop>false</ScaleCrop>
  <HeadingPairs>
    <vt:vector size="2" baseType="variant">
      <vt:variant>
        <vt:lpstr>Title</vt:lpstr>
      </vt:variant>
      <vt:variant>
        <vt:i4>1</vt:i4>
      </vt:variant>
    </vt:vector>
  </HeadingPairs>
  <TitlesOfParts>
    <vt:vector size="1" baseType="lpstr">
      <vt:lpstr>Report SDCC Rathcoole Housing Development 2025-12-19</vt:lpstr>
    </vt:vector>
  </TitlesOfParts>
  <Company>AECOM Ireland Limited</Company>
  <LinksUpToDate>false</LinksUpToDate>
  <CharactersWithSpaces>89374</CharactersWithSpaces>
  <SharedDoc>false</SharedDoc>
  <HLinks>
    <vt:vector size="198" baseType="variant">
      <vt:variant>
        <vt:i4>6094878</vt:i4>
      </vt:variant>
      <vt:variant>
        <vt:i4>368</vt:i4>
      </vt:variant>
      <vt:variant>
        <vt:i4>0</vt:i4>
      </vt:variant>
      <vt:variant>
        <vt:i4>5</vt:i4>
      </vt:variant>
      <vt:variant>
        <vt:lpwstr>https://www.sdcc.ie/en/devplan2022/adopted-plan/county-development-plan-written-statement/county-development-plan-written-statement1.pdf</vt:lpwstr>
      </vt:variant>
      <vt:variant>
        <vt:lpwstr/>
      </vt:variant>
      <vt:variant>
        <vt:i4>3342432</vt:i4>
      </vt:variant>
      <vt:variant>
        <vt:i4>365</vt:i4>
      </vt:variant>
      <vt:variant>
        <vt:i4>0</vt:i4>
      </vt:variant>
      <vt:variant>
        <vt:i4>5</vt:i4>
      </vt:variant>
      <vt:variant>
        <vt:lpwstr>https://www.hsa.ie/media/4oap0mec/tlup-guidance-feb-2023-final.pdf</vt:lpwstr>
      </vt:variant>
      <vt:variant>
        <vt:lpwstr/>
      </vt:variant>
      <vt:variant>
        <vt:i4>3735657</vt:i4>
      </vt:variant>
      <vt:variant>
        <vt:i4>362</vt:i4>
      </vt:variant>
      <vt:variant>
        <vt:i4>0</vt:i4>
      </vt:variant>
      <vt:variant>
        <vt:i4>5</vt:i4>
      </vt:variant>
      <vt:variant>
        <vt:lpwstr>https://www.legislation.gov.uk/uksi/2002/2677/contents/made</vt:lpwstr>
      </vt:variant>
      <vt:variant>
        <vt:lpwstr/>
      </vt:variant>
      <vt:variant>
        <vt:i4>2818083</vt:i4>
      </vt:variant>
      <vt:variant>
        <vt:i4>359</vt:i4>
      </vt:variant>
      <vt:variant>
        <vt:i4>0</vt:i4>
      </vt:variant>
      <vt:variant>
        <vt:i4>5</vt:i4>
      </vt:variant>
      <vt:variant>
        <vt:lpwstr>https://www.legislation.gov.uk/uksi/2015/483/contents/made</vt:lpwstr>
      </vt:variant>
      <vt:variant>
        <vt:lpwstr/>
      </vt:variant>
      <vt:variant>
        <vt:i4>3342432</vt:i4>
      </vt:variant>
      <vt:variant>
        <vt:i4>356</vt:i4>
      </vt:variant>
      <vt:variant>
        <vt:i4>0</vt:i4>
      </vt:variant>
      <vt:variant>
        <vt:i4>5</vt:i4>
      </vt:variant>
      <vt:variant>
        <vt:lpwstr>https://www.hsa.ie/media/4oap0mec/tlup-guidance-feb-2023-final.pdf</vt:lpwstr>
      </vt:variant>
      <vt:variant>
        <vt:lpwstr/>
      </vt:variant>
      <vt:variant>
        <vt:i4>2687030</vt:i4>
      </vt:variant>
      <vt:variant>
        <vt:i4>353</vt:i4>
      </vt:variant>
      <vt:variant>
        <vt:i4>0</vt:i4>
      </vt:variant>
      <vt:variant>
        <vt:i4>5</vt:i4>
      </vt:variant>
      <vt:variant>
        <vt:lpwstr>https://gsi.geodata.gov.ie/portal/home/webmap/viewer.html?useExisting=1&amp;layers=3d3750eb72c349668f18eab4dd68adc1</vt:lpwstr>
      </vt:variant>
      <vt:variant>
        <vt:lpwstr/>
      </vt:variant>
      <vt:variant>
        <vt:i4>8126570</vt:i4>
      </vt:variant>
      <vt:variant>
        <vt:i4>350</vt:i4>
      </vt:variant>
      <vt:variant>
        <vt:i4>0</vt:i4>
      </vt:variant>
      <vt:variant>
        <vt:i4>5</vt:i4>
      </vt:variant>
      <vt:variant>
        <vt:lpwstr>https://gsi.geodata.gov.ie/portal/apps/webappviewer/index.html?id=d333a8a9b6ab44378411fc0d973db4ef</vt:lpwstr>
      </vt:variant>
      <vt:variant>
        <vt:lpwstr/>
      </vt:variant>
      <vt:variant>
        <vt:i4>5242905</vt:i4>
      </vt:variant>
      <vt:variant>
        <vt:i4>347</vt:i4>
      </vt:variant>
      <vt:variant>
        <vt:i4>0</vt:i4>
      </vt:variant>
      <vt:variant>
        <vt:i4>5</vt:i4>
      </vt:variant>
      <vt:variant>
        <vt:lpwstr>https://assets.gov.ie/static/documents/46bd0747/NCSC-2025_National_Cyber_Risk_Assessment.pdf</vt:lpwstr>
      </vt:variant>
      <vt:variant>
        <vt:lpwstr/>
      </vt:variant>
      <vt:variant>
        <vt:i4>2359356</vt:i4>
      </vt:variant>
      <vt:variant>
        <vt:i4>344</vt:i4>
      </vt:variant>
      <vt:variant>
        <vt:i4>0</vt:i4>
      </vt:variant>
      <vt:variant>
        <vt:i4>5</vt:i4>
      </vt:variant>
      <vt:variant>
        <vt:lpwstr>https://www.gov.ie/en/department-of-the-taoiseach/policy-information/national-risk-assessment-2024-overview-of-strategic-risks/</vt:lpwstr>
      </vt:variant>
      <vt:variant>
        <vt:lpwstr/>
      </vt:variant>
      <vt:variant>
        <vt:i4>6094854</vt:i4>
      </vt:variant>
      <vt:variant>
        <vt:i4>341</vt:i4>
      </vt:variant>
      <vt:variant>
        <vt:i4>0</vt:i4>
      </vt:variant>
      <vt:variant>
        <vt:i4>5</vt:i4>
      </vt:variant>
      <vt:variant>
        <vt:lpwstr>https://www.irishstatutebook.ie/eli/2023/si/255/made/en/print</vt:lpwstr>
      </vt:variant>
      <vt:variant>
        <vt:lpwstr/>
      </vt:variant>
      <vt:variant>
        <vt:i4>4390980</vt:i4>
      </vt:variant>
      <vt:variant>
        <vt:i4>338</vt:i4>
      </vt:variant>
      <vt:variant>
        <vt:i4>0</vt:i4>
      </vt:variant>
      <vt:variant>
        <vt:i4>5</vt:i4>
      </vt:variant>
      <vt:variant>
        <vt:lpwstr>https://www.irishstatutebook.ie/eli/2022/si/421/made/en/print</vt:lpwstr>
      </vt:variant>
      <vt:variant>
        <vt:lpwstr>:~:text=No.-,421%2F2022%20%2D%20European%20Union%20(Environmental%20Impact%20Assessment)%20(,1992)%20(Amendment)%20Regulations%202022&amp;text=%E2%80%9CIris%20Oifigi%C3%BAil%E2%80%9D%20of%2023rd%20August%2C%202022</vt:lpwstr>
      </vt:variant>
      <vt:variant>
        <vt:i4>4653131</vt:i4>
      </vt:variant>
      <vt:variant>
        <vt:i4>335</vt:i4>
      </vt:variant>
      <vt:variant>
        <vt:i4>0</vt:i4>
      </vt:variant>
      <vt:variant>
        <vt:i4>5</vt:i4>
      </vt:variant>
      <vt:variant>
        <vt:lpwstr>https://www.irishstatutebook.ie/eli/2021/si/528/made/en/print</vt:lpwstr>
      </vt:variant>
      <vt:variant>
        <vt:lpwstr>:~:text=No.-,528%2F2021%20%2D%20Safety%2C%20Health%20and%20Welfare%20at%20Work%20(,Construction)%20(Amendment)%20Regulations%202021&amp;text=%E2%80%9CIris%20Oifigi%C3%BAil%E2%80%9D%20of%2015th%20October%2C%202021</vt:lpwstr>
      </vt:variant>
      <vt:variant>
        <vt:i4>2359394</vt:i4>
      </vt:variant>
      <vt:variant>
        <vt:i4>332</vt:i4>
      </vt:variant>
      <vt:variant>
        <vt:i4>0</vt:i4>
      </vt:variant>
      <vt:variant>
        <vt:i4>5</vt:i4>
      </vt:variant>
      <vt:variant>
        <vt:lpwstr>https://www.irishstatutebook.ie/eli/2021/si/231</vt:lpwstr>
      </vt:variant>
      <vt:variant>
        <vt:lpwstr/>
      </vt:variant>
      <vt:variant>
        <vt:i4>2162803</vt:i4>
      </vt:variant>
      <vt:variant>
        <vt:i4>329</vt:i4>
      </vt:variant>
      <vt:variant>
        <vt:i4>0</vt:i4>
      </vt:variant>
      <vt:variant>
        <vt:i4>5</vt:i4>
      </vt:variant>
      <vt:variant>
        <vt:lpwstr>https://www.gov.ie/en/department-of-housing-local-government-and-heritage/publications/building-standards/</vt:lpwstr>
      </vt:variant>
      <vt:variant>
        <vt:lpwstr/>
      </vt:variant>
      <vt:variant>
        <vt:i4>5373953</vt:i4>
      </vt:variant>
      <vt:variant>
        <vt:i4>326</vt:i4>
      </vt:variant>
      <vt:variant>
        <vt:i4>0</vt:i4>
      </vt:variant>
      <vt:variant>
        <vt:i4>5</vt:i4>
      </vt:variant>
      <vt:variant>
        <vt:lpwstr>https://www.irishstatutebook.ie/eli/2020/si/191/made/en/print</vt:lpwstr>
      </vt:variant>
      <vt:variant>
        <vt:lpwstr/>
      </vt:variant>
      <vt:variant>
        <vt:i4>2359342</vt:i4>
      </vt:variant>
      <vt:variant>
        <vt:i4>323</vt:i4>
      </vt:variant>
      <vt:variant>
        <vt:i4>0</vt:i4>
      </vt:variant>
      <vt:variant>
        <vt:i4>5</vt:i4>
      </vt:variant>
      <vt:variant>
        <vt:lpwstr>https://www.irishstatutebook.ie/eli/2015/si/623/made/en/print?q=chemical+agents</vt:lpwstr>
      </vt:variant>
      <vt:variant>
        <vt:lpwstr/>
      </vt:variant>
      <vt:variant>
        <vt:i4>6160393</vt:i4>
      </vt:variant>
      <vt:variant>
        <vt:i4>320</vt:i4>
      </vt:variant>
      <vt:variant>
        <vt:i4>0</vt:i4>
      </vt:variant>
      <vt:variant>
        <vt:i4>5</vt:i4>
      </vt:variant>
      <vt:variant>
        <vt:lpwstr>https://www.irishstatutebook.ie/eli/2015/si/209/made/en/print</vt:lpwstr>
      </vt:variant>
      <vt:variant>
        <vt:lpwstr/>
      </vt:variant>
      <vt:variant>
        <vt:i4>5</vt:i4>
      </vt:variant>
      <vt:variant>
        <vt:i4>317</vt:i4>
      </vt:variant>
      <vt:variant>
        <vt:i4>0</vt:i4>
      </vt:variant>
      <vt:variant>
        <vt:i4>5</vt:i4>
      </vt:variant>
      <vt:variant>
        <vt:lpwstr>https://www.irishstatutebook.ie/eli/2005/act/10/enacted/en/print</vt:lpwstr>
      </vt:variant>
      <vt:variant>
        <vt:lpwstr/>
      </vt:variant>
      <vt:variant>
        <vt:i4>5505027</vt:i4>
      </vt:variant>
      <vt:variant>
        <vt:i4>314</vt:i4>
      </vt:variant>
      <vt:variant>
        <vt:i4>0</vt:i4>
      </vt:variant>
      <vt:variant>
        <vt:i4>5</vt:i4>
      </vt:variant>
      <vt:variant>
        <vt:lpwstr>https://www.irishstatutebook.ie/eli/2008/si/272/made/en/print</vt:lpwstr>
      </vt:variant>
      <vt:variant>
        <vt:lpwstr/>
      </vt:variant>
      <vt:variant>
        <vt:i4>2293797</vt:i4>
      </vt:variant>
      <vt:variant>
        <vt:i4>311</vt:i4>
      </vt:variant>
      <vt:variant>
        <vt:i4>0</vt:i4>
      </vt:variant>
      <vt:variant>
        <vt:i4>5</vt:i4>
      </vt:variant>
      <vt:variant>
        <vt:lpwstr>https://www.irishstatutebook.ie/eli/2001/si/619/made/en/print?q=chemical+agents</vt:lpwstr>
      </vt:variant>
      <vt:variant>
        <vt:lpwstr/>
      </vt:variant>
      <vt:variant>
        <vt:i4>6684777</vt:i4>
      </vt:variant>
      <vt:variant>
        <vt:i4>308</vt:i4>
      </vt:variant>
      <vt:variant>
        <vt:i4>0</vt:i4>
      </vt:variant>
      <vt:variant>
        <vt:i4>5</vt:i4>
      </vt:variant>
      <vt:variant>
        <vt:lpwstr>https://www.irishstatutebook.ie/eli/1972/act/10/enacted/en/html</vt:lpwstr>
      </vt:variant>
      <vt:variant>
        <vt:lpwstr/>
      </vt:variant>
      <vt:variant>
        <vt:i4>589888</vt:i4>
      </vt:variant>
      <vt:variant>
        <vt:i4>305</vt:i4>
      </vt:variant>
      <vt:variant>
        <vt:i4>0</vt:i4>
      </vt:variant>
      <vt:variant>
        <vt:i4>5</vt:i4>
      </vt:variant>
      <vt:variant>
        <vt:lpwstr>https://eur-lex.europa.eu/legal-content/EN/TXT/?uri=celex:32014L0052</vt:lpwstr>
      </vt:variant>
      <vt:variant>
        <vt:lpwstr/>
      </vt:variant>
      <vt:variant>
        <vt:i4>4325471</vt:i4>
      </vt:variant>
      <vt:variant>
        <vt:i4>302</vt:i4>
      </vt:variant>
      <vt:variant>
        <vt:i4>0</vt:i4>
      </vt:variant>
      <vt:variant>
        <vt:i4>5</vt:i4>
      </vt:variant>
      <vt:variant>
        <vt:lpwstr>https://eur-lex.europa.eu/eli/dir/2012/18/oj/eng</vt:lpwstr>
      </vt:variant>
      <vt:variant>
        <vt:lpwstr/>
      </vt:variant>
      <vt:variant>
        <vt:i4>4784213</vt:i4>
      </vt:variant>
      <vt:variant>
        <vt:i4>299</vt:i4>
      </vt:variant>
      <vt:variant>
        <vt:i4>0</vt:i4>
      </vt:variant>
      <vt:variant>
        <vt:i4>5</vt:i4>
      </vt:variant>
      <vt:variant>
        <vt:lpwstr>https://eur-lex.europa.eu/eli/dir/2011/92/oj/eng</vt:lpwstr>
      </vt:variant>
      <vt:variant>
        <vt:lpwstr/>
      </vt:variant>
      <vt:variant>
        <vt:i4>1507420</vt:i4>
      </vt:variant>
      <vt:variant>
        <vt:i4>296</vt:i4>
      </vt:variant>
      <vt:variant>
        <vt:i4>0</vt:i4>
      </vt:variant>
      <vt:variant>
        <vt:i4>5</vt:i4>
      </vt:variant>
      <vt:variant>
        <vt:lpwstr>https://eur-lex.europa.eu/eli/dir/2009/147/oj/eng</vt:lpwstr>
      </vt:variant>
      <vt:variant>
        <vt:lpwstr/>
      </vt:variant>
      <vt:variant>
        <vt:i4>5111903</vt:i4>
      </vt:variant>
      <vt:variant>
        <vt:i4>293</vt:i4>
      </vt:variant>
      <vt:variant>
        <vt:i4>0</vt:i4>
      </vt:variant>
      <vt:variant>
        <vt:i4>5</vt:i4>
      </vt:variant>
      <vt:variant>
        <vt:lpwstr>https://eur-lex.europa.eu/eli/dir/1992/43/oj/eng</vt:lpwstr>
      </vt:variant>
      <vt:variant>
        <vt:lpwstr/>
      </vt:variant>
      <vt:variant>
        <vt:i4>2818090</vt:i4>
      </vt:variant>
      <vt:variant>
        <vt:i4>290</vt:i4>
      </vt:variant>
      <vt:variant>
        <vt:i4>0</vt:i4>
      </vt:variant>
      <vt:variant>
        <vt:i4>5</vt:i4>
      </vt:variant>
      <vt:variant>
        <vt:lpwstr>https://circabc.europa.eu/ui/group/3b48eff1-b955-423f-9086-0d85ad1c5879/library/b7451988-d869-4fee-80de-0935695f67f2/details?download=true</vt:lpwstr>
      </vt:variant>
      <vt:variant>
        <vt:lpwstr/>
      </vt:variant>
      <vt:variant>
        <vt:i4>1048612</vt:i4>
      </vt:variant>
      <vt:variant>
        <vt:i4>287</vt:i4>
      </vt:variant>
      <vt:variant>
        <vt:i4>0</vt:i4>
      </vt:variant>
      <vt:variant>
        <vt:i4>5</vt:i4>
      </vt:variant>
      <vt:variant>
        <vt:lpwstr>https://www.epa.ie/publications/monitoring--assessment/assessment/EIAR_Guidelines_2022_Web.pdf</vt:lpwstr>
      </vt:variant>
      <vt:variant>
        <vt:lpwstr/>
      </vt:variant>
      <vt:variant>
        <vt:i4>4653086</vt:i4>
      </vt:variant>
      <vt:variant>
        <vt:i4>284</vt:i4>
      </vt:variant>
      <vt:variant>
        <vt:i4>0</vt:i4>
      </vt:variant>
      <vt:variant>
        <vt:i4>5</vt:i4>
      </vt:variant>
      <vt:variant>
        <vt:lpwstr>https://www.epa.ie/publications/compliance--enforcement/licensees/reporting/financial-provisions/guidance-on-assessing-and-costing-environmental-liabilities.php</vt:lpwstr>
      </vt:variant>
      <vt:variant>
        <vt:lpwstr/>
      </vt:variant>
      <vt:variant>
        <vt:i4>6422630</vt:i4>
      </vt:variant>
      <vt:variant>
        <vt:i4>281</vt:i4>
      </vt:variant>
      <vt:variant>
        <vt:i4>0</vt:i4>
      </vt:variant>
      <vt:variant>
        <vt:i4>5</vt:i4>
      </vt:variant>
      <vt:variant>
        <vt:lpwstr>https://www.emra.ie/rses-download/EMRA-RSES.pdf</vt:lpwstr>
      </vt:variant>
      <vt:variant>
        <vt:lpwstr/>
      </vt:variant>
      <vt:variant>
        <vt:i4>6029394</vt:i4>
      </vt:variant>
      <vt:variant>
        <vt:i4>278</vt:i4>
      </vt:variant>
      <vt:variant>
        <vt:i4>0</vt:i4>
      </vt:variant>
      <vt:variant>
        <vt:i4>5</vt:i4>
      </vt:variant>
      <vt:variant>
        <vt:lpwstr>https://www.gov.ie/en/department-of-housing-local-government-and-heritage/collections/a-framework-for-major-emergency-management/</vt:lpwstr>
      </vt:variant>
      <vt:variant>
        <vt:lpwstr/>
      </vt:variant>
      <vt:variant>
        <vt:i4>1376345</vt:i4>
      </vt:variant>
      <vt:variant>
        <vt:i4>275</vt:i4>
      </vt:variant>
      <vt:variant>
        <vt:i4>0</vt:i4>
      </vt:variant>
      <vt:variant>
        <vt:i4>5</vt:i4>
      </vt:variant>
      <vt:variant>
        <vt:lpwstr>https://www.sepa.org.uk/media/219154/cdoif_guideline__environmental_risk_assessment_v2.pdf</vt:lpwstr>
      </vt:variant>
      <vt:variant>
        <vt:lpwstr/>
      </vt:variant>
      <vt:variant>
        <vt:i4>8192010</vt:i4>
      </vt:variant>
      <vt:variant>
        <vt:i4>0</vt:i4>
      </vt:variant>
      <vt:variant>
        <vt:i4>0</vt:i4>
      </vt:variant>
      <vt:variant>
        <vt:i4>5</vt:i4>
      </vt:variant>
      <vt:variant>
        <vt:lpwstr>mailto:elisa.uginet@aecom.com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SDCC Rathcoole Housing Development 2025-12-19</dc:title>
  <dc:subject>South Dublin County Council</dc:subject>
  <dc:creator>Calcagno, Grisel</dc:creator>
  <cp:keywords>Project ref:   Project number:</cp:keywords>
  <cp:lastModifiedBy>Braga, Leticia</cp:lastModifiedBy>
  <cp:revision>3</cp:revision>
  <cp:lastPrinted>2016-04-12T02:07:00Z</cp:lastPrinted>
  <dcterms:created xsi:type="dcterms:W3CDTF">2026-09-07T15:49:00Z</dcterms:created>
  <dcterms:modified xsi:type="dcterms:W3CDTF">2026-09-07T15:49:00Z</dcterms:modified>
  <cp:category>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
    <vt:lpwstr>AECOM_Report</vt:lpwstr>
  </property>
  <property fmtid="{D5CDD505-2E9C-101B-9397-08002B2CF9AE}" pid="3" name="TemplateVersion">
    <vt:lpwstr>3.7</vt:lpwstr>
  </property>
  <property fmtid="{D5CDD505-2E9C-101B-9397-08002B2CF9AE}" pid="4" name="HeaderTitle">
    <vt:lpwstr>SDCC Rathcoole Housing Development</vt:lpwstr>
  </property>
  <property fmtid="{D5CDD505-2E9C-101B-9397-08002B2CF9AE}" pid="5" name="ProtectiveMarking">
    <vt:lpwstr/>
  </property>
  <property fmtid="{D5CDD505-2E9C-101B-9397-08002B2CF9AE}" pid="6" name="HeaderClient">
    <vt:lpwstr> </vt:lpwstr>
  </property>
  <property fmtid="{D5CDD505-2E9C-101B-9397-08002B2CF9AE}" pid="7" name="AdditionalCompanyName">
    <vt:lpwstr/>
  </property>
  <property fmtid="{D5CDD505-2E9C-101B-9397-08002B2CF9AE}" pid="8" name="ClientName">
    <vt:lpwstr>South Dublin County Council </vt:lpwstr>
  </property>
  <property fmtid="{D5CDD505-2E9C-101B-9397-08002B2CF9AE}" pid="9" name="TenderStage">
    <vt:lpwstr/>
  </property>
  <property fmtid="{D5CDD505-2E9C-101B-9397-08002B2CF9AE}" pid="10" name="ProjectRef">
    <vt:lpwstr> </vt:lpwstr>
  </property>
  <property fmtid="{D5CDD505-2E9C-101B-9397-08002B2CF9AE}" pid="11" name="ProjectNumber">
    <vt:lpwstr> </vt:lpwstr>
  </property>
  <property fmtid="{D5CDD505-2E9C-101B-9397-08002B2CF9AE}" pid="12" name="CopyNo">
    <vt:lpwstr>&lt;CopyNo&gt;</vt:lpwstr>
  </property>
  <property fmtid="{D5CDD505-2E9C-101B-9397-08002B2CF9AE}" pid="13" name="CopyNoTotal">
    <vt:lpwstr>&lt;CopyNoTotal&gt;</vt:lpwstr>
  </property>
  <property fmtid="{D5CDD505-2E9C-101B-9397-08002B2CF9AE}" pid="14" name="SupplementaryTitle">
    <vt:lpwstr/>
  </property>
  <property fmtid="{D5CDD505-2E9C-101B-9397-08002B2CF9AE}" pid="15" name="Subtitle">
    <vt:lpwstr>Environmental Impact Assessment Report</vt:lpwstr>
  </property>
  <property fmtid="{D5CDD505-2E9C-101B-9397-08002B2CF9AE}" pid="16" name="DocumentReference">
    <vt:lpwstr/>
  </property>
  <property fmtid="{D5CDD505-2E9C-101B-9397-08002B2CF9AE}" pid="17" name="Date">
    <vt:lpwstr>19 December 2025</vt:lpwstr>
  </property>
  <property fmtid="{D5CDD505-2E9C-101B-9397-08002B2CF9AE}" pid="18" name="Copies">
    <vt:lpwstr/>
  </property>
  <property fmtid="{D5CDD505-2E9C-101B-9397-08002B2CF9AE}" pid="19" name="ProjectRefSlash">
    <vt:lpwstr> / </vt:lpwstr>
  </property>
  <property fmtid="{D5CDD505-2E9C-101B-9397-08002B2CF9AE}" pid="20" name="DocumentTitle">
    <vt:lpwstr>SDCC Rathcoole Housing Development</vt:lpwstr>
  </property>
  <property fmtid="{D5CDD505-2E9C-101B-9397-08002B2CF9AE}" pid="21" name="FooterClientAddress">
    <vt:lpwstr/>
  </property>
  <property fmtid="{D5CDD505-2E9C-101B-9397-08002B2CF9AE}" pid="22" name="ClientNumber">
    <vt:lpwstr/>
  </property>
  <property fmtid="{D5CDD505-2E9C-101B-9397-08002B2CF9AE}" pid="23" name="Draft">
    <vt:lpwstr>DRAFT</vt:lpwstr>
  </property>
  <property fmtid="{D5CDD505-2E9C-101B-9397-08002B2CF9AE}" pid="24" name="AccreditationText">
    <vt:lpwstr/>
  </property>
  <property fmtid="{D5CDD505-2E9C-101B-9397-08002B2CF9AE}" pid="25" name="GreenInitiative">
    <vt:lpwstr/>
  </property>
  <property fmtid="{D5CDD505-2E9C-101B-9397-08002B2CF9AE}" pid="26" name="PreparedBy">
    <vt:lpwstr>&lt;PreparedBy&gt;</vt:lpwstr>
  </property>
  <property fmtid="{D5CDD505-2E9C-101B-9397-08002B2CF9AE}" pid="27" name="ShowFilePath">
    <vt:lpwstr>0</vt:lpwstr>
  </property>
  <property fmtid="{D5CDD505-2E9C-101B-9397-08002B2CF9AE}" pid="28" name="PreparedFor">
    <vt:lpwstr>Prepared for: </vt:lpwstr>
  </property>
  <property fmtid="{D5CDD505-2E9C-101B-9397-08002B2CF9AE}" pid="29" name="InAssociationWith">
    <vt:lpwstr> </vt:lpwstr>
  </property>
  <property fmtid="{D5CDD505-2E9C-101B-9397-08002B2CF9AE}" pid="30" name="ShowFileName">
    <vt:lpwstr>0</vt:lpwstr>
  </property>
  <property fmtid="{D5CDD505-2E9C-101B-9397-08002B2CF9AE}" pid="31" name="GrammarlyDocumentId">
    <vt:lpwstr>e8c6c7942f14e81064a597141be678382fac473ff6cbf99f01bbf0597a19d1e8</vt:lpwstr>
  </property>
  <property fmtid="{D5CDD505-2E9C-101B-9397-08002B2CF9AE}" pid="32" name="ContentTypeId">
    <vt:lpwstr>0x010100BB8273982945C747AFA2C8D2E2ACECBC</vt:lpwstr>
  </property>
  <property fmtid="{D5CDD505-2E9C-101B-9397-08002B2CF9AE}" pid="33" name="Folder_Number">
    <vt:lpwstr/>
  </property>
  <property fmtid="{D5CDD505-2E9C-101B-9397-08002B2CF9AE}" pid="34" name="Folder_Code">
    <vt:lpwstr/>
  </property>
  <property fmtid="{D5CDD505-2E9C-101B-9397-08002B2CF9AE}" pid="35" name="Folder_Name">
    <vt:lpwstr/>
  </property>
  <property fmtid="{D5CDD505-2E9C-101B-9397-08002B2CF9AE}" pid="36" name="Folder_Description">
    <vt:lpwstr/>
  </property>
  <property fmtid="{D5CDD505-2E9C-101B-9397-08002B2CF9AE}" pid="37" name="/Folder_Name/">
    <vt:lpwstr/>
  </property>
  <property fmtid="{D5CDD505-2E9C-101B-9397-08002B2CF9AE}" pid="38" name="/Folder_Description/">
    <vt:lpwstr/>
  </property>
  <property fmtid="{D5CDD505-2E9C-101B-9397-08002B2CF9AE}" pid="39" name="Folder_Version">
    <vt:lpwstr/>
  </property>
  <property fmtid="{D5CDD505-2E9C-101B-9397-08002B2CF9AE}" pid="40" name="Folder_VersionSeq">
    <vt:lpwstr/>
  </property>
  <property fmtid="{D5CDD505-2E9C-101B-9397-08002B2CF9AE}" pid="41" name="Folder_Manager">
    <vt:lpwstr/>
  </property>
  <property fmtid="{D5CDD505-2E9C-101B-9397-08002B2CF9AE}" pid="42" name="Folder_ManagerDesc">
    <vt:lpwstr/>
  </property>
  <property fmtid="{D5CDD505-2E9C-101B-9397-08002B2CF9AE}" pid="43" name="Folder_Storage">
    <vt:lpwstr/>
  </property>
  <property fmtid="{D5CDD505-2E9C-101B-9397-08002B2CF9AE}" pid="44" name="Folder_StorageDesc">
    <vt:lpwstr/>
  </property>
  <property fmtid="{D5CDD505-2E9C-101B-9397-08002B2CF9AE}" pid="45" name="Folder_Creator">
    <vt:lpwstr/>
  </property>
  <property fmtid="{D5CDD505-2E9C-101B-9397-08002B2CF9AE}" pid="46" name="Folder_CreatorDesc">
    <vt:lpwstr/>
  </property>
  <property fmtid="{D5CDD505-2E9C-101B-9397-08002B2CF9AE}" pid="47" name="Folder_CreateDate">
    <vt:lpwstr/>
  </property>
  <property fmtid="{D5CDD505-2E9C-101B-9397-08002B2CF9AE}" pid="48" name="Folder_Updater">
    <vt:lpwstr/>
  </property>
  <property fmtid="{D5CDD505-2E9C-101B-9397-08002B2CF9AE}" pid="49" name="Folder_UpdaterDesc">
    <vt:lpwstr/>
  </property>
  <property fmtid="{D5CDD505-2E9C-101B-9397-08002B2CF9AE}" pid="50" name="Folder_UpdateDate">
    <vt:lpwstr/>
  </property>
  <property fmtid="{D5CDD505-2E9C-101B-9397-08002B2CF9AE}" pid="51" name="Document_Number">
    <vt:lpwstr/>
  </property>
  <property fmtid="{D5CDD505-2E9C-101B-9397-08002B2CF9AE}" pid="52" name="Document_Name">
    <vt:lpwstr/>
  </property>
  <property fmtid="{D5CDD505-2E9C-101B-9397-08002B2CF9AE}" pid="53" name="Document_FileName">
    <vt:lpwstr/>
  </property>
  <property fmtid="{D5CDD505-2E9C-101B-9397-08002B2CF9AE}" pid="54" name="Document_Version">
    <vt:lpwstr/>
  </property>
  <property fmtid="{D5CDD505-2E9C-101B-9397-08002B2CF9AE}" pid="55" name="Document_VersionSeq">
    <vt:lpwstr/>
  </property>
  <property fmtid="{D5CDD505-2E9C-101B-9397-08002B2CF9AE}" pid="56" name="Document_Creator">
    <vt:lpwstr/>
  </property>
  <property fmtid="{D5CDD505-2E9C-101B-9397-08002B2CF9AE}" pid="57" name="Document_CreatorDesc">
    <vt:lpwstr/>
  </property>
  <property fmtid="{D5CDD505-2E9C-101B-9397-08002B2CF9AE}" pid="58" name="Document_CreateDate">
    <vt:lpwstr/>
  </property>
  <property fmtid="{D5CDD505-2E9C-101B-9397-08002B2CF9AE}" pid="59" name="Document_Updater">
    <vt:lpwstr/>
  </property>
  <property fmtid="{D5CDD505-2E9C-101B-9397-08002B2CF9AE}" pid="60" name="Document_UpdaterDesc">
    <vt:lpwstr/>
  </property>
  <property fmtid="{D5CDD505-2E9C-101B-9397-08002B2CF9AE}" pid="61" name="Document_UpdateDate">
    <vt:lpwstr/>
  </property>
  <property fmtid="{D5CDD505-2E9C-101B-9397-08002B2CF9AE}" pid="62" name="Document_Size">
    <vt:lpwstr/>
  </property>
  <property fmtid="{D5CDD505-2E9C-101B-9397-08002B2CF9AE}" pid="63" name="Document_Storage">
    <vt:lpwstr/>
  </property>
  <property fmtid="{D5CDD505-2E9C-101B-9397-08002B2CF9AE}" pid="64" name="Document_StorageDesc">
    <vt:lpwstr/>
  </property>
  <property fmtid="{D5CDD505-2E9C-101B-9397-08002B2CF9AE}" pid="65" name="Document_Department">
    <vt:lpwstr/>
  </property>
  <property fmtid="{D5CDD505-2E9C-101B-9397-08002B2CF9AE}" pid="66" name="Document_DepartmentDesc">
    <vt:lpwstr/>
  </property>
  <property fmtid="{D5CDD505-2E9C-101B-9397-08002B2CF9AE}" pid="67" name="MediaServiceImageTags">
    <vt:lpwstr/>
  </property>
  <property fmtid="{D5CDD505-2E9C-101B-9397-08002B2CF9AE}" pid="68" name="xd_ProgID">
    <vt:lpwstr/>
  </property>
  <property fmtid="{D5CDD505-2E9C-101B-9397-08002B2CF9AE}" pid="69" name="ComplianceAssetId">
    <vt:lpwstr/>
  </property>
  <property fmtid="{D5CDD505-2E9C-101B-9397-08002B2CF9AE}" pid="70" name="TemplateUrl">
    <vt:lpwstr/>
  </property>
  <property fmtid="{D5CDD505-2E9C-101B-9397-08002B2CF9AE}" pid="71" name="_ExtendedDescription">
    <vt:lpwstr/>
  </property>
  <property fmtid="{D5CDD505-2E9C-101B-9397-08002B2CF9AE}" pid="72" name="xd_Signature">
    <vt:bool>false</vt:bool>
  </property>
  <property fmtid="{D5CDD505-2E9C-101B-9397-08002B2CF9AE}" pid="73" name="TriggerFlowInfo">
    <vt:lpwstr/>
  </property>
</Properties>
</file>