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75CE9" w14:textId="30617DCA" w:rsidR="00BF01E0" w:rsidRDefault="00D54666" w:rsidP="00F12DD7">
      <w:pPr>
        <w:pStyle w:val="BodyText"/>
        <w:rPr>
          <w:noProof/>
          <w:lang w:eastAsia="en-GB"/>
        </w:rPr>
      </w:pPr>
      <w:bookmarkStart w:id="0" w:name="Undo_AECOM_Insert_Table_13x16z36"/>
      <w:bookmarkEnd w:id="0"/>
      <w:r w:rsidRPr="00A87365">
        <w:rPr>
          <w:noProof/>
          <w:lang w:eastAsia="en-GB"/>
        </w:rPr>
        <mc:AlternateContent>
          <mc:Choice Requires="wps">
            <w:drawing>
              <wp:anchor distT="0" distB="0" distL="114300" distR="114300" simplePos="0" relativeHeight="251658243" behindDoc="1" locked="0" layoutInCell="0" allowOverlap="1" wp14:anchorId="36CEE657" wp14:editId="3A675F03">
                <wp:simplePos x="0" y="0"/>
                <wp:positionH relativeFrom="page">
                  <wp:posOffset>0</wp:posOffset>
                </wp:positionH>
                <wp:positionV relativeFrom="page">
                  <wp:posOffset>0</wp:posOffset>
                </wp:positionV>
                <wp:extent cx="7251700" cy="10607040"/>
                <wp:effectExtent l="0" t="0" r="2540" b="0"/>
                <wp:wrapNone/>
                <wp:docPr id="2" name="CoverGraphic">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51700" cy="10607040"/>
                        </a:xfrm>
                        <a:prstGeom prst="rect">
                          <a:avLst/>
                        </a:prstGeom>
                        <a:solidFill>
                          <a:srgbClr val="008768"/>
                        </a:solidFill>
                        <a:ln>
                          <a:no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a:graphicData>
                </a:graphic>
                <wp14:sizeRelH relativeFrom="page">
                  <wp14:pctWidth>100000</wp14:pctWidth>
                </wp14:sizeRelH>
                <wp14:sizeRelV relativeFrom="page">
                  <wp14:pctHeight>100000</wp14:pctHeight>
                </wp14:sizeRelV>
              </wp:anchor>
            </w:drawing>
          </mc:Choice>
          <mc:Fallback>
            <w:pict>
              <v:rect w14:anchorId="7040FEA4" id="CoverGraphic" o:spid="_x0000_s1026" alt="&quot;&quot;" style="position:absolute;margin-left:0;margin-top:0;width:571pt;height:835.2pt;z-index:-251658237;visibility:visible;mso-wrap-style:square;mso-width-percent:1000;mso-height-percent:1000;mso-wrap-distance-left:9pt;mso-wrap-distance-top:0;mso-wrap-distance-right:9pt;mso-wrap-distance-bottom:0;mso-position-horizontal:absolute;mso-position-horizontal-relative:page;mso-position-vertical:absolute;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" o:allowincell="f" fillcolor="#008768" stroked="f" strokeweight="2pt">
                <w10:wrap anchorx="page" anchory="page"/>
              </v:rect>
            </w:pict>
          </mc:Fallback>
        </mc:AlternateContent>
      </w:r>
      <w:r w:rsidR="0087529F" w:rsidRPr="008B05F5">
        <w:rPr>
          <w:noProof/>
          <w:lang w:eastAsia="en-GB"/>
        </w:rPr>
        <w:drawing>
          <wp:anchor distT="0" distB="0" distL="114300" distR="114300" simplePos="0" relativeHeight="251658244" behindDoc="0" locked="0" layoutInCell="1" allowOverlap="1" wp14:anchorId="344A348E" wp14:editId="36892A4A">
            <wp:simplePos x="0" y="0"/>
            <wp:positionH relativeFrom="page">
              <wp:align>left</wp:align>
            </wp:positionH>
            <mc:AlternateContent>
              <mc:Choice Requires="wp14">
                <wp:positionV relativeFrom="page">
                  <wp14:pctPosVOffset>54000</wp14:pctPosVOffset>
                </wp:positionV>
              </mc:Choice>
              <mc:Fallback>
                <wp:positionV relativeFrom="page">
                  <wp:posOffset>5773420</wp:posOffset>
                </wp:positionV>
              </mc:Fallback>
            </mc:AlternateContent>
            <wp:extent cx="7560310" cy="3048826"/>
            <wp:effectExtent l="0" t="0" r="2540" b="0"/>
            <wp:wrapNone/>
            <wp:docPr id="19" name="Ar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rc"/>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rot="10800000" flipH="1">
                      <a:off x="0" y="0"/>
                      <a:ext cx="7558560" cy="3048120"/>
                    </a:xfrm>
                    <a:prstGeom prst="rect">
                      <a:avLst/>
                    </a:prstGeom>
                  </pic:spPr>
                </pic:pic>
              </a:graphicData>
            </a:graphic>
            <wp14:sizeRelH relativeFrom="margin">
              <wp14:pctWidth>0</wp14:pctWidth>
            </wp14:sizeRelH>
            <wp14:sizeRelV relativeFrom="margin">
              <wp14:pctHeight>0</wp14:pctHeight>
            </wp14:sizeRelV>
          </wp:anchor>
        </w:drawing>
      </w:r>
    </w:p>
    <w:p w14:paraId="7D740EB0" w14:textId="77777777" w:rsidR="00F12DD7" w:rsidRDefault="00F12DD7" w:rsidP="00F12DD7">
      <w:pPr>
        <w:pStyle w:val="BodyText"/>
      </w:pPr>
    </w:p>
    <w:p w14:paraId="6864710B" w14:textId="00DF994A" w:rsidR="00F12DD7" w:rsidRDefault="00D54666" w:rsidP="00F12DD7">
      <w:pPr>
        <w:pStyle w:val="BodyText"/>
      </w:pPr>
      <w:r>
        <w:rPr>
          <w:noProof/>
          <w:lang w:eastAsia="en-GB"/>
        </w:rPr>
        <mc:AlternateContent>
          <mc:Choice Requires="wps">
            <w:drawing>
              <wp:anchor distT="0" distB="0" distL="114300" distR="114300" simplePos="0" relativeHeight="251658242" behindDoc="0" locked="0" layoutInCell="0" allowOverlap="1" wp14:anchorId="787470F1" wp14:editId="261DD626">
                <wp:simplePos x="0" y="0"/>
                <wp:positionH relativeFrom="column">
                  <wp:posOffset>0</wp:posOffset>
                </wp:positionH>
                <wp:positionV relativeFrom="page">
                  <wp:posOffset>357447</wp:posOffset>
                </wp:positionV>
                <wp:extent cx="4284345" cy="271780"/>
                <wp:effectExtent l="0" t="0" r="1905" b="13970"/>
                <wp:wrapNone/>
                <wp:docPr id="4" name="CoverAdditionalCompany"/>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4345" cy="271780"/>
                        </a:xfrm>
                        <a:prstGeom prst="rect">
                          <a:avLst/>
                        </a:prstGeom>
                        <a:noFill/>
                        <a:ln w="9525">
                          <a:noFill/>
                          <a:miter lim="800000"/>
                          <a:headEnd/>
                          <a:tailEnd/>
                        </a:ln>
                      </wps:spPr>
                      <wps:txbx>
                        <w:txbxContent>
                          <w:bookmarkStart w:id="1" w:name="Cover2"/>
                          <w:bookmarkStart w:id="2" w:name="Start"/>
                          <w:bookmarkStart w:id="3" w:name="DRAFT"/>
                          <w:p w14:paraId="2FE34E46" w14:textId="7CD40706" w:rsidR="00CF237B" w:rsidRPr="00F74319" w:rsidRDefault="00CF237B" w:rsidP="00F83749">
                            <w:pPr>
                              <w:pStyle w:val="Subtitleheading"/>
                              <w:rPr>
                                <w:b/>
                                <w:sz w:val="36"/>
                                <w:szCs w:val="36"/>
                              </w:rPr>
                            </w:pPr>
                            <w:r w:rsidRPr="0087529F">
                              <w:rPr>
                                <w:b/>
                                <w:color w:val="FFFFFF"/>
                                <w:sz w:val="36"/>
                                <w:szCs w:val="36"/>
                              </w:rPr>
                              <w:fldChar w:fldCharType="begin"/>
                            </w:r>
                            <w:r w:rsidRPr="0087529F">
                              <w:rPr>
                                <w:b/>
                                <w:color w:val="FFFFFF"/>
                                <w:sz w:val="36"/>
                                <w:szCs w:val="36"/>
                              </w:rPr>
                              <w:instrText xml:space="preserve"> DOCPROPERTY  Draft \* MERGEFORMAT </w:instrText>
                            </w:r>
                            <w:r w:rsidRPr="0087529F">
                              <w:rPr>
                                <w:b/>
                                <w:color w:val="FFFFFF"/>
                                <w:sz w:val="36"/>
                                <w:szCs w:val="36"/>
                              </w:rPr>
                              <w:fldChar w:fldCharType="separate"/>
                            </w:r>
                            <w:r w:rsidR="00D83C6F">
                              <w:rPr>
                                <w:b/>
                                <w:color w:val="FFFFFF"/>
                                <w:sz w:val="36"/>
                                <w:szCs w:val="36"/>
                              </w:rPr>
                              <w:t>DRAFT</w:t>
                            </w:r>
                            <w:r w:rsidRPr="0087529F">
                              <w:rPr>
                                <w:b/>
                                <w:color w:val="FFFFFF"/>
                                <w:sz w:val="36"/>
                                <w:szCs w:val="36"/>
                              </w:rPr>
                              <w:fldChar w:fldCharType="end"/>
                            </w:r>
                            <w:r w:rsidRPr="0087529F">
                              <w:rPr>
                                <w:b/>
                                <w:color w:val="FFFFFF"/>
                                <w:sz w:val="36"/>
                                <w:szCs w:val="36"/>
                              </w:rPr>
                              <w:t xml:space="preserve"> </w:t>
                            </w:r>
                            <w:bookmarkEnd w:id="1"/>
                            <w:bookmarkEnd w:id="2"/>
                            <w:bookmarkEnd w:id="3"/>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87470F1" id="_x0000_t202" coordsize="21600,21600" o:spt="202" path="m,l,21600r21600,l21600,xe">
                <v:stroke joinstyle="miter"/>
                <v:path gradientshapeok="t" o:connecttype="rect"/>
              </v:shapetype>
              <v:shape id="CoverAdditionalCompany" o:spid="_x0000_s1026" type="#_x0000_t202" style="position:absolute;left:0;text-align:left;margin-left:0;margin-top:28.15pt;width:337.35pt;height:21.4pt;z-index:251658242;visibility:visible;mso-wrap-style:square;mso-width-percent:0;mso-height-percent:200;mso-wrap-distance-left:9pt;mso-wrap-distance-top:0;mso-wrap-distance-right:9pt;mso-wrap-distance-bottom:0;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" o:allowincell="f" filled="f" stroked="f">
                <v:textbox style="mso-fit-shape-to-text:t" inset="0,0,0,0">
                  <w:txbxContent>
                    <w:bookmarkStart w:id="4" w:name="Cover2"/>
                    <w:bookmarkStart w:id="5" w:name="Start"/>
                    <w:bookmarkStart w:id="6" w:name="DRAFT"/>
                    <w:p w14:paraId="2FE34E46" w14:textId="7CD40706" w:rsidR="00CF237B" w:rsidRPr="00F74319" w:rsidRDefault="00CF237B" w:rsidP="00F83749">
                      <w:pPr>
                        <w:pStyle w:val="Subtitleheading"/>
                        <w:rPr>
                          <w:b/>
                          <w:sz w:val="36"/>
                          <w:szCs w:val="36"/>
                        </w:rPr>
                      </w:pPr>
                      <w:r w:rsidRPr="0087529F">
                        <w:rPr>
                          <w:b/>
                          <w:color w:val="FFFFFF"/>
                          <w:sz w:val="36"/>
                          <w:szCs w:val="36"/>
                        </w:rPr>
                        <w:fldChar w:fldCharType="begin"/>
                      </w:r>
                      <w:r w:rsidRPr="0087529F">
                        <w:rPr>
                          <w:b/>
                          <w:color w:val="FFFFFF"/>
                          <w:sz w:val="36"/>
                          <w:szCs w:val="36"/>
                        </w:rPr>
                        <w:instrText xml:space="preserve"> DOCPROPERTY  Draft \* MERGEFORMAT </w:instrText>
                      </w:r>
                      <w:r w:rsidRPr="0087529F">
                        <w:rPr>
                          <w:b/>
                          <w:color w:val="FFFFFF"/>
                          <w:sz w:val="36"/>
                          <w:szCs w:val="36"/>
                        </w:rPr>
                        <w:fldChar w:fldCharType="separate"/>
                      </w:r>
                      <w:r w:rsidR="00D83C6F">
                        <w:rPr>
                          <w:b/>
                          <w:color w:val="FFFFFF"/>
                          <w:sz w:val="36"/>
                          <w:szCs w:val="36"/>
                        </w:rPr>
                        <w:t>DRAFT</w:t>
                      </w:r>
                      <w:r w:rsidRPr="0087529F">
                        <w:rPr>
                          <w:b/>
                          <w:color w:val="FFFFFF"/>
                          <w:sz w:val="36"/>
                          <w:szCs w:val="36"/>
                        </w:rPr>
                        <w:fldChar w:fldCharType="end"/>
                      </w:r>
                      <w:r w:rsidRPr="0087529F">
                        <w:rPr>
                          <w:b/>
                          <w:color w:val="FFFFFF"/>
                          <w:sz w:val="36"/>
                          <w:szCs w:val="36"/>
                        </w:rPr>
                        <w:t xml:space="preserve"> </w:t>
                      </w:r>
                      <w:bookmarkEnd w:id="4"/>
                      <w:bookmarkEnd w:id="5"/>
                      <w:bookmarkEnd w:id="6"/>
                    </w:p>
                  </w:txbxContent>
                </v:textbox>
                <w10:wrap anchory="page"/>
              </v:shape>
            </w:pict>
          </mc:Fallback>
        </mc:AlternateContent>
      </w:r>
      <w:r w:rsidR="0087529F" w:rsidRPr="002D3999">
        <w:rPr>
          <w:noProof/>
          <w:lang w:eastAsia="en-GB"/>
        </w:rPr>
        <w:drawing>
          <wp:anchor distT="0" distB="0" distL="114300" distR="114300" simplePos="0" relativeHeight="251658245" behindDoc="0" locked="0" layoutInCell="1" allowOverlap="1" wp14:anchorId="1D086A73" wp14:editId="66E88AF4">
            <wp:simplePos x="0" y="0"/>
            <wp:positionH relativeFrom="rightMargin">
              <wp:posOffset>-612140</wp:posOffset>
            </wp:positionH>
            <wp:positionV relativeFrom="page">
              <wp:posOffset>367030</wp:posOffset>
            </wp:positionV>
            <wp:extent cx="961560" cy="216000"/>
            <wp:effectExtent l="0" t="0" r="0" b="0"/>
            <wp:wrapNone/>
            <wp:docPr id="10" name="AECOMLogo" descr="AECO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AECOMLogo" descr="AECOM Logo"/>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961560" cy="216000"/>
                    </a:xfrm>
                    <a:prstGeom prst="rect">
                      <a:avLst/>
                    </a:prstGeom>
                  </pic:spPr>
                </pic:pic>
              </a:graphicData>
            </a:graphic>
            <wp14:sizeRelH relativeFrom="margin">
              <wp14:pctWidth>0</wp14:pctWidth>
            </wp14:sizeRelH>
            <wp14:sizeRelV relativeFrom="margin">
              <wp14:pctHeight>0</wp14:pctHeight>
            </wp14:sizeRelV>
          </wp:anchor>
        </w:drawing>
      </w:r>
      <w:r w:rsidR="00EF62EF">
        <w:rPr>
          <w:noProof/>
          <w:lang w:eastAsia="en-GB"/>
        </w:rPr>
        <mc:AlternateContent>
          <mc:Choice Requires="wps">
            <w:drawing>
              <wp:anchor distT="0" distB="0" distL="114300" distR="114300" simplePos="0" relativeHeight="251658241" behindDoc="0" locked="0" layoutInCell="0" allowOverlap="1" wp14:anchorId="5F3D88F8" wp14:editId="68438203">
                <wp:simplePos x="0" y="0"/>
                <wp:positionH relativeFrom="margin">
                  <wp:posOffset>0</wp:posOffset>
                </wp:positionH>
                <wp:positionV relativeFrom="page">
                  <wp:align>bottom</wp:align>
                </wp:positionV>
                <wp:extent cx="5848350" cy="3081655"/>
                <wp:effectExtent l="0" t="0" r="2540" b="6985"/>
                <wp:wrapNone/>
                <wp:docPr id="7" name="CoverTitleBox"/>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8350" cy="3081655"/>
                        </a:xfrm>
                        <a:prstGeom prst="rect">
                          <a:avLst/>
                        </a:prstGeom>
                        <a:noFill/>
                        <a:ln w="9525">
                          <a:noFill/>
                          <a:miter lim="800000"/>
                          <a:headEnd/>
                          <a:tailEnd/>
                        </a:ln>
                      </wps:spPr>
                      <wps:txbx>
                        <w:txbxContent>
                          <w:tbl>
                            <w:tblPr>
                              <w:tblStyle w:val="Plaingrid"/>
                              <w:tblW w:w="3990" w:type="pct"/>
                              <w:tblLook w:val="04A0" w:firstRow="1" w:lastRow="0" w:firstColumn="1" w:lastColumn="0" w:noHBand="0" w:noVBand="1"/>
                            </w:tblPr>
                            <w:tblGrid>
                              <w:gridCol w:w="7350"/>
                            </w:tblGrid>
                            <w:tr w:rsidR="00CF237B" w:rsidRPr="0087529F" w14:paraId="2B1DDFB9" w14:textId="77777777" w:rsidTr="00DD205C">
                              <w:trPr>
                                <w:trHeight w:val="3547"/>
                              </w:trPr>
                              <w:tc>
                                <w:tcPr>
                                  <w:tcW w:w="7200" w:type="dxa"/>
                                </w:tcPr>
                                <w:bookmarkStart w:id="7" w:name="Cover1" w:colFirst="0" w:colLast="1"/>
                                <w:bookmarkStart w:id="8" w:name="CoverTable1"/>
                                <w:p w14:paraId="051596FB" w14:textId="6BD9D059" w:rsidR="00CF237B" w:rsidRPr="0087529F" w:rsidRDefault="00CF237B" w:rsidP="00C46E97">
                                  <w:pPr>
                                    <w:pStyle w:val="Title"/>
                                    <w:jc w:val="left"/>
                                    <w:rPr>
                                      <w:color w:val="FFFFFF"/>
                                    </w:rPr>
                                  </w:pPr>
                                  <w:r w:rsidRPr="0087529F">
                                    <w:rPr>
                                      <w:color w:val="FFFFFF"/>
                                    </w:rPr>
                                    <w:fldChar w:fldCharType="begin"/>
                                  </w:r>
                                  <w:r w:rsidRPr="0087529F">
                                    <w:rPr>
                                      <w:color w:val="FFFFFF"/>
                                    </w:rPr>
                                    <w:instrText xml:space="preserve"> DOCPROPERTY  DocumentTitle \* MERGEFORMAT </w:instrText>
                                  </w:r>
                                  <w:r w:rsidRPr="0087529F">
                                    <w:rPr>
                                      <w:color w:val="FFFFFF"/>
                                    </w:rPr>
                                    <w:fldChar w:fldCharType="separate"/>
                                  </w:r>
                                  <w:r w:rsidR="00D83C6F">
                                    <w:rPr>
                                      <w:color w:val="FFFFFF"/>
                                    </w:rPr>
                                    <w:t>SDCC Rathcoole Housing Development</w:t>
                                  </w:r>
                                  <w:r w:rsidRPr="0087529F">
                                    <w:rPr>
                                      <w:color w:val="FFFFFF"/>
                                    </w:rPr>
                                    <w:fldChar w:fldCharType="end"/>
                                  </w:r>
                                </w:p>
                                <w:p w14:paraId="284DC871" w14:textId="058A0FDF" w:rsidR="00CF237B" w:rsidRDefault="00CF237B" w:rsidP="0087529F">
                                  <w:pPr>
                                    <w:pStyle w:val="Subtitleheading"/>
                                    <w:rPr>
                                      <w:color w:val="FFFFFF"/>
                                    </w:rPr>
                                  </w:pPr>
                                  <w:r w:rsidRPr="0087529F">
                                    <w:rPr>
                                      <w:color w:val="FFFFFF"/>
                                    </w:rPr>
                                    <w:fldChar w:fldCharType="begin"/>
                                  </w:r>
                                  <w:r w:rsidRPr="0087529F">
                                    <w:rPr>
                                      <w:color w:val="FFFFFF"/>
                                    </w:rPr>
                                    <w:instrText xml:space="preserve"> DOCPROPERTY  SubTitle \* MERGEFORMAT </w:instrText>
                                  </w:r>
                                  <w:r w:rsidRPr="0087529F">
                                    <w:rPr>
                                      <w:color w:val="FFFFFF"/>
                                    </w:rPr>
                                    <w:fldChar w:fldCharType="separate"/>
                                  </w:r>
                                  <w:r w:rsidR="00D83C6F">
                                    <w:rPr>
                                      <w:color w:val="FFFFFF"/>
                                    </w:rPr>
                                    <w:t>Environmental Impact Assessment Report</w:t>
                                  </w:r>
                                  <w:r w:rsidRPr="0087529F">
                                    <w:rPr>
                                      <w:color w:val="FFFFFF"/>
                                    </w:rPr>
                                    <w:fldChar w:fldCharType="end"/>
                                  </w:r>
                                  <w:r w:rsidR="00193A2F">
                                    <w:rPr>
                                      <w:color w:val="FFFFFF"/>
                                    </w:rPr>
                                    <w:t xml:space="preserve"> (EIAR)</w:t>
                                  </w:r>
                                </w:p>
                                <w:p w14:paraId="63C62A0A" w14:textId="562DC0AF" w:rsidR="00193A2F" w:rsidRPr="0087529F" w:rsidRDefault="00193A2F" w:rsidP="0087529F">
                                  <w:pPr>
                                    <w:pStyle w:val="Subtitleheading"/>
                                    <w:rPr>
                                      <w:color w:val="FFFFFF"/>
                                    </w:rPr>
                                  </w:pPr>
                                  <w:r>
                                    <w:rPr>
                                      <w:color w:val="FFFFFF"/>
                                    </w:rPr>
                                    <w:t xml:space="preserve">Chapter </w:t>
                                  </w:r>
                                  <w:r w:rsidR="00224BD1">
                                    <w:rPr>
                                      <w:color w:val="FFFFFF"/>
                                    </w:rPr>
                                    <w:t>10: Climate</w:t>
                                  </w:r>
                                </w:p>
                                <w:p w14:paraId="4B0F65CD" w14:textId="48FE6EE7" w:rsidR="00CF237B" w:rsidRPr="0087529F" w:rsidRDefault="00CF237B" w:rsidP="0087529F">
                                  <w:pPr>
                                    <w:pStyle w:val="Subtitleheading"/>
                                    <w:rPr>
                                      <w:color w:val="FFFFFF"/>
                                    </w:rPr>
                                  </w:pPr>
                                  <w:r w:rsidRPr="0087529F">
                                    <w:rPr>
                                      <w:color w:val="FFFFFF"/>
                                    </w:rPr>
                                    <w:fldChar w:fldCharType="begin"/>
                                  </w:r>
                                  <w:r w:rsidRPr="0087529F">
                                    <w:rPr>
                                      <w:color w:val="FFFFFF"/>
                                    </w:rPr>
                                    <w:instrText xml:space="preserve"> DOCPROPERTY  SupplementaryTitle \* MERGEFORMAT </w:instrText>
                                  </w:r>
                                  <w:r w:rsidRPr="0087529F">
                                    <w:rPr>
                                      <w:color w:val="FFFFFF"/>
                                    </w:rPr>
                                    <w:fldChar w:fldCharType="end"/>
                                  </w:r>
                                </w:p>
                                <w:p w14:paraId="28C13FA4" w14:textId="77777777" w:rsidR="00CF237B" w:rsidRPr="0087529F" w:rsidRDefault="00CF237B" w:rsidP="0087529F">
                                  <w:pPr>
                                    <w:rPr>
                                      <w:color w:val="FFFFFF"/>
                                    </w:rPr>
                                  </w:pPr>
                                </w:p>
                                <w:p w14:paraId="18B34C13" w14:textId="41AD4A65" w:rsidR="00CF237B" w:rsidRPr="0087529F" w:rsidRDefault="00CF237B" w:rsidP="0087529F">
                                  <w:pPr>
                                    <w:pStyle w:val="Subtitleheading"/>
                                    <w:rPr>
                                      <w:color w:val="FFFFFF"/>
                                    </w:rPr>
                                  </w:pPr>
                                  <w:r w:rsidRPr="0087529F">
                                    <w:rPr>
                                      <w:color w:val="FFFFFF"/>
                                    </w:rPr>
                                    <w:fldChar w:fldCharType="begin"/>
                                  </w:r>
                                  <w:r w:rsidRPr="0087529F">
                                    <w:rPr>
                                      <w:color w:val="FFFFFF"/>
                                    </w:rPr>
                                    <w:instrText xml:space="preserve"> DOCPROPERTY  ClientName \* MERGEFORMAT </w:instrText>
                                  </w:r>
                                  <w:r w:rsidRPr="0087529F">
                                    <w:rPr>
                                      <w:color w:val="FFFFFF"/>
                                    </w:rPr>
                                    <w:fldChar w:fldCharType="separate"/>
                                  </w:r>
                                  <w:r w:rsidR="00D83C6F">
                                    <w:rPr>
                                      <w:color w:val="FFFFFF"/>
                                    </w:rPr>
                                    <w:t xml:space="preserve">South Dublin County Council </w:t>
                                  </w:r>
                                  <w:r w:rsidRPr="0087529F">
                                    <w:rPr>
                                      <w:color w:val="FFFFFF"/>
                                    </w:rPr>
                                    <w:fldChar w:fldCharType="end"/>
                                  </w:r>
                                  <w:r w:rsidR="00C46E97">
                                    <w:rPr>
                                      <w:color w:val="FFFFFF"/>
                                    </w:rPr>
                                    <w:t>(SDCC)</w:t>
                                  </w:r>
                                </w:p>
                                <w:p w14:paraId="317A320C" w14:textId="54C35DCA" w:rsidR="00CF237B" w:rsidRPr="0087529F" w:rsidRDefault="00CF237B" w:rsidP="0087529F">
                                  <w:pPr>
                                    <w:pStyle w:val="Subtitle"/>
                                    <w:rPr>
                                      <w:rFonts w:asciiTheme="minorHAnsi" w:hAnsiTheme="minorHAnsi" w:cstheme="minorHAnsi"/>
                                      <w:color w:val="FFFFFF"/>
                                    </w:rPr>
                                  </w:pPr>
                                  <w:r w:rsidRPr="0087529F">
                                    <w:rPr>
                                      <w:rFonts w:asciiTheme="minorHAnsi" w:hAnsiTheme="minorHAnsi" w:cstheme="minorHAnsi"/>
                                      <w:color w:val="FFFFFF"/>
                                    </w:rPr>
                                    <w:fldChar w:fldCharType="begin"/>
                                  </w:r>
                                  <w:r w:rsidRPr="0087529F">
                                    <w:rPr>
                                      <w:rFonts w:asciiTheme="minorHAnsi" w:hAnsiTheme="minorHAnsi" w:cstheme="minorHAnsi"/>
                                      <w:color w:val="FFFFFF"/>
                                    </w:rPr>
                                    <w:instrText xml:space="preserve"> DOCPROPERTY  TenderStage \* MERGEFORMAT </w:instrText>
                                  </w:r>
                                  <w:r w:rsidRPr="0087529F">
                                    <w:rPr>
                                      <w:rFonts w:asciiTheme="minorHAnsi" w:hAnsiTheme="minorHAnsi" w:cstheme="minorHAnsi"/>
                                      <w:color w:val="FFFFFF"/>
                                    </w:rPr>
                                    <w:fldChar w:fldCharType="end"/>
                                  </w:r>
                                </w:p>
                                <w:p w14:paraId="37DEB23A" w14:textId="77777777" w:rsidR="00CF237B" w:rsidRPr="0087529F" w:rsidRDefault="00CF237B" w:rsidP="0087529F">
                                  <w:pPr>
                                    <w:rPr>
                                      <w:color w:val="FFFFFF"/>
                                    </w:rPr>
                                  </w:pPr>
                                </w:p>
                                <w:p w14:paraId="756839ED" w14:textId="0E40EF0B"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ProjectRef \* MERGEFORMAT </w:instrText>
                                  </w:r>
                                  <w:r w:rsidRPr="0087529F">
                                    <w:rPr>
                                      <w:color w:val="FFFFFF"/>
                                    </w:rPr>
                                    <w:fldChar w:fldCharType="separate"/>
                                  </w:r>
                                  <w:r w:rsidR="00D83C6F">
                                    <w:rPr>
                                      <w:color w:val="FFFFFF"/>
                                    </w:rPr>
                                    <w:t xml:space="preserve"> </w:t>
                                  </w:r>
                                  <w:r w:rsidRPr="0087529F">
                                    <w:rPr>
                                      <w:color w:val="FFFFFF"/>
                                    </w:rPr>
                                    <w:fldChar w:fldCharType="end"/>
                                  </w:r>
                                </w:p>
                                <w:p w14:paraId="3A8337A7" w14:textId="047DFE2D"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ProjectNumber \* MERGEFORMAT </w:instrText>
                                  </w:r>
                                  <w:r w:rsidRPr="0087529F">
                                    <w:rPr>
                                      <w:color w:val="FFFFFF"/>
                                    </w:rPr>
                                    <w:fldChar w:fldCharType="separate"/>
                                  </w:r>
                                  <w:r w:rsidR="00D83C6F">
                                    <w:rPr>
                                      <w:color w:val="FFFFFF"/>
                                    </w:rPr>
                                    <w:t xml:space="preserve"> </w:t>
                                  </w:r>
                                  <w:r w:rsidRPr="0087529F">
                                    <w:rPr>
                                      <w:color w:val="FFFFFF"/>
                                    </w:rPr>
                                    <w:fldChar w:fldCharType="end"/>
                                  </w:r>
                                </w:p>
                                <w:p w14:paraId="56FAD390" w14:textId="5E83CD35"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DocumentReference \* MERGEFORMAT </w:instrText>
                                  </w:r>
                                  <w:r w:rsidRPr="0087529F">
                                    <w:rPr>
                                      <w:color w:val="FFFFFF"/>
                                    </w:rPr>
                                    <w:fldChar w:fldCharType="end"/>
                                  </w:r>
                                </w:p>
                                <w:p w14:paraId="6F93299B" w14:textId="77777777" w:rsidR="00CF237B" w:rsidRPr="0087529F" w:rsidRDefault="00CF237B" w:rsidP="0087529F">
                                  <w:pPr>
                                    <w:pStyle w:val="Coverfooter"/>
                                    <w:rPr>
                                      <w:color w:val="FFFFFF"/>
                                    </w:rPr>
                                  </w:pPr>
                                </w:p>
                                <w:p w14:paraId="7BB00788" w14:textId="39A70952" w:rsidR="00CF237B" w:rsidRPr="0087529F" w:rsidRDefault="00EF766A" w:rsidP="0087529F">
                                  <w:pPr>
                                    <w:pStyle w:val="Coverfooter"/>
                                    <w:rPr>
                                      <w:color w:val="FFFFFF"/>
                                    </w:rPr>
                                  </w:pPr>
                                  <w:r>
                                    <w:rPr>
                                      <w:color w:val="FFFFFF"/>
                                    </w:rPr>
                                    <w:t>September</w:t>
                                  </w:r>
                                  <w:r w:rsidR="006232FB">
                                    <w:rPr>
                                      <w:color w:val="FFFFFF"/>
                                    </w:rPr>
                                    <w:t xml:space="preserve"> </w:t>
                                  </w:r>
                                  <w:r w:rsidR="001F32CB">
                                    <w:rPr>
                                      <w:color w:val="FFFFFF"/>
                                    </w:rPr>
                                    <w:t>2026</w:t>
                                  </w:r>
                                </w:p>
                              </w:tc>
                            </w:tr>
                            <w:bookmarkEnd w:id="7"/>
                            <w:bookmarkEnd w:id="8"/>
                          </w:tbl>
                          <w:p w14:paraId="341C84AA" w14:textId="77777777" w:rsidR="00CF237B" w:rsidRDefault="00CF237B" w:rsidP="00D50E1B"/>
                        </w:txbxContent>
                      </wps:txbx>
                      <wps:bodyPr rot="0" vert="horz" wrap="square" lIns="0" tIns="0" rIns="0" bIns="36000" anchor="t" anchorCtr="0">
                        <a:noAutofit/>
                      </wps:bodyPr>
                    </wps:wsp>
                  </a:graphicData>
                </a:graphic>
                <wp14:sizeRelH relativeFrom="margin">
                  <wp14:pctWidth>100000</wp14:pctWidth>
                </wp14:sizeRelH>
                <wp14:sizeRelV relativeFrom="page">
                  <wp14:pctHeight>50000</wp14:pctHeight>
                </wp14:sizeRelV>
              </wp:anchor>
            </w:drawing>
          </mc:Choice>
          <mc:Fallback>
            <w:pict>
              <v:shape w14:anchorId="5F3D88F8" id="CoverTitleBox" o:spid="_x0000_s1027" type="#_x0000_t202" style="position:absolute;left:0;text-align:left;margin-left:0;margin-top:0;width:460.5pt;height:242.65pt;z-index:251658241;visibility:visible;mso-wrap-style:square;mso-width-percent:1000;mso-height-percent:500;mso-wrap-distance-left:9pt;mso-wrap-distance-top:0;mso-wrap-distance-right:9pt;mso-wrap-distance-bottom:0;mso-position-horizontal:absolute;mso-position-horizontal-relative:margin;mso-position-vertical:bottom;mso-position-vertical-relative:page;mso-width-percent:1000;mso-height-percent:50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" o:allowincell="f" filled="f" stroked="f">
                <v:textbox inset="0,0,0,1mm">
                  <w:txbxContent>
                    <w:tbl>
                      <w:tblPr>
                        <w:tblStyle w:val="Plaingrid"/>
                        <w:tblW w:w="3990" w:type="pct"/>
                        <w:tblLook w:val="04A0" w:firstRow="1" w:lastRow="0" w:firstColumn="1" w:lastColumn="0" w:noHBand="0" w:noVBand="1"/>
                      </w:tblPr>
                      <w:tblGrid>
                        <w:gridCol w:w="7350"/>
                      </w:tblGrid>
                      <w:tr w:rsidR="00CF237B" w:rsidRPr="0087529F" w14:paraId="2B1DDFB9" w14:textId="77777777" w:rsidTr="00DD205C">
                        <w:trPr>
                          <w:trHeight w:val="3547"/>
                        </w:trPr>
                        <w:tc>
                          <w:tcPr>
                            <w:tcW w:w="7200" w:type="dxa"/>
                          </w:tcPr>
                          <w:bookmarkStart w:id="9" w:name="Cover1" w:colFirst="0" w:colLast="1"/>
                          <w:bookmarkStart w:id="10" w:name="CoverTable1"/>
                          <w:p w14:paraId="051596FB" w14:textId="6BD9D059" w:rsidR="00CF237B" w:rsidRPr="0087529F" w:rsidRDefault="00CF237B" w:rsidP="00C46E97">
                            <w:pPr>
                              <w:pStyle w:val="Title"/>
                              <w:jc w:val="left"/>
                              <w:rPr>
                                <w:color w:val="FFFFFF"/>
                              </w:rPr>
                            </w:pPr>
                            <w:r w:rsidRPr="0087529F">
                              <w:rPr>
                                <w:color w:val="FFFFFF"/>
                              </w:rPr>
                              <w:fldChar w:fldCharType="begin"/>
                            </w:r>
                            <w:r w:rsidRPr="0087529F">
                              <w:rPr>
                                <w:color w:val="FFFFFF"/>
                              </w:rPr>
                              <w:instrText xml:space="preserve"> DOCPROPERTY  DocumentTitle \* MERGEFORMAT </w:instrText>
                            </w:r>
                            <w:r w:rsidRPr="0087529F">
                              <w:rPr>
                                <w:color w:val="FFFFFF"/>
                              </w:rPr>
                              <w:fldChar w:fldCharType="separate"/>
                            </w:r>
                            <w:r w:rsidR="00D83C6F">
                              <w:rPr>
                                <w:color w:val="FFFFFF"/>
                              </w:rPr>
                              <w:t>SDCC Rathcoole Housing Development</w:t>
                            </w:r>
                            <w:r w:rsidRPr="0087529F">
                              <w:rPr>
                                <w:color w:val="FFFFFF"/>
                              </w:rPr>
                              <w:fldChar w:fldCharType="end"/>
                            </w:r>
                          </w:p>
                          <w:p w14:paraId="284DC871" w14:textId="058A0FDF" w:rsidR="00CF237B" w:rsidRDefault="00CF237B" w:rsidP="0087529F">
                            <w:pPr>
                              <w:pStyle w:val="Subtitleheading"/>
                              <w:rPr>
                                <w:color w:val="FFFFFF"/>
                              </w:rPr>
                            </w:pPr>
                            <w:r w:rsidRPr="0087529F">
                              <w:rPr>
                                <w:color w:val="FFFFFF"/>
                              </w:rPr>
                              <w:fldChar w:fldCharType="begin"/>
                            </w:r>
                            <w:r w:rsidRPr="0087529F">
                              <w:rPr>
                                <w:color w:val="FFFFFF"/>
                              </w:rPr>
                              <w:instrText xml:space="preserve"> DOCPROPERTY  SubTitle \* MERGEFORMAT </w:instrText>
                            </w:r>
                            <w:r w:rsidRPr="0087529F">
                              <w:rPr>
                                <w:color w:val="FFFFFF"/>
                              </w:rPr>
                              <w:fldChar w:fldCharType="separate"/>
                            </w:r>
                            <w:r w:rsidR="00D83C6F">
                              <w:rPr>
                                <w:color w:val="FFFFFF"/>
                              </w:rPr>
                              <w:t>Environmental Impact Assessment Report</w:t>
                            </w:r>
                            <w:r w:rsidRPr="0087529F">
                              <w:rPr>
                                <w:color w:val="FFFFFF"/>
                              </w:rPr>
                              <w:fldChar w:fldCharType="end"/>
                            </w:r>
                            <w:r w:rsidR="00193A2F">
                              <w:rPr>
                                <w:color w:val="FFFFFF"/>
                              </w:rPr>
                              <w:t xml:space="preserve"> (EIAR)</w:t>
                            </w:r>
                          </w:p>
                          <w:p w14:paraId="63C62A0A" w14:textId="562DC0AF" w:rsidR="00193A2F" w:rsidRPr="0087529F" w:rsidRDefault="00193A2F" w:rsidP="0087529F">
                            <w:pPr>
                              <w:pStyle w:val="Subtitleheading"/>
                              <w:rPr>
                                <w:color w:val="FFFFFF"/>
                              </w:rPr>
                            </w:pPr>
                            <w:r>
                              <w:rPr>
                                <w:color w:val="FFFFFF"/>
                              </w:rPr>
                              <w:t xml:space="preserve">Chapter </w:t>
                            </w:r>
                            <w:r w:rsidR="00224BD1">
                              <w:rPr>
                                <w:color w:val="FFFFFF"/>
                              </w:rPr>
                              <w:t>10: Climate</w:t>
                            </w:r>
                          </w:p>
                          <w:p w14:paraId="4B0F65CD" w14:textId="48FE6EE7" w:rsidR="00CF237B" w:rsidRPr="0087529F" w:rsidRDefault="00CF237B" w:rsidP="0087529F">
                            <w:pPr>
                              <w:pStyle w:val="Subtitleheading"/>
                              <w:rPr>
                                <w:color w:val="FFFFFF"/>
                              </w:rPr>
                            </w:pPr>
                            <w:r w:rsidRPr="0087529F">
                              <w:rPr>
                                <w:color w:val="FFFFFF"/>
                              </w:rPr>
                              <w:fldChar w:fldCharType="begin"/>
                            </w:r>
                            <w:r w:rsidRPr="0087529F">
                              <w:rPr>
                                <w:color w:val="FFFFFF"/>
                              </w:rPr>
                              <w:instrText xml:space="preserve"> DOCPROPERTY  SupplementaryTitle \* MERGEFORMAT </w:instrText>
                            </w:r>
                            <w:r w:rsidRPr="0087529F">
                              <w:rPr>
                                <w:color w:val="FFFFFF"/>
                              </w:rPr>
                              <w:fldChar w:fldCharType="end"/>
                            </w:r>
                          </w:p>
                          <w:p w14:paraId="28C13FA4" w14:textId="77777777" w:rsidR="00CF237B" w:rsidRPr="0087529F" w:rsidRDefault="00CF237B" w:rsidP="0087529F">
                            <w:pPr>
                              <w:rPr>
                                <w:color w:val="FFFFFF"/>
                              </w:rPr>
                            </w:pPr>
                          </w:p>
                          <w:p w14:paraId="18B34C13" w14:textId="41AD4A65" w:rsidR="00CF237B" w:rsidRPr="0087529F" w:rsidRDefault="00CF237B" w:rsidP="0087529F">
                            <w:pPr>
                              <w:pStyle w:val="Subtitleheading"/>
                              <w:rPr>
                                <w:color w:val="FFFFFF"/>
                              </w:rPr>
                            </w:pPr>
                            <w:r w:rsidRPr="0087529F">
                              <w:rPr>
                                <w:color w:val="FFFFFF"/>
                              </w:rPr>
                              <w:fldChar w:fldCharType="begin"/>
                            </w:r>
                            <w:r w:rsidRPr="0087529F">
                              <w:rPr>
                                <w:color w:val="FFFFFF"/>
                              </w:rPr>
                              <w:instrText xml:space="preserve"> DOCPROPERTY  ClientName \* MERGEFORMAT </w:instrText>
                            </w:r>
                            <w:r w:rsidRPr="0087529F">
                              <w:rPr>
                                <w:color w:val="FFFFFF"/>
                              </w:rPr>
                              <w:fldChar w:fldCharType="separate"/>
                            </w:r>
                            <w:r w:rsidR="00D83C6F">
                              <w:rPr>
                                <w:color w:val="FFFFFF"/>
                              </w:rPr>
                              <w:t xml:space="preserve">South Dublin County Council </w:t>
                            </w:r>
                            <w:r w:rsidRPr="0087529F">
                              <w:rPr>
                                <w:color w:val="FFFFFF"/>
                              </w:rPr>
                              <w:fldChar w:fldCharType="end"/>
                            </w:r>
                            <w:r w:rsidR="00C46E97">
                              <w:rPr>
                                <w:color w:val="FFFFFF"/>
                              </w:rPr>
                              <w:t>(SDCC)</w:t>
                            </w:r>
                          </w:p>
                          <w:p w14:paraId="317A320C" w14:textId="54C35DCA" w:rsidR="00CF237B" w:rsidRPr="0087529F" w:rsidRDefault="00CF237B" w:rsidP="0087529F">
                            <w:pPr>
                              <w:pStyle w:val="Subtitle"/>
                              <w:rPr>
                                <w:rFonts w:asciiTheme="minorHAnsi" w:hAnsiTheme="minorHAnsi" w:cstheme="minorHAnsi"/>
                                <w:color w:val="FFFFFF"/>
                              </w:rPr>
                            </w:pPr>
                            <w:r w:rsidRPr="0087529F">
                              <w:rPr>
                                <w:rFonts w:asciiTheme="minorHAnsi" w:hAnsiTheme="minorHAnsi" w:cstheme="minorHAnsi"/>
                                <w:color w:val="FFFFFF"/>
                              </w:rPr>
                              <w:fldChar w:fldCharType="begin"/>
                            </w:r>
                            <w:r w:rsidRPr="0087529F">
                              <w:rPr>
                                <w:rFonts w:asciiTheme="minorHAnsi" w:hAnsiTheme="minorHAnsi" w:cstheme="minorHAnsi"/>
                                <w:color w:val="FFFFFF"/>
                              </w:rPr>
                              <w:instrText xml:space="preserve"> DOCPROPERTY  TenderStage \* MERGEFORMAT </w:instrText>
                            </w:r>
                            <w:r w:rsidRPr="0087529F">
                              <w:rPr>
                                <w:rFonts w:asciiTheme="minorHAnsi" w:hAnsiTheme="minorHAnsi" w:cstheme="minorHAnsi"/>
                                <w:color w:val="FFFFFF"/>
                              </w:rPr>
                              <w:fldChar w:fldCharType="end"/>
                            </w:r>
                          </w:p>
                          <w:p w14:paraId="37DEB23A" w14:textId="77777777" w:rsidR="00CF237B" w:rsidRPr="0087529F" w:rsidRDefault="00CF237B" w:rsidP="0087529F">
                            <w:pPr>
                              <w:rPr>
                                <w:color w:val="FFFFFF"/>
                              </w:rPr>
                            </w:pPr>
                          </w:p>
                          <w:p w14:paraId="756839ED" w14:textId="0E40EF0B"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ProjectRef \* MERGEFORMAT </w:instrText>
                            </w:r>
                            <w:r w:rsidRPr="0087529F">
                              <w:rPr>
                                <w:color w:val="FFFFFF"/>
                              </w:rPr>
                              <w:fldChar w:fldCharType="separate"/>
                            </w:r>
                            <w:r w:rsidR="00D83C6F">
                              <w:rPr>
                                <w:color w:val="FFFFFF"/>
                              </w:rPr>
                              <w:t xml:space="preserve"> </w:t>
                            </w:r>
                            <w:r w:rsidRPr="0087529F">
                              <w:rPr>
                                <w:color w:val="FFFFFF"/>
                              </w:rPr>
                              <w:fldChar w:fldCharType="end"/>
                            </w:r>
                          </w:p>
                          <w:p w14:paraId="3A8337A7" w14:textId="047DFE2D"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ProjectNumber \* MERGEFORMAT </w:instrText>
                            </w:r>
                            <w:r w:rsidRPr="0087529F">
                              <w:rPr>
                                <w:color w:val="FFFFFF"/>
                              </w:rPr>
                              <w:fldChar w:fldCharType="separate"/>
                            </w:r>
                            <w:r w:rsidR="00D83C6F">
                              <w:rPr>
                                <w:color w:val="FFFFFF"/>
                              </w:rPr>
                              <w:t xml:space="preserve"> </w:t>
                            </w:r>
                            <w:r w:rsidRPr="0087529F">
                              <w:rPr>
                                <w:color w:val="FFFFFF"/>
                              </w:rPr>
                              <w:fldChar w:fldCharType="end"/>
                            </w:r>
                          </w:p>
                          <w:p w14:paraId="56FAD390" w14:textId="5E83CD35"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DocumentReference \* MERGEFORMAT </w:instrText>
                            </w:r>
                            <w:r w:rsidRPr="0087529F">
                              <w:rPr>
                                <w:color w:val="FFFFFF"/>
                              </w:rPr>
                              <w:fldChar w:fldCharType="end"/>
                            </w:r>
                          </w:p>
                          <w:p w14:paraId="6F93299B" w14:textId="77777777" w:rsidR="00CF237B" w:rsidRPr="0087529F" w:rsidRDefault="00CF237B" w:rsidP="0087529F">
                            <w:pPr>
                              <w:pStyle w:val="Coverfooter"/>
                              <w:rPr>
                                <w:color w:val="FFFFFF"/>
                              </w:rPr>
                            </w:pPr>
                          </w:p>
                          <w:p w14:paraId="7BB00788" w14:textId="39A70952" w:rsidR="00CF237B" w:rsidRPr="0087529F" w:rsidRDefault="00EF766A" w:rsidP="0087529F">
                            <w:pPr>
                              <w:pStyle w:val="Coverfooter"/>
                              <w:rPr>
                                <w:color w:val="FFFFFF"/>
                              </w:rPr>
                            </w:pPr>
                            <w:r>
                              <w:rPr>
                                <w:color w:val="FFFFFF"/>
                              </w:rPr>
                              <w:t>September</w:t>
                            </w:r>
                            <w:r w:rsidR="006232FB">
                              <w:rPr>
                                <w:color w:val="FFFFFF"/>
                              </w:rPr>
                              <w:t xml:space="preserve"> </w:t>
                            </w:r>
                            <w:r w:rsidR="001F32CB">
                              <w:rPr>
                                <w:color w:val="FFFFFF"/>
                              </w:rPr>
                              <w:t>2026</w:t>
                            </w:r>
                          </w:p>
                        </w:tc>
                      </w:tr>
                      <w:bookmarkEnd w:id="9"/>
                      <w:bookmarkEnd w:id="10"/>
                    </w:tbl>
                    <w:p w14:paraId="341C84AA" w14:textId="77777777" w:rsidR="00CF237B" w:rsidRDefault="00CF237B" w:rsidP="00D50E1B"/>
                  </w:txbxContent>
                </v:textbox>
                <w10:wrap anchorx="margin" anchory="page"/>
              </v:shape>
            </w:pict>
          </mc:Fallback>
        </mc:AlternateContent>
      </w:r>
      <w:r w:rsidR="00EF62EF">
        <w:rPr>
          <w:noProof/>
          <w:lang w:eastAsia="en-GB"/>
        </w:rPr>
        <mc:AlternateContent>
          <mc:Choice Requires="wps">
            <w:drawing>
              <wp:anchor distT="0" distB="0" distL="114300" distR="114300" simplePos="0" relativeHeight="251658240" behindDoc="0" locked="0" layoutInCell="0" allowOverlap="1" wp14:anchorId="17994993" wp14:editId="6EA8444C">
                <wp:simplePos x="0" y="0"/>
                <wp:positionH relativeFrom="column">
                  <wp:posOffset>0</wp:posOffset>
                </wp:positionH>
                <wp:positionV relativeFrom="page">
                  <wp:align>bottom</wp:align>
                </wp:positionV>
                <wp:extent cx="6134100" cy="1353960"/>
                <wp:effectExtent l="0" t="0" r="10160" b="0"/>
                <wp:wrapNone/>
                <wp:docPr id="307" name="CoverFooterBox"/>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353960"/>
                        </a:xfrm>
                        <a:prstGeom prst="rect">
                          <a:avLst/>
                        </a:prstGeom>
                        <a:noFill/>
                        <a:ln w="9525">
                          <a:noFill/>
                          <a:miter lim="800000"/>
                          <a:headEnd/>
                          <a:tailEnd/>
                        </a:ln>
                      </wps:spPr>
                      <wps:txbx>
                        <w:txbxContent>
                          <w:tbl>
                            <w:tblPr>
                              <w:tblStyle w:val="Plaingrid"/>
                              <w:tblW w:w="5000" w:type="pct"/>
                              <w:tblCellMar>
                                <w:right w:w="0" w:type="dxa"/>
                              </w:tblCellMar>
                              <w:tblLook w:val="04A0" w:firstRow="1" w:lastRow="0" w:firstColumn="1" w:lastColumn="0" w:noHBand="0" w:noVBand="1"/>
                            </w:tblPr>
                            <w:tblGrid>
                              <w:gridCol w:w="2781"/>
                              <w:gridCol w:w="3089"/>
                              <w:gridCol w:w="3791"/>
                            </w:tblGrid>
                            <w:tr w:rsidR="00EF62EF" w:rsidRPr="0087529F" w14:paraId="75F82B73" w14:textId="77777777" w:rsidTr="00BA08E0">
                              <w:trPr>
                                <w:trHeight w:val="1554"/>
                              </w:trPr>
                              <w:tc>
                                <w:tcPr>
                                  <w:tcW w:w="1439" w:type="pct"/>
                                  <w:vAlign w:val="bottom"/>
                                </w:tcPr>
                                <w:bookmarkStart w:id="11" w:name="Cover3" w:colFirst="0" w:colLast="2"/>
                                <w:bookmarkStart w:id="12" w:name="CoverTable2"/>
                                <w:p w14:paraId="1A3141AA" w14:textId="2E0F5D3A" w:rsidR="00CF237B" w:rsidRPr="0087529F" w:rsidRDefault="00CF237B" w:rsidP="008A19FD">
                                  <w:pPr>
                                    <w:pStyle w:val="Coverfooter"/>
                                    <w:rPr>
                                      <w:color w:val="FFFFFF"/>
                                    </w:rPr>
                                  </w:pPr>
                                  <w:r w:rsidRPr="0087529F">
                                    <w:rPr>
                                      <w:color w:val="FFFFFF"/>
                                    </w:rPr>
                                    <w:fldChar w:fldCharType="begin"/>
                                  </w:r>
                                  <w:r w:rsidRPr="0087529F">
                                    <w:rPr>
                                      <w:color w:val="FFFFFF"/>
                                    </w:rPr>
                                    <w:instrText xml:space="preserve"> DOCPROPERTY  FooterClientAddress \* MERGEFORMAT </w:instrText>
                                  </w:r>
                                  <w:r w:rsidRPr="0087529F">
                                    <w:rPr>
                                      <w:color w:val="FFFFFF"/>
                                    </w:rPr>
                                    <w:fldChar w:fldCharType="end"/>
                                  </w:r>
                                </w:p>
                              </w:tc>
                              <w:tc>
                                <w:tcPr>
                                  <w:tcW w:w="1598" w:type="pct"/>
                                  <w:vAlign w:val="bottom"/>
                                </w:tcPr>
                                <w:p w14:paraId="6EB0DACA" w14:textId="08ADE987" w:rsidR="00CF237B" w:rsidRPr="0087529F" w:rsidRDefault="00CF237B" w:rsidP="00BA5047">
                                  <w:pPr>
                                    <w:pStyle w:val="Coverfooter"/>
                                    <w:jc w:val="center"/>
                                    <w:rPr>
                                      <w:b/>
                                      <w:caps/>
                                      <w:color w:val="FFFFFF"/>
                                      <w:sz w:val="18"/>
                                      <w:szCs w:val="18"/>
                                    </w:rPr>
                                  </w:pPr>
                                  <w:r w:rsidRPr="0087529F">
                                    <w:rPr>
                                      <w:b/>
                                      <w:caps/>
                                      <w:color w:val="FFFFFF"/>
                                      <w:sz w:val="18"/>
                                      <w:szCs w:val="18"/>
                                    </w:rPr>
                                    <w:fldChar w:fldCharType="begin"/>
                                  </w:r>
                                  <w:r w:rsidRPr="0087529F">
                                    <w:rPr>
                                      <w:b/>
                                      <w:caps/>
                                      <w:color w:val="FFFFFF"/>
                                      <w:sz w:val="18"/>
                                      <w:szCs w:val="18"/>
                                    </w:rPr>
                                    <w:instrText xml:space="preserve"> DOCPROPERTY  ProtectiveMarking \* MERGEFORMAT </w:instrText>
                                  </w:r>
                                  <w:r w:rsidRPr="0087529F">
                                    <w:rPr>
                                      <w:b/>
                                      <w:caps/>
                                      <w:color w:val="FFFFFF"/>
                                      <w:sz w:val="18"/>
                                      <w:szCs w:val="18"/>
                                    </w:rPr>
                                    <w:fldChar w:fldCharType="end"/>
                                  </w:r>
                                </w:p>
                                <w:p w14:paraId="11C674E4" w14:textId="66D0DD6B" w:rsidR="00CF237B" w:rsidRPr="0087529F" w:rsidRDefault="00CF237B" w:rsidP="00BA5047">
                                  <w:pPr>
                                    <w:pStyle w:val="Coverfooter"/>
                                    <w:jc w:val="center"/>
                                    <w:rPr>
                                      <w:color w:val="FFFFFF"/>
                                    </w:rPr>
                                  </w:pPr>
                                  <w:r w:rsidRPr="0087529F">
                                    <w:rPr>
                                      <w:color w:val="FFFFFF"/>
                                    </w:rPr>
                                    <w:fldChar w:fldCharType="begin"/>
                                  </w:r>
                                  <w:r w:rsidRPr="0087529F">
                                    <w:rPr>
                                      <w:color w:val="FFFFFF"/>
                                    </w:rPr>
                                    <w:instrText xml:space="preserve"> DOCPROPERTY  Copies \* MERGEFORMAT </w:instrText>
                                  </w:r>
                                  <w:r w:rsidRPr="0087529F">
                                    <w:rPr>
                                      <w:color w:val="FFFFFF"/>
                                    </w:rPr>
                                    <w:fldChar w:fldCharType="end"/>
                                  </w:r>
                                </w:p>
                              </w:tc>
                              <w:tc>
                                <w:tcPr>
                                  <w:tcW w:w="1962" w:type="pct"/>
                                  <w:vAlign w:val="bottom"/>
                                </w:tcPr>
                                <w:p w14:paraId="057F0BE6" w14:textId="6BDFDF13" w:rsidR="00CF237B" w:rsidRPr="0087529F" w:rsidRDefault="0087529F" w:rsidP="00D50E1B">
                                  <w:pPr>
                                    <w:pStyle w:val="Coverfooter"/>
                                    <w:jc w:val="right"/>
                                    <w:rPr>
                                      <w:color w:val="FFFFFF"/>
                                    </w:rPr>
                                  </w:pPr>
                                  <w:bookmarkStart w:id="13" w:name="TagLine"/>
                                  <w:r w:rsidRPr="0087529F">
                                    <w:rPr>
                                      <w:rFonts w:ascii="Arial" w:hAnsi="Arial" w:cs="Arial"/>
                                      <w:noProof/>
                                      <w:color w:val="000000"/>
                                    </w:rPr>
                                    <w:drawing>
                                      <wp:inline distT="0" distB="0" distL="0" distR="0" wp14:anchorId="067DBDB0" wp14:editId="20E2BE10">
                                        <wp:extent cx="1813498" cy="170016"/>
                                        <wp:effectExtent l="0" t="0" r="0" b="1905"/>
                                        <wp:docPr id="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96DAC541-7B7A-43D3-8B79-37D633B846F1}">
                                                      <asvg:svgBlip xmlns:asvg="http://schemas.microsoft.com/office/drawing/2016/SVG/main" r:embed="rId16"/>
                                                    </a:ext>
                                                  </a:extLst>
                                                </a:blip>
                                                <a:stretch>
                                                  <a:fillRect/>
                                                </a:stretch>
                                              </pic:blipFill>
                                              <pic:spPr>
                                                <a:xfrm>
                                                  <a:off x="0" y="0"/>
                                                  <a:ext cx="1921744" cy="180164"/>
                                                </a:xfrm>
                                                <a:prstGeom prst="rect">
                                                  <a:avLst/>
                                                </a:prstGeom>
                                              </pic:spPr>
                                            </pic:pic>
                                          </a:graphicData>
                                        </a:graphic>
                                      </wp:inline>
                                    </w:drawing>
                                  </w:r>
                                  <w:bookmarkEnd w:id="13"/>
                                </w:p>
                              </w:tc>
                            </w:tr>
                            <w:bookmarkEnd w:id="11"/>
                            <w:bookmarkEnd w:id="12"/>
                          </w:tbl>
                          <w:p w14:paraId="4CA7E41F" w14:textId="77777777" w:rsidR="00CF237B" w:rsidRDefault="00CF237B" w:rsidP="00DA79BC"/>
                        </w:txbxContent>
                      </wps:txbx>
                      <wps:bodyPr rot="0" vert="horz" wrap="square" lIns="0" tIns="0" rIns="0" bIns="36000" anchor="t" anchorCtr="0">
                        <a:noAutofit/>
                      </wps:bodyPr>
                    </wps:wsp>
                  </a:graphicData>
                </a:graphic>
                <wp14:sizeRelH relativeFrom="page">
                  <wp14:pctWidth>81000</wp14:pctWidth>
                </wp14:sizeRelH>
                <wp14:sizeRelV relativeFrom="margin">
                  <wp14:pctHeight>0</wp14:pctHeight>
                </wp14:sizeRelV>
              </wp:anchor>
            </w:drawing>
          </mc:Choice>
          <mc:Fallback>
            <w:pict>
              <v:shape w14:anchorId="17994993" id="CoverFooterBox" o:spid="_x0000_s1028" type="#_x0000_t202" style="position:absolute;left:0;text-align:left;margin-left:0;margin-top:0;width:483pt;height:106.6pt;z-index:251658240;visibility:visible;mso-wrap-style:square;mso-width-percent:810;mso-height-percent:0;mso-wrap-distance-left:9pt;mso-wrap-distance-top:0;mso-wrap-distance-right:9pt;mso-wrap-distance-bottom:0;mso-position-horizontal:absolute;mso-position-horizontal-relative:text;mso-position-vertical:bottom;mso-position-vertical-relative:page;mso-width-percent:81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" o:allowincell="f" filled="f" stroked="f">
                <v:textbox inset="0,0,0,1mm">
                  <w:txbxContent>
                    <w:tbl>
                      <w:tblPr>
                        <w:tblStyle w:val="Plaingrid"/>
                        <w:tblW w:w="5000" w:type="pct"/>
                        <w:tblCellMar>
                          <w:right w:w="0" w:type="dxa"/>
                        </w:tblCellMar>
                        <w:tblLook w:val="04A0" w:firstRow="1" w:lastRow="0" w:firstColumn="1" w:lastColumn="0" w:noHBand="0" w:noVBand="1"/>
                      </w:tblPr>
                      <w:tblGrid>
                        <w:gridCol w:w="2781"/>
                        <w:gridCol w:w="3089"/>
                        <w:gridCol w:w="3791"/>
                      </w:tblGrid>
                      <w:tr w:rsidR="00EF62EF" w:rsidRPr="0087529F" w14:paraId="75F82B73" w14:textId="77777777" w:rsidTr="00BA08E0">
                        <w:trPr>
                          <w:trHeight w:val="1554"/>
                        </w:trPr>
                        <w:tc>
                          <w:tcPr>
                            <w:tcW w:w="1439" w:type="pct"/>
                            <w:vAlign w:val="bottom"/>
                          </w:tcPr>
                          <w:bookmarkStart w:id="14" w:name="Cover3" w:colFirst="0" w:colLast="2"/>
                          <w:bookmarkStart w:id="15" w:name="CoverTable2"/>
                          <w:p w14:paraId="1A3141AA" w14:textId="2E0F5D3A" w:rsidR="00CF237B" w:rsidRPr="0087529F" w:rsidRDefault="00CF237B" w:rsidP="008A19FD">
                            <w:pPr>
                              <w:pStyle w:val="Coverfooter"/>
                              <w:rPr>
                                <w:color w:val="FFFFFF"/>
                              </w:rPr>
                            </w:pPr>
                            <w:r w:rsidRPr="0087529F">
                              <w:rPr>
                                <w:color w:val="FFFFFF"/>
                              </w:rPr>
                              <w:fldChar w:fldCharType="begin"/>
                            </w:r>
                            <w:r w:rsidRPr="0087529F">
                              <w:rPr>
                                <w:color w:val="FFFFFF"/>
                              </w:rPr>
                              <w:instrText xml:space="preserve"> DOCPROPERTY  FooterClientAddress \* MERGEFORMAT </w:instrText>
                            </w:r>
                            <w:r w:rsidRPr="0087529F">
                              <w:rPr>
                                <w:color w:val="FFFFFF"/>
                              </w:rPr>
                              <w:fldChar w:fldCharType="end"/>
                            </w:r>
                          </w:p>
                        </w:tc>
                        <w:tc>
                          <w:tcPr>
                            <w:tcW w:w="1598" w:type="pct"/>
                            <w:vAlign w:val="bottom"/>
                          </w:tcPr>
                          <w:p w14:paraId="6EB0DACA" w14:textId="08ADE987" w:rsidR="00CF237B" w:rsidRPr="0087529F" w:rsidRDefault="00CF237B" w:rsidP="00BA5047">
                            <w:pPr>
                              <w:pStyle w:val="Coverfooter"/>
                              <w:jc w:val="center"/>
                              <w:rPr>
                                <w:b/>
                                <w:caps/>
                                <w:color w:val="FFFFFF"/>
                                <w:sz w:val="18"/>
                                <w:szCs w:val="18"/>
                              </w:rPr>
                            </w:pPr>
                            <w:r w:rsidRPr="0087529F">
                              <w:rPr>
                                <w:b/>
                                <w:caps/>
                                <w:color w:val="FFFFFF"/>
                                <w:sz w:val="18"/>
                                <w:szCs w:val="18"/>
                              </w:rPr>
                              <w:fldChar w:fldCharType="begin"/>
                            </w:r>
                            <w:r w:rsidRPr="0087529F">
                              <w:rPr>
                                <w:b/>
                                <w:caps/>
                                <w:color w:val="FFFFFF"/>
                                <w:sz w:val="18"/>
                                <w:szCs w:val="18"/>
                              </w:rPr>
                              <w:instrText xml:space="preserve"> DOCPROPERTY  ProtectiveMarking \* MERGEFORMAT </w:instrText>
                            </w:r>
                            <w:r w:rsidRPr="0087529F">
                              <w:rPr>
                                <w:b/>
                                <w:caps/>
                                <w:color w:val="FFFFFF"/>
                                <w:sz w:val="18"/>
                                <w:szCs w:val="18"/>
                              </w:rPr>
                              <w:fldChar w:fldCharType="end"/>
                            </w:r>
                          </w:p>
                          <w:p w14:paraId="11C674E4" w14:textId="66D0DD6B" w:rsidR="00CF237B" w:rsidRPr="0087529F" w:rsidRDefault="00CF237B" w:rsidP="00BA5047">
                            <w:pPr>
                              <w:pStyle w:val="Coverfooter"/>
                              <w:jc w:val="center"/>
                              <w:rPr>
                                <w:color w:val="FFFFFF"/>
                              </w:rPr>
                            </w:pPr>
                            <w:r w:rsidRPr="0087529F">
                              <w:rPr>
                                <w:color w:val="FFFFFF"/>
                              </w:rPr>
                              <w:fldChar w:fldCharType="begin"/>
                            </w:r>
                            <w:r w:rsidRPr="0087529F">
                              <w:rPr>
                                <w:color w:val="FFFFFF"/>
                              </w:rPr>
                              <w:instrText xml:space="preserve"> DOCPROPERTY  Copies \* MERGEFORMAT </w:instrText>
                            </w:r>
                            <w:r w:rsidRPr="0087529F">
                              <w:rPr>
                                <w:color w:val="FFFFFF"/>
                              </w:rPr>
                              <w:fldChar w:fldCharType="end"/>
                            </w:r>
                          </w:p>
                        </w:tc>
                        <w:tc>
                          <w:tcPr>
                            <w:tcW w:w="1962" w:type="pct"/>
                            <w:vAlign w:val="bottom"/>
                          </w:tcPr>
                          <w:p w14:paraId="057F0BE6" w14:textId="6BDFDF13" w:rsidR="00CF237B" w:rsidRPr="0087529F" w:rsidRDefault="0087529F" w:rsidP="00D50E1B">
                            <w:pPr>
                              <w:pStyle w:val="Coverfooter"/>
                              <w:jc w:val="right"/>
                              <w:rPr>
                                <w:color w:val="FFFFFF"/>
                              </w:rPr>
                            </w:pPr>
                            <w:bookmarkStart w:id="16" w:name="TagLine"/>
                            <w:r w:rsidRPr="0087529F">
                              <w:rPr>
                                <w:rFonts w:ascii="Arial" w:hAnsi="Arial" w:cs="Arial"/>
                                <w:noProof/>
                                <w:color w:val="000000"/>
                              </w:rPr>
                              <w:drawing>
                                <wp:inline distT="0" distB="0" distL="0" distR="0" wp14:anchorId="067DBDB0" wp14:editId="20E2BE10">
                                  <wp:extent cx="1813498" cy="170016"/>
                                  <wp:effectExtent l="0" t="0" r="0" b="1905"/>
                                  <wp:docPr id="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96DAC541-7B7A-43D3-8B79-37D633B846F1}">
                                                <asvg:svgBlip xmlns:asvg="http://schemas.microsoft.com/office/drawing/2016/SVG/main" r:embed="rId16"/>
                                              </a:ext>
                                            </a:extLst>
                                          </a:blip>
                                          <a:stretch>
                                            <a:fillRect/>
                                          </a:stretch>
                                        </pic:blipFill>
                                        <pic:spPr>
                                          <a:xfrm>
                                            <a:off x="0" y="0"/>
                                            <a:ext cx="1921744" cy="180164"/>
                                          </a:xfrm>
                                          <a:prstGeom prst="rect">
                                            <a:avLst/>
                                          </a:prstGeom>
                                        </pic:spPr>
                                      </pic:pic>
                                    </a:graphicData>
                                  </a:graphic>
                                </wp:inline>
                              </w:drawing>
                            </w:r>
                            <w:bookmarkEnd w:id="16"/>
                          </w:p>
                        </w:tc>
                      </w:tr>
                      <w:bookmarkEnd w:id="14"/>
                      <w:bookmarkEnd w:id="15"/>
                    </w:tbl>
                    <w:p w14:paraId="4CA7E41F" w14:textId="77777777" w:rsidR="00CF237B" w:rsidRDefault="00CF237B" w:rsidP="00DA79BC"/>
                  </w:txbxContent>
                </v:textbox>
                <w10:wrap anchory="page"/>
              </v:shape>
            </w:pict>
          </mc:Fallback>
        </mc:AlternateContent>
      </w:r>
    </w:p>
    <w:p w14:paraId="70519D9E" w14:textId="77777777" w:rsidR="00F12DD7" w:rsidRDefault="00F12DD7" w:rsidP="00F12DD7">
      <w:pPr>
        <w:pStyle w:val="BodyText"/>
        <w:sectPr w:rsidR="00F12DD7" w:rsidSect="007D2209">
          <w:type w:val="continuous"/>
          <w:pgSz w:w="11906" w:h="16838"/>
          <w:pgMar w:top="1134" w:right="1134" w:bottom="851" w:left="1418" w:header="567" w:footer="284" w:gutter="0"/>
          <w:cols w:num="2" w:space="284"/>
          <w:docGrid w:linePitch="360"/>
        </w:sectPr>
      </w:pPr>
    </w:p>
    <w:p w14:paraId="3CD4B883" w14:textId="3B6E2F3C" w:rsidR="00067457" w:rsidRPr="00542F08" w:rsidRDefault="0087529F" w:rsidP="001A11B6">
      <w:pPr>
        <w:pStyle w:val="Heading"/>
        <w:pageBreakBefore/>
      </w:pPr>
      <w:bookmarkStart w:id="17" w:name="Text_QualityInformation"/>
      <w:bookmarkStart w:id="18" w:name="QualityControlPage"/>
      <w:r>
        <w:lastRenderedPageBreak/>
        <w:t>Quality information</w:t>
      </w:r>
      <w:bookmarkEnd w:id="17"/>
    </w:p>
    <w:tbl>
      <w:tblPr>
        <w:tblStyle w:val="AECOMtable"/>
        <w:tblW w:w="4932" w:type="pct"/>
        <w:tblLook w:val="04A0" w:firstRow="1" w:lastRow="0" w:firstColumn="1" w:lastColumn="0" w:noHBand="0" w:noVBand="1"/>
      </w:tblPr>
      <w:tblGrid>
        <w:gridCol w:w="2089"/>
        <w:gridCol w:w="290"/>
        <w:gridCol w:w="2089"/>
        <w:gridCol w:w="290"/>
        <w:gridCol w:w="2089"/>
        <w:gridCol w:w="291"/>
        <w:gridCol w:w="2089"/>
      </w:tblGrid>
      <w:tr w:rsidR="002E69BE" w14:paraId="2EE7800A" w14:textId="77777777" w:rsidTr="002E69BE">
        <w:trPr>
          <w:cnfStyle w:val="100000000000" w:firstRow="1" w:lastRow="0" w:firstColumn="0" w:lastColumn="0" w:oddVBand="0" w:evenVBand="0" w:oddHBand="0" w:evenHBand="0" w:firstRowFirstColumn="0" w:firstRowLastColumn="0" w:lastRowFirstColumn="0" w:lastRowLastColumn="0"/>
        </w:trPr>
        <w:tc>
          <w:tcPr>
            <w:tcW w:w="2041" w:type="dxa"/>
          </w:tcPr>
          <w:p w14:paraId="47B7414C" w14:textId="2B0E647C" w:rsidR="003E5E12" w:rsidRDefault="0087529F" w:rsidP="00AA045B">
            <w:pPr>
              <w:pStyle w:val="Tabletext"/>
            </w:pPr>
            <w:bookmarkStart w:id="19" w:name="Text_PreparedBy"/>
            <w:bookmarkStart w:id="20" w:name="QITable"/>
            <w:r>
              <w:t>Prepared by</w:t>
            </w:r>
            <w:bookmarkEnd w:id="19"/>
          </w:p>
        </w:tc>
        <w:tc>
          <w:tcPr>
            <w:tcW w:w="283" w:type="dxa"/>
            <w:tcBorders>
              <w:bottom w:val="nil"/>
            </w:tcBorders>
          </w:tcPr>
          <w:p w14:paraId="5C50D3EE" w14:textId="77777777" w:rsidR="003E5E12" w:rsidRDefault="003E5E12" w:rsidP="00AA045B">
            <w:pPr>
              <w:pStyle w:val="Tabletext"/>
            </w:pPr>
          </w:p>
        </w:tc>
        <w:tc>
          <w:tcPr>
            <w:tcW w:w="2041" w:type="dxa"/>
          </w:tcPr>
          <w:p w14:paraId="23DF2AB4" w14:textId="58D6F4FE" w:rsidR="003E5E12" w:rsidRDefault="0087529F" w:rsidP="00AA045B">
            <w:pPr>
              <w:pStyle w:val="Tabletext"/>
            </w:pPr>
            <w:bookmarkStart w:id="21" w:name="Text_CheckedBy"/>
            <w:r>
              <w:t>Checked by</w:t>
            </w:r>
            <w:bookmarkEnd w:id="21"/>
          </w:p>
        </w:tc>
        <w:tc>
          <w:tcPr>
            <w:tcW w:w="283" w:type="dxa"/>
            <w:tcBorders>
              <w:bottom w:val="nil"/>
            </w:tcBorders>
          </w:tcPr>
          <w:p w14:paraId="4375FBAE" w14:textId="77777777" w:rsidR="003E5E12" w:rsidRDefault="003E5E12" w:rsidP="00AA045B">
            <w:pPr>
              <w:pStyle w:val="Tabletext"/>
            </w:pPr>
          </w:p>
        </w:tc>
        <w:tc>
          <w:tcPr>
            <w:tcW w:w="2041" w:type="dxa"/>
          </w:tcPr>
          <w:p w14:paraId="20451635" w14:textId="5EB8C051" w:rsidR="003E5E12" w:rsidRDefault="0087529F" w:rsidP="003E5E12">
            <w:pPr>
              <w:pStyle w:val="Tabletext"/>
            </w:pPr>
            <w:bookmarkStart w:id="22" w:name="Text_VerifiedBy"/>
            <w:r>
              <w:t>Verified by</w:t>
            </w:r>
            <w:bookmarkEnd w:id="22"/>
          </w:p>
        </w:tc>
        <w:tc>
          <w:tcPr>
            <w:tcW w:w="284" w:type="dxa"/>
            <w:tcBorders>
              <w:bottom w:val="nil"/>
            </w:tcBorders>
          </w:tcPr>
          <w:p w14:paraId="1571BA7C" w14:textId="77777777" w:rsidR="003E5E12" w:rsidRDefault="003E5E12">
            <w:pPr>
              <w:pStyle w:val="Tabletext"/>
            </w:pPr>
          </w:p>
        </w:tc>
        <w:tc>
          <w:tcPr>
            <w:tcW w:w="2041" w:type="dxa"/>
          </w:tcPr>
          <w:p w14:paraId="470BE89C" w14:textId="65D2EFD6" w:rsidR="003E5E12" w:rsidRDefault="0087529F">
            <w:pPr>
              <w:pStyle w:val="Tabletext"/>
            </w:pPr>
            <w:bookmarkStart w:id="23" w:name="Text_ApprovedBy"/>
            <w:r>
              <w:t>Approved by</w:t>
            </w:r>
            <w:bookmarkEnd w:id="23"/>
          </w:p>
        </w:tc>
      </w:tr>
      <w:tr w:rsidR="002E69BE" w14:paraId="551E00FD" w14:textId="77777777" w:rsidTr="002E69BE">
        <w:tc>
          <w:tcPr>
            <w:tcW w:w="2041" w:type="dxa"/>
          </w:tcPr>
          <w:p w14:paraId="0227D189" w14:textId="10DE0C84" w:rsidR="003E5E12" w:rsidRPr="00A7414A" w:rsidRDefault="00875E18" w:rsidP="00AA045B">
            <w:pPr>
              <w:pStyle w:val="Tabletext"/>
            </w:pPr>
            <w:r w:rsidRPr="00A7414A">
              <w:t>Hannah Willert</w:t>
            </w:r>
          </w:p>
          <w:p w14:paraId="4F56EE22" w14:textId="3192DE40" w:rsidR="00A40809" w:rsidRDefault="00875E18" w:rsidP="00AA045B">
            <w:pPr>
              <w:pStyle w:val="Tabletext"/>
            </w:pPr>
            <w:r w:rsidRPr="00796319">
              <w:t>Graduate Sustainability Consultant</w:t>
            </w:r>
          </w:p>
          <w:p w14:paraId="3B495977" w14:textId="77777777" w:rsidR="00730543" w:rsidRDefault="00730543" w:rsidP="00AA045B">
            <w:pPr>
              <w:pStyle w:val="Tabletext"/>
            </w:pPr>
          </w:p>
          <w:p w14:paraId="394AD81C" w14:textId="77777777" w:rsidR="003E5E12" w:rsidRDefault="00782664" w:rsidP="00AA045B">
            <w:pPr>
              <w:pStyle w:val="Tabletext"/>
            </w:pPr>
            <w:r>
              <w:t>Jarrad Fisher</w:t>
            </w:r>
          </w:p>
          <w:p w14:paraId="4C9E1656" w14:textId="547AF2E3" w:rsidR="003E5E12" w:rsidRDefault="00782664" w:rsidP="00AA045B">
            <w:pPr>
              <w:pStyle w:val="Tabletext"/>
            </w:pPr>
            <w:r>
              <w:t>Senior Sustainability Consultant</w:t>
            </w:r>
          </w:p>
        </w:tc>
        <w:tc>
          <w:tcPr>
            <w:tcW w:w="283" w:type="dxa"/>
            <w:tcBorders>
              <w:top w:val="nil"/>
              <w:bottom w:val="nil"/>
            </w:tcBorders>
          </w:tcPr>
          <w:p w14:paraId="67CBC978" w14:textId="77777777" w:rsidR="003E5E12" w:rsidRDefault="003E5E12" w:rsidP="00AA045B">
            <w:pPr>
              <w:pStyle w:val="Tabletext"/>
            </w:pPr>
          </w:p>
        </w:tc>
        <w:tc>
          <w:tcPr>
            <w:tcW w:w="2041" w:type="dxa"/>
          </w:tcPr>
          <w:p w14:paraId="6CE6BD35" w14:textId="6A64FCDD" w:rsidR="00A40809" w:rsidRPr="00A7414A" w:rsidRDefault="007979E9" w:rsidP="00A40809">
            <w:pPr>
              <w:pStyle w:val="Tabletext"/>
            </w:pPr>
            <w:r w:rsidRPr="00A7414A">
              <w:t>Anna Willington</w:t>
            </w:r>
          </w:p>
          <w:p w14:paraId="665669CA" w14:textId="77777777" w:rsidR="003E5E12" w:rsidRDefault="007979E9" w:rsidP="00AA045B">
            <w:pPr>
              <w:pStyle w:val="Tabletext"/>
            </w:pPr>
            <w:r w:rsidRPr="00A7414A">
              <w:t>Principal Sustainability Consultant</w:t>
            </w:r>
          </w:p>
          <w:p w14:paraId="7BAEE0F0" w14:textId="77777777" w:rsidR="00730543" w:rsidRDefault="00730543" w:rsidP="00AA045B">
            <w:pPr>
              <w:pStyle w:val="Tabletext"/>
            </w:pPr>
          </w:p>
          <w:p w14:paraId="5909D6C9" w14:textId="77777777" w:rsidR="00730543" w:rsidRDefault="00730543" w:rsidP="00AA045B">
            <w:pPr>
              <w:pStyle w:val="Tabletext"/>
            </w:pPr>
            <w:r>
              <w:t>Leticia Braga</w:t>
            </w:r>
          </w:p>
          <w:p w14:paraId="0FFCE47A" w14:textId="51779BFE" w:rsidR="00730543" w:rsidRPr="00790D96" w:rsidRDefault="00730543" w:rsidP="00AA045B">
            <w:pPr>
              <w:pStyle w:val="Tabletext"/>
            </w:pPr>
            <w:r>
              <w:t>Principal Environmental Consultant</w:t>
            </w:r>
            <w:r w:rsidR="003E28CA">
              <w:t xml:space="preserve"> – Impact Assessment</w:t>
            </w:r>
          </w:p>
        </w:tc>
        <w:tc>
          <w:tcPr>
            <w:tcW w:w="283" w:type="dxa"/>
            <w:tcBorders>
              <w:top w:val="nil"/>
              <w:bottom w:val="nil"/>
            </w:tcBorders>
          </w:tcPr>
          <w:p w14:paraId="73D5D4AA" w14:textId="77777777" w:rsidR="003E5E12" w:rsidRPr="00790D96" w:rsidRDefault="003E5E12" w:rsidP="00AA045B">
            <w:pPr>
              <w:pStyle w:val="Tabletext"/>
            </w:pPr>
          </w:p>
        </w:tc>
        <w:tc>
          <w:tcPr>
            <w:tcW w:w="2041" w:type="dxa"/>
          </w:tcPr>
          <w:p w14:paraId="6C7C6E79" w14:textId="6A23E333" w:rsidR="00A40809" w:rsidRPr="00A7414A" w:rsidRDefault="007979E9" w:rsidP="00A40809">
            <w:pPr>
              <w:pStyle w:val="Tabletext"/>
            </w:pPr>
            <w:r w:rsidRPr="00A7414A">
              <w:t>Ian Davies</w:t>
            </w:r>
          </w:p>
          <w:p w14:paraId="0DE32336" w14:textId="77777777" w:rsidR="003E5E12" w:rsidRDefault="00790D96" w:rsidP="00AA045B">
            <w:pPr>
              <w:pStyle w:val="Tabletext"/>
            </w:pPr>
            <w:r w:rsidRPr="00790D96">
              <w:t>Carbon and ESG Director</w:t>
            </w:r>
          </w:p>
          <w:p w14:paraId="67437285" w14:textId="77777777" w:rsidR="00730543" w:rsidRDefault="00730543" w:rsidP="00AA045B">
            <w:pPr>
              <w:pStyle w:val="Tabletext"/>
            </w:pPr>
          </w:p>
          <w:p w14:paraId="6039892F" w14:textId="77777777" w:rsidR="00730543" w:rsidRDefault="00730543" w:rsidP="00AA045B">
            <w:pPr>
              <w:pStyle w:val="Tabletext"/>
            </w:pPr>
            <w:r>
              <w:t>Simon Wild</w:t>
            </w:r>
          </w:p>
          <w:p w14:paraId="6D4C6E5F" w14:textId="4DC8D840" w:rsidR="00730543" w:rsidRPr="00790D96" w:rsidRDefault="00730543" w:rsidP="00AA045B">
            <w:pPr>
              <w:pStyle w:val="Tabletext"/>
            </w:pPr>
            <w:r>
              <w:t>Technical Director – Impact Assessment</w:t>
            </w:r>
          </w:p>
        </w:tc>
        <w:tc>
          <w:tcPr>
            <w:tcW w:w="284" w:type="dxa"/>
            <w:tcBorders>
              <w:top w:val="nil"/>
              <w:bottom w:val="nil"/>
            </w:tcBorders>
          </w:tcPr>
          <w:p w14:paraId="28333304" w14:textId="77777777" w:rsidR="003E5E12" w:rsidRDefault="003E5E12">
            <w:pPr>
              <w:pStyle w:val="Tabletext"/>
            </w:pPr>
          </w:p>
        </w:tc>
        <w:tc>
          <w:tcPr>
            <w:tcW w:w="2041" w:type="dxa"/>
          </w:tcPr>
          <w:p w14:paraId="6A655579" w14:textId="77777777" w:rsidR="00A40809" w:rsidRDefault="00A40809" w:rsidP="00A40809">
            <w:pPr>
              <w:pStyle w:val="Tabletext"/>
            </w:pPr>
            <w:r>
              <w:t>Richard O'Callaghan</w:t>
            </w:r>
          </w:p>
          <w:p w14:paraId="4F38E7B6" w14:textId="4C8CEA95" w:rsidR="003E5E12" w:rsidRDefault="00A40809" w:rsidP="00A40809">
            <w:pPr>
              <w:pStyle w:val="Tabletext"/>
            </w:pPr>
            <w:r>
              <w:t>Project Director</w:t>
            </w:r>
          </w:p>
        </w:tc>
      </w:tr>
      <w:tr w:rsidR="002E69BE" w14:paraId="2117FD66" w14:textId="77777777" w:rsidTr="002E69BE">
        <w:tc>
          <w:tcPr>
            <w:tcW w:w="2041" w:type="dxa"/>
          </w:tcPr>
          <w:p w14:paraId="7B18DBDF" w14:textId="3DB41631" w:rsidR="003E5E12" w:rsidRDefault="003E5E12" w:rsidP="00AA045B">
            <w:pPr>
              <w:pStyle w:val="Tabletext"/>
            </w:pPr>
            <w:bookmarkStart w:id="24" w:name="Contact2"/>
            <w:bookmarkEnd w:id="24"/>
          </w:p>
        </w:tc>
        <w:tc>
          <w:tcPr>
            <w:tcW w:w="283" w:type="dxa"/>
            <w:tcBorders>
              <w:top w:val="nil"/>
              <w:bottom w:val="nil"/>
            </w:tcBorders>
          </w:tcPr>
          <w:p w14:paraId="03B804C8" w14:textId="77777777" w:rsidR="003E5E12" w:rsidRDefault="003E5E12" w:rsidP="00AA045B">
            <w:pPr>
              <w:pStyle w:val="Tabletext"/>
            </w:pPr>
          </w:p>
        </w:tc>
        <w:tc>
          <w:tcPr>
            <w:tcW w:w="2041" w:type="dxa"/>
          </w:tcPr>
          <w:p w14:paraId="459C2F6B" w14:textId="7B390A09" w:rsidR="003E5E12" w:rsidRDefault="003E5E12" w:rsidP="00AA045B">
            <w:pPr>
              <w:pStyle w:val="Tabletext"/>
            </w:pPr>
            <w:bookmarkStart w:id="25" w:name="CheckedBy"/>
            <w:bookmarkEnd w:id="25"/>
          </w:p>
        </w:tc>
        <w:tc>
          <w:tcPr>
            <w:tcW w:w="283" w:type="dxa"/>
            <w:tcBorders>
              <w:top w:val="nil"/>
              <w:bottom w:val="nil"/>
            </w:tcBorders>
          </w:tcPr>
          <w:p w14:paraId="13D3EFA5" w14:textId="77777777" w:rsidR="003E5E12" w:rsidRDefault="003E5E12" w:rsidP="00AA045B">
            <w:pPr>
              <w:pStyle w:val="Tabletext"/>
            </w:pPr>
          </w:p>
        </w:tc>
        <w:tc>
          <w:tcPr>
            <w:tcW w:w="2041" w:type="dxa"/>
          </w:tcPr>
          <w:p w14:paraId="449D4344" w14:textId="5642EF1C" w:rsidR="003E5E12" w:rsidRDefault="003E5E12" w:rsidP="003E5E12">
            <w:pPr>
              <w:pStyle w:val="Tabletext"/>
            </w:pPr>
            <w:bookmarkStart w:id="26" w:name="VerifiedBy"/>
            <w:bookmarkEnd w:id="26"/>
          </w:p>
        </w:tc>
        <w:tc>
          <w:tcPr>
            <w:tcW w:w="284" w:type="dxa"/>
            <w:tcBorders>
              <w:top w:val="nil"/>
              <w:bottom w:val="nil"/>
            </w:tcBorders>
          </w:tcPr>
          <w:p w14:paraId="602A55A0" w14:textId="77777777" w:rsidR="003E5E12" w:rsidRDefault="003E5E12">
            <w:pPr>
              <w:pStyle w:val="Tabletext"/>
            </w:pPr>
          </w:p>
        </w:tc>
        <w:tc>
          <w:tcPr>
            <w:tcW w:w="2041" w:type="dxa"/>
          </w:tcPr>
          <w:p w14:paraId="5323D7BB" w14:textId="077C6CB4" w:rsidR="003E5E12" w:rsidRDefault="003E5E12">
            <w:pPr>
              <w:pStyle w:val="Tabletext"/>
            </w:pPr>
            <w:bookmarkStart w:id="27" w:name="ApprovedBy"/>
            <w:bookmarkEnd w:id="27"/>
          </w:p>
        </w:tc>
      </w:tr>
      <w:bookmarkEnd w:id="20"/>
    </w:tbl>
    <w:p w14:paraId="3060EB14" w14:textId="77777777" w:rsidR="00067457" w:rsidRDefault="00067457" w:rsidP="00AA045B">
      <w:pPr>
        <w:pStyle w:val="BodyText"/>
      </w:pPr>
    </w:p>
    <w:p w14:paraId="11271A83" w14:textId="77777777" w:rsidR="00067457" w:rsidRDefault="00067457" w:rsidP="00067457"/>
    <w:p w14:paraId="2430C891" w14:textId="409707AC" w:rsidR="00067457" w:rsidRDefault="0087529F" w:rsidP="00067457">
      <w:pPr>
        <w:pStyle w:val="Heading"/>
      </w:pPr>
      <w:bookmarkStart w:id="28" w:name="Text_RevisionHistory"/>
      <w:r>
        <w:t>Revision History</w:t>
      </w:r>
      <w:bookmarkEnd w:id="28"/>
    </w:p>
    <w:tbl>
      <w:tblPr>
        <w:tblStyle w:val="AECOMtable"/>
        <w:tblW w:w="4950" w:type="pct"/>
        <w:tblLook w:val="04A0" w:firstRow="1" w:lastRow="0" w:firstColumn="1" w:lastColumn="0" w:noHBand="0" w:noVBand="1"/>
      </w:tblPr>
      <w:tblGrid>
        <w:gridCol w:w="1544"/>
        <w:gridCol w:w="1544"/>
        <w:gridCol w:w="1543"/>
        <w:gridCol w:w="1543"/>
        <w:gridCol w:w="1543"/>
        <w:gridCol w:w="1543"/>
      </w:tblGrid>
      <w:tr w:rsidR="00067457" w14:paraId="04B91AA3" w14:textId="77777777" w:rsidTr="00A40809">
        <w:trPr>
          <w:cnfStyle w:val="100000000000" w:firstRow="1" w:lastRow="0" w:firstColumn="0" w:lastColumn="0" w:oddVBand="0" w:evenVBand="0" w:oddHBand="0" w:evenHBand="0" w:firstRowFirstColumn="0" w:firstRowLastColumn="0" w:lastRowFirstColumn="0" w:lastRowLastColumn="0"/>
        </w:trPr>
        <w:tc>
          <w:tcPr>
            <w:tcW w:w="1544" w:type="dxa"/>
          </w:tcPr>
          <w:p w14:paraId="7E8B2642" w14:textId="77777777" w:rsidR="00067457" w:rsidRDefault="00067457" w:rsidP="00AA045B">
            <w:pPr>
              <w:pStyle w:val="Tabletext"/>
            </w:pPr>
            <w:bookmarkStart w:id="29" w:name="Text_Revision"/>
            <w:r>
              <w:t>Revision</w:t>
            </w:r>
            <w:bookmarkEnd w:id="29"/>
          </w:p>
        </w:tc>
        <w:tc>
          <w:tcPr>
            <w:tcW w:w="1544" w:type="dxa"/>
          </w:tcPr>
          <w:p w14:paraId="3B47AC09" w14:textId="20660B80" w:rsidR="00067457" w:rsidRDefault="0087529F" w:rsidP="00AA045B">
            <w:pPr>
              <w:pStyle w:val="Tabletext"/>
              <w:rPr>
                <w:b w:val="0"/>
              </w:rPr>
            </w:pPr>
            <w:bookmarkStart w:id="30" w:name="Text_RevisionDate"/>
            <w:r>
              <w:t>Revision date</w:t>
            </w:r>
            <w:bookmarkEnd w:id="30"/>
          </w:p>
        </w:tc>
        <w:tc>
          <w:tcPr>
            <w:tcW w:w="1543" w:type="dxa"/>
          </w:tcPr>
          <w:p w14:paraId="479FAB10" w14:textId="77777777" w:rsidR="00067457" w:rsidRDefault="00067457" w:rsidP="00AA045B">
            <w:pPr>
              <w:pStyle w:val="Tabletext"/>
            </w:pPr>
            <w:bookmarkStart w:id="31" w:name="Text_Details"/>
            <w:r>
              <w:t>Details</w:t>
            </w:r>
            <w:bookmarkEnd w:id="31"/>
          </w:p>
        </w:tc>
        <w:tc>
          <w:tcPr>
            <w:tcW w:w="1543" w:type="dxa"/>
          </w:tcPr>
          <w:p w14:paraId="53725DD4" w14:textId="77777777" w:rsidR="00067457" w:rsidRDefault="00067457" w:rsidP="00AA045B">
            <w:pPr>
              <w:pStyle w:val="Tabletext"/>
            </w:pPr>
            <w:bookmarkStart w:id="32" w:name="Text_Authorized"/>
            <w:r>
              <w:t>Authori</w:t>
            </w:r>
            <w:r w:rsidR="00A77BD6">
              <w:t>z</w:t>
            </w:r>
            <w:r>
              <w:t>ed</w:t>
            </w:r>
            <w:bookmarkEnd w:id="32"/>
          </w:p>
        </w:tc>
        <w:tc>
          <w:tcPr>
            <w:tcW w:w="1543" w:type="dxa"/>
          </w:tcPr>
          <w:p w14:paraId="65865FC3" w14:textId="77777777" w:rsidR="00067457" w:rsidRPr="009052D1" w:rsidRDefault="00067457" w:rsidP="00AA045B">
            <w:pPr>
              <w:pStyle w:val="Tabletext"/>
            </w:pPr>
            <w:bookmarkStart w:id="33" w:name="Text_Name"/>
            <w:r w:rsidRPr="009052D1">
              <w:t>Name</w:t>
            </w:r>
            <w:bookmarkEnd w:id="33"/>
          </w:p>
        </w:tc>
        <w:tc>
          <w:tcPr>
            <w:tcW w:w="1543" w:type="dxa"/>
          </w:tcPr>
          <w:p w14:paraId="6F149C32" w14:textId="77777777" w:rsidR="00067457" w:rsidRDefault="00067457" w:rsidP="00AA045B">
            <w:pPr>
              <w:pStyle w:val="Tabletext"/>
            </w:pPr>
            <w:bookmarkStart w:id="34" w:name="Text_Position"/>
            <w:r>
              <w:t>Position</w:t>
            </w:r>
            <w:bookmarkEnd w:id="34"/>
          </w:p>
        </w:tc>
      </w:tr>
      <w:tr w:rsidR="00A40809" w:rsidRPr="00542F08" w14:paraId="066C8F6C" w14:textId="77777777" w:rsidTr="00A40809">
        <w:tc>
          <w:tcPr>
            <w:tcW w:w="1544" w:type="dxa"/>
          </w:tcPr>
          <w:p w14:paraId="4C3F850E" w14:textId="3F05D33C" w:rsidR="00A40809" w:rsidRPr="00796319" w:rsidRDefault="00A40809" w:rsidP="00A40809">
            <w:pPr>
              <w:pStyle w:val="Tabletext"/>
            </w:pPr>
            <w:bookmarkStart w:id="35" w:name="RevisionStatus"/>
            <w:bookmarkEnd w:id="35"/>
            <w:r w:rsidRPr="00796319">
              <w:t>0</w:t>
            </w:r>
          </w:p>
        </w:tc>
        <w:tc>
          <w:tcPr>
            <w:tcW w:w="1544" w:type="dxa"/>
          </w:tcPr>
          <w:p w14:paraId="3BE03983" w14:textId="2D1CEFD6" w:rsidR="00A40809" w:rsidRPr="00796319" w:rsidRDefault="006D6D04" w:rsidP="00A40809">
            <w:pPr>
              <w:pStyle w:val="Tabletext"/>
            </w:pPr>
            <w:r>
              <w:t>08</w:t>
            </w:r>
            <w:r w:rsidR="00A40809" w:rsidRPr="00A7414A">
              <w:t>/</w:t>
            </w:r>
            <w:r w:rsidR="00E33DA1" w:rsidRPr="00796319">
              <w:t>0</w:t>
            </w:r>
            <w:r w:rsidR="00730543">
              <w:t>9</w:t>
            </w:r>
            <w:r w:rsidR="00A40809" w:rsidRPr="00796319">
              <w:t>/2026</w:t>
            </w:r>
          </w:p>
        </w:tc>
        <w:tc>
          <w:tcPr>
            <w:tcW w:w="1543" w:type="dxa"/>
          </w:tcPr>
          <w:p w14:paraId="240B1EBF" w14:textId="42B3877E" w:rsidR="00A40809" w:rsidRDefault="00A40809" w:rsidP="00A40809">
            <w:pPr>
              <w:pStyle w:val="Tabletext"/>
            </w:pPr>
            <w:r>
              <w:t>Draft</w:t>
            </w:r>
          </w:p>
        </w:tc>
        <w:tc>
          <w:tcPr>
            <w:tcW w:w="1543" w:type="dxa"/>
          </w:tcPr>
          <w:p w14:paraId="59A75C27" w14:textId="4A299D63" w:rsidR="00A40809" w:rsidRPr="00542F08" w:rsidRDefault="00A40809" w:rsidP="00A40809">
            <w:pPr>
              <w:pStyle w:val="Tabletext"/>
            </w:pPr>
          </w:p>
        </w:tc>
        <w:tc>
          <w:tcPr>
            <w:tcW w:w="1543" w:type="dxa"/>
          </w:tcPr>
          <w:p w14:paraId="04872B0C" w14:textId="0CB3CD8F" w:rsidR="00A40809" w:rsidRDefault="00A40809" w:rsidP="00A40809">
            <w:pPr>
              <w:pStyle w:val="Tabletext"/>
            </w:pPr>
            <w:r w:rsidRPr="007D4854">
              <w:t>Richard O'Callaghan</w:t>
            </w:r>
          </w:p>
        </w:tc>
        <w:tc>
          <w:tcPr>
            <w:tcW w:w="1543" w:type="dxa"/>
          </w:tcPr>
          <w:p w14:paraId="508B2DE5" w14:textId="4520B3F6" w:rsidR="00A40809" w:rsidRDefault="00A40809" w:rsidP="00A40809">
            <w:pPr>
              <w:pStyle w:val="Tabletext"/>
            </w:pPr>
            <w:r w:rsidRPr="00061F90">
              <w:t>Project Director</w:t>
            </w:r>
          </w:p>
        </w:tc>
      </w:tr>
      <w:tr w:rsidR="00A40809" w:rsidRPr="00542F08" w14:paraId="3AE42660" w14:textId="77777777" w:rsidTr="00A40809">
        <w:tc>
          <w:tcPr>
            <w:tcW w:w="1544" w:type="dxa"/>
          </w:tcPr>
          <w:p w14:paraId="0DC6E4ED" w14:textId="3987C518" w:rsidR="00A40809" w:rsidRPr="00542F08" w:rsidRDefault="00A40809" w:rsidP="00A40809">
            <w:pPr>
              <w:pStyle w:val="Tabletext"/>
            </w:pPr>
          </w:p>
        </w:tc>
        <w:tc>
          <w:tcPr>
            <w:tcW w:w="1544" w:type="dxa"/>
          </w:tcPr>
          <w:p w14:paraId="2248FE8A" w14:textId="41A292AF" w:rsidR="00A40809" w:rsidRDefault="00A40809" w:rsidP="00A40809">
            <w:pPr>
              <w:pStyle w:val="Tabletext"/>
            </w:pPr>
          </w:p>
        </w:tc>
        <w:tc>
          <w:tcPr>
            <w:tcW w:w="1543" w:type="dxa"/>
          </w:tcPr>
          <w:p w14:paraId="6559AE93" w14:textId="14E228E1" w:rsidR="00A40809" w:rsidRDefault="00A40809" w:rsidP="00A40809">
            <w:pPr>
              <w:pStyle w:val="Tabletext"/>
            </w:pPr>
          </w:p>
        </w:tc>
        <w:tc>
          <w:tcPr>
            <w:tcW w:w="1543" w:type="dxa"/>
          </w:tcPr>
          <w:p w14:paraId="3C8B3151" w14:textId="43470965" w:rsidR="00A40809" w:rsidRPr="00542F08" w:rsidRDefault="00A40809" w:rsidP="00A40809">
            <w:pPr>
              <w:pStyle w:val="Tabletext"/>
            </w:pPr>
          </w:p>
        </w:tc>
        <w:tc>
          <w:tcPr>
            <w:tcW w:w="1543" w:type="dxa"/>
          </w:tcPr>
          <w:p w14:paraId="42EFCA31" w14:textId="17403060" w:rsidR="00A40809" w:rsidRDefault="00A40809" w:rsidP="00A40809">
            <w:pPr>
              <w:pStyle w:val="Tabletext"/>
            </w:pPr>
          </w:p>
        </w:tc>
        <w:tc>
          <w:tcPr>
            <w:tcW w:w="1543" w:type="dxa"/>
          </w:tcPr>
          <w:p w14:paraId="042C8482" w14:textId="148C8DB2" w:rsidR="00A40809" w:rsidRDefault="00A40809" w:rsidP="00A40809">
            <w:pPr>
              <w:pStyle w:val="Tabletext"/>
            </w:pPr>
          </w:p>
        </w:tc>
      </w:tr>
      <w:tr w:rsidR="00067457" w:rsidRPr="00542F08" w14:paraId="215CAB68" w14:textId="77777777" w:rsidTr="00A40809">
        <w:tc>
          <w:tcPr>
            <w:tcW w:w="1544" w:type="dxa"/>
            <w:tcBorders>
              <w:bottom w:val="single" w:sz="4" w:space="0" w:color="auto"/>
            </w:tcBorders>
          </w:tcPr>
          <w:p w14:paraId="5DA0FEB9" w14:textId="77777777" w:rsidR="00067457" w:rsidRPr="00542F08" w:rsidRDefault="00067457" w:rsidP="00AA045B">
            <w:pPr>
              <w:pStyle w:val="Tabletext"/>
            </w:pPr>
          </w:p>
        </w:tc>
        <w:tc>
          <w:tcPr>
            <w:tcW w:w="1544" w:type="dxa"/>
            <w:tcBorders>
              <w:bottom w:val="single" w:sz="4" w:space="0" w:color="auto"/>
            </w:tcBorders>
          </w:tcPr>
          <w:p w14:paraId="0458F4D9" w14:textId="77777777" w:rsidR="00067457" w:rsidRDefault="00067457" w:rsidP="00AA045B">
            <w:pPr>
              <w:pStyle w:val="Tabletext"/>
            </w:pPr>
          </w:p>
        </w:tc>
        <w:tc>
          <w:tcPr>
            <w:tcW w:w="1543" w:type="dxa"/>
            <w:tcBorders>
              <w:bottom w:val="single" w:sz="4" w:space="0" w:color="auto"/>
            </w:tcBorders>
          </w:tcPr>
          <w:p w14:paraId="63B5E30D" w14:textId="77777777" w:rsidR="00067457" w:rsidRDefault="00067457" w:rsidP="00AA045B">
            <w:pPr>
              <w:pStyle w:val="Tabletext"/>
            </w:pPr>
          </w:p>
        </w:tc>
        <w:tc>
          <w:tcPr>
            <w:tcW w:w="1543" w:type="dxa"/>
            <w:tcBorders>
              <w:bottom w:val="single" w:sz="4" w:space="0" w:color="auto"/>
            </w:tcBorders>
          </w:tcPr>
          <w:p w14:paraId="53D448BB" w14:textId="77777777" w:rsidR="00067457" w:rsidRPr="00542F08" w:rsidRDefault="00067457" w:rsidP="00AA045B">
            <w:pPr>
              <w:pStyle w:val="Tabletext"/>
            </w:pPr>
          </w:p>
        </w:tc>
        <w:tc>
          <w:tcPr>
            <w:tcW w:w="1543" w:type="dxa"/>
            <w:tcBorders>
              <w:bottom w:val="single" w:sz="4" w:space="0" w:color="auto"/>
            </w:tcBorders>
          </w:tcPr>
          <w:p w14:paraId="11F71410" w14:textId="77777777" w:rsidR="00067457" w:rsidRDefault="00067457" w:rsidP="00AA045B">
            <w:pPr>
              <w:pStyle w:val="Tabletext"/>
            </w:pPr>
          </w:p>
        </w:tc>
        <w:tc>
          <w:tcPr>
            <w:tcW w:w="1543" w:type="dxa"/>
            <w:tcBorders>
              <w:bottom w:val="single" w:sz="4" w:space="0" w:color="auto"/>
            </w:tcBorders>
          </w:tcPr>
          <w:p w14:paraId="4EC97364" w14:textId="77777777" w:rsidR="00067457" w:rsidRDefault="00067457" w:rsidP="00AA045B">
            <w:pPr>
              <w:pStyle w:val="Tabletext"/>
            </w:pPr>
          </w:p>
        </w:tc>
      </w:tr>
      <w:tr w:rsidR="00067457" w:rsidRPr="00542F08" w14:paraId="5FCC85B1" w14:textId="77777777" w:rsidTr="00A40809">
        <w:tc>
          <w:tcPr>
            <w:tcW w:w="1544" w:type="dxa"/>
            <w:tcBorders>
              <w:top w:val="single" w:sz="4" w:space="0" w:color="auto"/>
              <w:bottom w:val="single" w:sz="4" w:space="0" w:color="auto"/>
            </w:tcBorders>
          </w:tcPr>
          <w:p w14:paraId="7B2873B8" w14:textId="77777777" w:rsidR="00067457" w:rsidRPr="00542F08" w:rsidRDefault="00067457" w:rsidP="00AA045B">
            <w:pPr>
              <w:pStyle w:val="Tabletext"/>
            </w:pPr>
          </w:p>
        </w:tc>
        <w:tc>
          <w:tcPr>
            <w:tcW w:w="1544" w:type="dxa"/>
            <w:tcBorders>
              <w:top w:val="single" w:sz="4" w:space="0" w:color="auto"/>
              <w:bottom w:val="single" w:sz="4" w:space="0" w:color="auto"/>
            </w:tcBorders>
          </w:tcPr>
          <w:p w14:paraId="59EC49DC" w14:textId="77777777" w:rsidR="00067457" w:rsidRDefault="00067457" w:rsidP="00AA045B">
            <w:pPr>
              <w:pStyle w:val="Tabletext"/>
            </w:pPr>
          </w:p>
        </w:tc>
        <w:tc>
          <w:tcPr>
            <w:tcW w:w="1543" w:type="dxa"/>
            <w:tcBorders>
              <w:top w:val="single" w:sz="4" w:space="0" w:color="auto"/>
              <w:bottom w:val="single" w:sz="4" w:space="0" w:color="auto"/>
            </w:tcBorders>
          </w:tcPr>
          <w:p w14:paraId="58DA6C0A" w14:textId="77777777" w:rsidR="00067457" w:rsidRDefault="00067457" w:rsidP="00AA045B">
            <w:pPr>
              <w:pStyle w:val="Tabletext"/>
            </w:pPr>
          </w:p>
        </w:tc>
        <w:tc>
          <w:tcPr>
            <w:tcW w:w="1543" w:type="dxa"/>
            <w:tcBorders>
              <w:top w:val="single" w:sz="4" w:space="0" w:color="auto"/>
              <w:bottom w:val="single" w:sz="4" w:space="0" w:color="auto"/>
            </w:tcBorders>
          </w:tcPr>
          <w:p w14:paraId="4E6FA3C8" w14:textId="77777777" w:rsidR="00067457" w:rsidRPr="00542F08" w:rsidRDefault="00067457" w:rsidP="00AA045B">
            <w:pPr>
              <w:pStyle w:val="Tabletext"/>
            </w:pPr>
          </w:p>
        </w:tc>
        <w:tc>
          <w:tcPr>
            <w:tcW w:w="1543" w:type="dxa"/>
            <w:tcBorders>
              <w:top w:val="single" w:sz="4" w:space="0" w:color="auto"/>
              <w:bottom w:val="single" w:sz="4" w:space="0" w:color="auto"/>
            </w:tcBorders>
          </w:tcPr>
          <w:p w14:paraId="2BEB1BEE" w14:textId="77777777" w:rsidR="00067457" w:rsidRDefault="00067457" w:rsidP="00AA045B">
            <w:pPr>
              <w:pStyle w:val="Tabletext"/>
            </w:pPr>
          </w:p>
        </w:tc>
        <w:tc>
          <w:tcPr>
            <w:tcW w:w="1543" w:type="dxa"/>
            <w:tcBorders>
              <w:top w:val="single" w:sz="4" w:space="0" w:color="auto"/>
              <w:bottom w:val="single" w:sz="4" w:space="0" w:color="auto"/>
            </w:tcBorders>
          </w:tcPr>
          <w:p w14:paraId="759B3EFE" w14:textId="77777777" w:rsidR="00067457" w:rsidRDefault="00067457" w:rsidP="00AA045B">
            <w:pPr>
              <w:pStyle w:val="Tabletext"/>
            </w:pPr>
          </w:p>
        </w:tc>
      </w:tr>
    </w:tbl>
    <w:p w14:paraId="4431B509" w14:textId="77777777" w:rsidR="00067457" w:rsidRDefault="00067457" w:rsidP="00067457">
      <w:pPr>
        <w:tabs>
          <w:tab w:val="clear" w:pos="284"/>
        </w:tabs>
        <w:spacing w:line="240" w:lineRule="auto"/>
      </w:pPr>
    </w:p>
    <w:p w14:paraId="41FAFD06" w14:textId="77777777" w:rsidR="00067457" w:rsidRDefault="00067457" w:rsidP="00067457">
      <w:pPr>
        <w:tabs>
          <w:tab w:val="clear" w:pos="284"/>
        </w:tabs>
        <w:spacing w:line="240" w:lineRule="auto"/>
      </w:pPr>
    </w:p>
    <w:p w14:paraId="54C9B874" w14:textId="3177248B" w:rsidR="00067457" w:rsidRDefault="0087529F" w:rsidP="00067457">
      <w:pPr>
        <w:pStyle w:val="Heading"/>
      </w:pPr>
      <w:bookmarkStart w:id="36" w:name="Text_DistributionList"/>
      <w:r>
        <w:t>Distribution List</w:t>
      </w:r>
      <w:bookmarkEnd w:id="36"/>
    </w:p>
    <w:tbl>
      <w:tblPr>
        <w:tblStyle w:val="AECOMtable"/>
        <w:tblW w:w="4963" w:type="pct"/>
        <w:tblLook w:val="04A0" w:firstRow="1" w:lastRow="0" w:firstColumn="1" w:lastColumn="0" w:noHBand="0" w:noVBand="1"/>
      </w:tblPr>
      <w:tblGrid>
        <w:gridCol w:w="1544"/>
        <w:gridCol w:w="1543"/>
        <w:gridCol w:w="6198"/>
      </w:tblGrid>
      <w:tr w:rsidR="00067457" w:rsidRPr="00556EBF" w14:paraId="6C859CCA" w14:textId="77777777" w:rsidTr="00133853">
        <w:trPr>
          <w:cnfStyle w:val="100000000000" w:firstRow="1" w:lastRow="0" w:firstColumn="0" w:lastColumn="0" w:oddVBand="0" w:evenVBand="0" w:oddHBand="0" w:evenHBand="0" w:firstRowFirstColumn="0" w:firstRowLastColumn="0" w:lastRowFirstColumn="0" w:lastRowLastColumn="0"/>
        </w:trPr>
        <w:tc>
          <w:tcPr>
            <w:tcW w:w="1508" w:type="dxa"/>
          </w:tcPr>
          <w:p w14:paraId="59B61BD9" w14:textId="6F3BE613" w:rsidR="00067457" w:rsidRPr="00556EBF" w:rsidRDefault="0087529F" w:rsidP="00AA045B">
            <w:pPr>
              <w:pStyle w:val="Tabletext"/>
            </w:pPr>
            <w:bookmarkStart w:id="37" w:name="Text_HardCopies"/>
            <w:r>
              <w:t># Hard Copies</w:t>
            </w:r>
            <w:bookmarkEnd w:id="37"/>
            <w:r w:rsidR="00067457" w:rsidRPr="00556EBF">
              <w:t xml:space="preserve"> </w:t>
            </w:r>
          </w:p>
        </w:tc>
        <w:tc>
          <w:tcPr>
            <w:tcW w:w="1508" w:type="dxa"/>
          </w:tcPr>
          <w:p w14:paraId="3A572847" w14:textId="3AC285E1" w:rsidR="00067457" w:rsidRPr="00556EBF" w:rsidRDefault="0087529F" w:rsidP="00AA045B">
            <w:pPr>
              <w:pStyle w:val="Tabletext"/>
            </w:pPr>
            <w:bookmarkStart w:id="38" w:name="Text_PDFRequired"/>
            <w:r>
              <w:t>PDF Required</w:t>
            </w:r>
            <w:bookmarkEnd w:id="38"/>
          </w:p>
        </w:tc>
        <w:tc>
          <w:tcPr>
            <w:tcW w:w="6056" w:type="dxa"/>
          </w:tcPr>
          <w:p w14:paraId="3CB0FA78" w14:textId="2555C222" w:rsidR="00067457" w:rsidRPr="00556EBF" w:rsidRDefault="0087529F" w:rsidP="00AA045B">
            <w:pPr>
              <w:pStyle w:val="Tabletext"/>
            </w:pPr>
            <w:bookmarkStart w:id="39" w:name="Text_AssociationCompanyName"/>
            <w:r>
              <w:t>Association / Company Name</w:t>
            </w:r>
            <w:bookmarkEnd w:id="39"/>
          </w:p>
        </w:tc>
      </w:tr>
      <w:tr w:rsidR="00067457" w:rsidRPr="00542F08" w14:paraId="5FF832EB" w14:textId="77777777" w:rsidTr="00133853">
        <w:tc>
          <w:tcPr>
            <w:tcW w:w="1508" w:type="dxa"/>
          </w:tcPr>
          <w:p w14:paraId="5CDCF15C" w14:textId="3062EAEB" w:rsidR="00067457" w:rsidRPr="00542F08" w:rsidRDefault="00A40809" w:rsidP="00AA045B">
            <w:pPr>
              <w:pStyle w:val="Tabletext"/>
            </w:pPr>
            <w:r>
              <w:t>0</w:t>
            </w:r>
          </w:p>
        </w:tc>
        <w:tc>
          <w:tcPr>
            <w:tcW w:w="1508" w:type="dxa"/>
          </w:tcPr>
          <w:p w14:paraId="2324398E" w14:textId="48A77360" w:rsidR="00067457" w:rsidRDefault="00A40809" w:rsidP="00AA045B">
            <w:pPr>
              <w:pStyle w:val="Tabletext"/>
            </w:pPr>
            <w:r>
              <w:t>1</w:t>
            </w:r>
          </w:p>
        </w:tc>
        <w:tc>
          <w:tcPr>
            <w:tcW w:w="6056" w:type="dxa"/>
          </w:tcPr>
          <w:p w14:paraId="3FC0BBFA" w14:textId="2E0C5257" w:rsidR="00067457" w:rsidRDefault="00A40809" w:rsidP="00AA045B">
            <w:pPr>
              <w:pStyle w:val="Tabletext"/>
            </w:pPr>
            <w:r>
              <w:t>South Dublin County Council</w:t>
            </w:r>
          </w:p>
        </w:tc>
      </w:tr>
      <w:tr w:rsidR="00067457" w:rsidRPr="00542F08" w14:paraId="166E41F2" w14:textId="77777777" w:rsidTr="00133853">
        <w:tc>
          <w:tcPr>
            <w:tcW w:w="1508" w:type="dxa"/>
          </w:tcPr>
          <w:p w14:paraId="4FC65E0D" w14:textId="77777777" w:rsidR="00067457" w:rsidRPr="00542F08" w:rsidRDefault="00067457" w:rsidP="00AA045B">
            <w:pPr>
              <w:pStyle w:val="Tabletext"/>
            </w:pPr>
          </w:p>
        </w:tc>
        <w:tc>
          <w:tcPr>
            <w:tcW w:w="1508" w:type="dxa"/>
          </w:tcPr>
          <w:p w14:paraId="0812FC28" w14:textId="77777777" w:rsidR="00067457" w:rsidRDefault="00067457" w:rsidP="00AA045B">
            <w:pPr>
              <w:pStyle w:val="Tabletext"/>
            </w:pPr>
          </w:p>
        </w:tc>
        <w:tc>
          <w:tcPr>
            <w:tcW w:w="6056" w:type="dxa"/>
          </w:tcPr>
          <w:p w14:paraId="5B603F6E" w14:textId="77777777" w:rsidR="00067457" w:rsidRDefault="00067457" w:rsidP="00AA045B">
            <w:pPr>
              <w:pStyle w:val="Tabletext"/>
            </w:pPr>
          </w:p>
        </w:tc>
      </w:tr>
      <w:tr w:rsidR="00067457" w:rsidRPr="00542F08" w14:paraId="29F1CC15" w14:textId="77777777" w:rsidTr="00133853">
        <w:tc>
          <w:tcPr>
            <w:tcW w:w="1508" w:type="dxa"/>
            <w:tcBorders>
              <w:bottom w:val="single" w:sz="4" w:space="0" w:color="auto"/>
            </w:tcBorders>
          </w:tcPr>
          <w:p w14:paraId="1EE4925E" w14:textId="77777777" w:rsidR="00067457" w:rsidRPr="00542F08" w:rsidRDefault="00067457" w:rsidP="00AA045B">
            <w:pPr>
              <w:pStyle w:val="Tabletext"/>
            </w:pPr>
          </w:p>
        </w:tc>
        <w:tc>
          <w:tcPr>
            <w:tcW w:w="1508" w:type="dxa"/>
            <w:tcBorders>
              <w:bottom w:val="single" w:sz="4" w:space="0" w:color="auto"/>
            </w:tcBorders>
          </w:tcPr>
          <w:p w14:paraId="41CFF57E" w14:textId="77777777" w:rsidR="00067457" w:rsidRDefault="00067457" w:rsidP="00AA045B">
            <w:pPr>
              <w:pStyle w:val="Tabletext"/>
            </w:pPr>
          </w:p>
        </w:tc>
        <w:tc>
          <w:tcPr>
            <w:tcW w:w="6056" w:type="dxa"/>
            <w:tcBorders>
              <w:bottom w:val="single" w:sz="4" w:space="0" w:color="auto"/>
            </w:tcBorders>
          </w:tcPr>
          <w:p w14:paraId="6209B857" w14:textId="77777777" w:rsidR="00067457" w:rsidRDefault="00067457" w:rsidP="00AA045B">
            <w:pPr>
              <w:pStyle w:val="Tabletext"/>
            </w:pPr>
          </w:p>
        </w:tc>
      </w:tr>
      <w:tr w:rsidR="00067457" w:rsidRPr="00542F08" w14:paraId="37D3F8D6" w14:textId="77777777" w:rsidTr="00133853">
        <w:tc>
          <w:tcPr>
            <w:tcW w:w="1508" w:type="dxa"/>
            <w:tcBorders>
              <w:top w:val="single" w:sz="4" w:space="0" w:color="auto"/>
              <w:bottom w:val="single" w:sz="4" w:space="0" w:color="auto"/>
            </w:tcBorders>
          </w:tcPr>
          <w:p w14:paraId="3C2EF960" w14:textId="77777777" w:rsidR="00067457" w:rsidRPr="00542F08" w:rsidRDefault="00067457" w:rsidP="00AA045B">
            <w:pPr>
              <w:pStyle w:val="Tabletext"/>
            </w:pPr>
          </w:p>
        </w:tc>
        <w:tc>
          <w:tcPr>
            <w:tcW w:w="1508" w:type="dxa"/>
            <w:tcBorders>
              <w:top w:val="single" w:sz="4" w:space="0" w:color="auto"/>
              <w:bottom w:val="single" w:sz="4" w:space="0" w:color="auto"/>
            </w:tcBorders>
          </w:tcPr>
          <w:p w14:paraId="7121B71B" w14:textId="77777777" w:rsidR="00067457" w:rsidRDefault="00067457" w:rsidP="00AA045B">
            <w:pPr>
              <w:pStyle w:val="Tabletext"/>
            </w:pPr>
          </w:p>
        </w:tc>
        <w:tc>
          <w:tcPr>
            <w:tcW w:w="6056" w:type="dxa"/>
            <w:tcBorders>
              <w:top w:val="single" w:sz="4" w:space="0" w:color="auto"/>
              <w:bottom w:val="single" w:sz="4" w:space="0" w:color="auto"/>
            </w:tcBorders>
          </w:tcPr>
          <w:p w14:paraId="357A81D8" w14:textId="77777777" w:rsidR="00067457" w:rsidRDefault="00067457" w:rsidP="00AA045B">
            <w:pPr>
              <w:pStyle w:val="Tabletext"/>
            </w:pPr>
          </w:p>
        </w:tc>
      </w:tr>
      <w:bookmarkEnd w:id="18"/>
    </w:tbl>
    <w:p w14:paraId="7CCD5117" w14:textId="77777777" w:rsidR="00067457" w:rsidRDefault="00067457" w:rsidP="00067457">
      <w:pPr>
        <w:pStyle w:val="BodyText"/>
      </w:pPr>
    </w:p>
    <w:p w14:paraId="4113DF9B" w14:textId="77777777" w:rsidR="00A40809" w:rsidRDefault="00A40809" w:rsidP="00067457">
      <w:pPr>
        <w:pStyle w:val="BodyText"/>
      </w:pPr>
    </w:p>
    <w:p w14:paraId="3244D4BD" w14:textId="77777777" w:rsidR="002C5B28" w:rsidRDefault="002C5B28">
      <w:pPr>
        <w:tabs>
          <w:tab w:val="clear" w:pos="284"/>
        </w:tabs>
        <w:spacing w:line="240" w:lineRule="auto"/>
        <w:jc w:val="left"/>
        <w:rPr>
          <w:rFonts w:asciiTheme="majorHAnsi" w:hAnsiTheme="majorHAnsi" w:cstheme="majorHAnsi"/>
          <w:color w:val="000000" w:themeColor="text2"/>
          <w:sz w:val="24"/>
        </w:rPr>
      </w:pPr>
      <w:bookmarkStart w:id="40" w:name="Text_PreparedFor"/>
      <w:r>
        <w:br w:type="page"/>
      </w:r>
    </w:p>
    <w:p w14:paraId="6BACCCF9" w14:textId="471CADD0" w:rsidR="00831688" w:rsidRPr="008952D6" w:rsidRDefault="0087529F" w:rsidP="00542F08">
      <w:pPr>
        <w:pStyle w:val="Heading"/>
      </w:pPr>
      <w:r>
        <w:lastRenderedPageBreak/>
        <w:t>Prepared for</w:t>
      </w:r>
      <w:bookmarkEnd w:id="40"/>
      <w:r w:rsidR="00831688" w:rsidRPr="008952D6">
        <w:t>:</w:t>
      </w:r>
    </w:p>
    <w:p w14:paraId="5F4062C4" w14:textId="6D979480" w:rsidR="002F3B02" w:rsidRPr="0080040C" w:rsidRDefault="00D83C6F" w:rsidP="0081688E">
      <w:r>
        <w:fldChar w:fldCharType="begin"/>
      </w:r>
      <w:r>
        <w:instrText>DOCPROPERTY  ClientName \* MERGEFORMAT</w:instrText>
      </w:r>
      <w:r>
        <w:fldChar w:fldCharType="separate"/>
      </w:r>
      <w:r>
        <w:t xml:space="preserve">South Dublin County Council </w:t>
      </w:r>
      <w:r>
        <w:fldChar w:fldCharType="end"/>
      </w:r>
      <w:r w:rsidR="00611E36">
        <w:t>(SDCC)</w:t>
      </w:r>
      <w:r w:rsidR="002F3B02" w:rsidRPr="0080040C">
        <w:t xml:space="preserve">  </w:t>
      </w:r>
      <w:r w:rsidR="006A7D49">
        <w:fldChar w:fldCharType="begin"/>
      </w:r>
      <w:r w:rsidR="006A7D49">
        <w:instrText xml:space="preserve"> DOCPROPERTY  ClientNumber \* MERGEFORMAT </w:instrText>
      </w:r>
      <w:r w:rsidR="006A7D49">
        <w:fldChar w:fldCharType="end"/>
      </w:r>
    </w:p>
    <w:p w14:paraId="4419F236" w14:textId="5E3E8501" w:rsidR="002F3B02" w:rsidRPr="0080040C" w:rsidRDefault="002F3B02" w:rsidP="0081688E">
      <w:bookmarkStart w:id="41" w:name="FooterClientAddress"/>
      <w:bookmarkEnd w:id="41"/>
    </w:p>
    <w:p w14:paraId="326DE8DF" w14:textId="77777777" w:rsidR="00831688" w:rsidRDefault="00831688" w:rsidP="0080040C">
      <w:pPr>
        <w:pStyle w:val="BodyText"/>
      </w:pPr>
    </w:p>
    <w:p w14:paraId="3D8B7207" w14:textId="12D21637" w:rsidR="000F22FF" w:rsidRDefault="0087529F" w:rsidP="000F22FF">
      <w:pPr>
        <w:pStyle w:val="Heading"/>
      </w:pPr>
      <w:bookmarkStart w:id="42" w:name="Text_PreparedBy_1"/>
      <w:r>
        <w:t>Prepared by</w:t>
      </w:r>
      <w:bookmarkEnd w:id="42"/>
      <w:r w:rsidR="000F22FF">
        <w:t>:</w:t>
      </w:r>
    </w:p>
    <w:p w14:paraId="57F9070D" w14:textId="77777777" w:rsidR="00996799" w:rsidRDefault="00996799" w:rsidP="00996799">
      <w:r>
        <w:t>‌AECOM Ireland Limited</w:t>
      </w:r>
    </w:p>
    <w:p w14:paraId="079062A8" w14:textId="77777777" w:rsidR="00996799" w:rsidRDefault="00996799" w:rsidP="00996799">
      <w:r>
        <w:t>4</w:t>
      </w:r>
      <w:r w:rsidRPr="00131771">
        <w:rPr>
          <w:vertAlign w:val="superscript"/>
        </w:rPr>
        <w:t>th</w:t>
      </w:r>
      <w:r>
        <w:t xml:space="preserve"> Floor</w:t>
      </w:r>
    </w:p>
    <w:p w14:paraId="49256DD8" w14:textId="77777777" w:rsidR="00996799" w:rsidRDefault="00996799" w:rsidP="00996799">
      <w:r>
        <w:t xml:space="preserve">One Burlington Plaza </w:t>
      </w:r>
    </w:p>
    <w:p w14:paraId="3BF3D4C1" w14:textId="77777777" w:rsidR="00996799" w:rsidRDefault="00996799" w:rsidP="00996799">
      <w:r>
        <w:t xml:space="preserve">Burlington Road </w:t>
      </w:r>
    </w:p>
    <w:p w14:paraId="1435CF6D" w14:textId="77777777" w:rsidR="00996799" w:rsidRDefault="00996799" w:rsidP="00996799">
      <w:r>
        <w:t xml:space="preserve">Dublin 4 </w:t>
      </w:r>
    </w:p>
    <w:p w14:paraId="6F633DDE" w14:textId="77777777" w:rsidR="00996799" w:rsidRDefault="00996799" w:rsidP="00996799">
      <w:r>
        <w:t xml:space="preserve">D04 RH96 </w:t>
      </w:r>
    </w:p>
    <w:p w14:paraId="29A2472B" w14:textId="4D497378" w:rsidR="000F22FF" w:rsidRDefault="00996799" w:rsidP="00996799">
      <w:r>
        <w:t>T +353-1-696-6220</w:t>
      </w:r>
    </w:p>
    <w:p w14:paraId="5191012E" w14:textId="77777777" w:rsidR="00A609EC" w:rsidRDefault="00A609EC" w:rsidP="0080040C">
      <w:pPr>
        <w:pStyle w:val="BodyText"/>
      </w:pPr>
    </w:p>
    <w:p w14:paraId="5DEF0D0C" w14:textId="69D098EA" w:rsidR="00A40809" w:rsidRPr="00A40809" w:rsidRDefault="00D83C6F" w:rsidP="002C5B28">
      <w:pPr>
        <w:pStyle w:val="Heading"/>
      </w:pPr>
      <w:r>
        <w:fldChar w:fldCharType="begin"/>
      </w:r>
      <w:r>
        <w:instrText>DOCPROPERTY  InAssociationWith \* MERGEFORMAT</w:instrText>
      </w:r>
      <w:r>
        <w:fldChar w:fldCharType="separate"/>
      </w:r>
      <w:r>
        <w:t xml:space="preserve"> </w:t>
      </w:r>
      <w:r>
        <w:fldChar w:fldCharType="end"/>
      </w:r>
      <w:r w:rsidR="006A7D49">
        <w:fldChar w:fldCharType="begin"/>
      </w:r>
      <w:r w:rsidR="006A7D49">
        <w:instrText xml:space="preserve"> DOCPROPERTY  AdditionalCompanyName \* MERGEFORMAT </w:instrText>
      </w:r>
      <w:r w:rsidR="006A7D49">
        <w:fldChar w:fldCharType="end"/>
      </w:r>
      <w:r w:rsidR="006A7D49">
        <w:fldChar w:fldCharType="begin"/>
      </w:r>
      <w:r w:rsidR="006A7D49">
        <w:instrText xml:space="preserve"> DOCPROPERTY "AccreditationText" </w:instrText>
      </w:r>
      <w:r w:rsidR="006A7D49">
        <w:fldChar w:fldCharType="end"/>
      </w:r>
      <w:r w:rsidR="006A7D49">
        <w:fldChar w:fldCharType="begin"/>
      </w:r>
      <w:r w:rsidR="006A7D49">
        <w:instrText xml:space="preserve"> DOCPROPERTY "GreenInitiative" </w:instrText>
      </w:r>
      <w:r w:rsidR="006A7D49">
        <w:fldChar w:fldCharType="end"/>
      </w:r>
    </w:p>
    <w:p w14:paraId="5F8286B8" w14:textId="77777777" w:rsidR="00CC1747" w:rsidRDefault="00CC1747" w:rsidP="00CD1EA1">
      <w:pPr>
        <w:tabs>
          <w:tab w:val="clear" w:pos="284"/>
        </w:tabs>
        <w:spacing w:line="240" w:lineRule="auto"/>
      </w:pPr>
    </w:p>
    <w:p w14:paraId="38F35C0F" w14:textId="77777777" w:rsidR="002C5B28" w:rsidRDefault="002C5B28" w:rsidP="00CD1EA1">
      <w:pPr>
        <w:tabs>
          <w:tab w:val="clear" w:pos="284"/>
        </w:tabs>
        <w:spacing w:line="240" w:lineRule="auto"/>
      </w:pPr>
    </w:p>
    <w:p w14:paraId="4670FDB3" w14:textId="77777777" w:rsidR="002C5B28" w:rsidRDefault="002C5B28" w:rsidP="00CD1EA1">
      <w:pPr>
        <w:tabs>
          <w:tab w:val="clear" w:pos="284"/>
        </w:tabs>
        <w:spacing w:line="240" w:lineRule="auto"/>
      </w:pPr>
    </w:p>
    <w:p w14:paraId="68421A3B" w14:textId="77777777" w:rsidR="002C5B28" w:rsidRDefault="002C5B28" w:rsidP="00CD1EA1">
      <w:pPr>
        <w:tabs>
          <w:tab w:val="clear" w:pos="284"/>
        </w:tabs>
        <w:spacing w:line="240" w:lineRule="auto"/>
      </w:pPr>
    </w:p>
    <w:p w14:paraId="34C31231" w14:textId="77777777" w:rsidR="002C5B28" w:rsidRDefault="002C5B28" w:rsidP="00CD1EA1">
      <w:pPr>
        <w:tabs>
          <w:tab w:val="clear" w:pos="284"/>
        </w:tabs>
        <w:spacing w:line="240" w:lineRule="auto"/>
      </w:pPr>
    </w:p>
    <w:p w14:paraId="11DA377D" w14:textId="77777777" w:rsidR="002C5B28" w:rsidRDefault="002C5B28" w:rsidP="00CD1EA1">
      <w:pPr>
        <w:tabs>
          <w:tab w:val="clear" w:pos="284"/>
        </w:tabs>
        <w:spacing w:line="240" w:lineRule="auto"/>
      </w:pPr>
    </w:p>
    <w:p w14:paraId="4CBDCC16" w14:textId="77777777" w:rsidR="002C5B28" w:rsidRDefault="002C5B28" w:rsidP="00CD1EA1">
      <w:pPr>
        <w:tabs>
          <w:tab w:val="clear" w:pos="284"/>
        </w:tabs>
        <w:spacing w:line="240" w:lineRule="auto"/>
      </w:pPr>
    </w:p>
    <w:p w14:paraId="541E5ECA" w14:textId="77777777" w:rsidR="002C5B28" w:rsidRDefault="002C5B28" w:rsidP="00CD1EA1">
      <w:pPr>
        <w:tabs>
          <w:tab w:val="clear" w:pos="284"/>
        </w:tabs>
        <w:spacing w:line="240" w:lineRule="auto"/>
      </w:pPr>
    </w:p>
    <w:p w14:paraId="01434D36" w14:textId="77777777" w:rsidR="002C5B28" w:rsidRDefault="002C5B28" w:rsidP="00CD1EA1">
      <w:pPr>
        <w:tabs>
          <w:tab w:val="clear" w:pos="284"/>
        </w:tabs>
        <w:spacing w:line="240" w:lineRule="auto"/>
      </w:pPr>
    </w:p>
    <w:p w14:paraId="66E6ED6F" w14:textId="77777777" w:rsidR="002C5B28" w:rsidRDefault="002C5B28" w:rsidP="00CD1EA1">
      <w:pPr>
        <w:tabs>
          <w:tab w:val="clear" w:pos="284"/>
        </w:tabs>
        <w:spacing w:line="240" w:lineRule="auto"/>
      </w:pPr>
    </w:p>
    <w:p w14:paraId="292DCDFA" w14:textId="77777777" w:rsidR="002C5B28" w:rsidRDefault="002C5B28" w:rsidP="00CD1EA1">
      <w:pPr>
        <w:tabs>
          <w:tab w:val="clear" w:pos="284"/>
        </w:tabs>
        <w:spacing w:line="240" w:lineRule="auto"/>
      </w:pPr>
    </w:p>
    <w:p w14:paraId="2F29D705" w14:textId="77777777" w:rsidR="002C5B28" w:rsidRDefault="002C5B28" w:rsidP="00CD1EA1">
      <w:pPr>
        <w:tabs>
          <w:tab w:val="clear" w:pos="284"/>
        </w:tabs>
        <w:spacing w:line="240" w:lineRule="auto"/>
      </w:pPr>
    </w:p>
    <w:p w14:paraId="63E66494" w14:textId="77777777" w:rsidR="002C5B28" w:rsidRDefault="002C5B28" w:rsidP="00CD1EA1">
      <w:pPr>
        <w:tabs>
          <w:tab w:val="clear" w:pos="284"/>
        </w:tabs>
        <w:spacing w:line="240" w:lineRule="auto"/>
      </w:pPr>
    </w:p>
    <w:p w14:paraId="0494EA9F" w14:textId="77777777" w:rsidR="002C5B28" w:rsidRDefault="002C5B28" w:rsidP="00CD1EA1">
      <w:pPr>
        <w:tabs>
          <w:tab w:val="clear" w:pos="284"/>
        </w:tabs>
        <w:spacing w:line="240" w:lineRule="auto"/>
      </w:pPr>
    </w:p>
    <w:p w14:paraId="5F3CC292" w14:textId="77777777" w:rsidR="002C5B28" w:rsidRDefault="002C5B28" w:rsidP="00CD1EA1">
      <w:pPr>
        <w:tabs>
          <w:tab w:val="clear" w:pos="284"/>
        </w:tabs>
        <w:spacing w:line="240" w:lineRule="auto"/>
      </w:pPr>
    </w:p>
    <w:p w14:paraId="53C16EFA" w14:textId="77777777" w:rsidR="002C5B28" w:rsidRDefault="002C5B28" w:rsidP="00CD1EA1">
      <w:pPr>
        <w:tabs>
          <w:tab w:val="clear" w:pos="284"/>
        </w:tabs>
        <w:spacing w:line="240" w:lineRule="auto"/>
      </w:pPr>
    </w:p>
    <w:p w14:paraId="35FA51C8" w14:textId="77777777" w:rsidR="002C5B28" w:rsidRDefault="002C5B28" w:rsidP="00CD1EA1">
      <w:pPr>
        <w:tabs>
          <w:tab w:val="clear" w:pos="284"/>
        </w:tabs>
        <w:spacing w:line="240" w:lineRule="auto"/>
      </w:pPr>
    </w:p>
    <w:p w14:paraId="744DE8F8" w14:textId="77777777" w:rsidR="002C5B28" w:rsidRDefault="002C5B28" w:rsidP="00CD1EA1">
      <w:pPr>
        <w:tabs>
          <w:tab w:val="clear" w:pos="284"/>
        </w:tabs>
        <w:spacing w:line="240" w:lineRule="auto"/>
      </w:pPr>
    </w:p>
    <w:p w14:paraId="312314C9" w14:textId="77777777" w:rsidR="002C5B28" w:rsidRDefault="002C5B28" w:rsidP="00CD1EA1">
      <w:pPr>
        <w:tabs>
          <w:tab w:val="clear" w:pos="284"/>
        </w:tabs>
        <w:spacing w:line="240" w:lineRule="auto"/>
      </w:pPr>
    </w:p>
    <w:p w14:paraId="23A89F47" w14:textId="77777777" w:rsidR="002C5B28" w:rsidRDefault="002C5B28" w:rsidP="00CD1EA1">
      <w:pPr>
        <w:tabs>
          <w:tab w:val="clear" w:pos="284"/>
        </w:tabs>
        <w:spacing w:line="240" w:lineRule="auto"/>
      </w:pPr>
    </w:p>
    <w:p w14:paraId="1B8BE4EA" w14:textId="77777777" w:rsidR="002C5B28" w:rsidRDefault="002C5B28" w:rsidP="00CD1EA1">
      <w:pPr>
        <w:tabs>
          <w:tab w:val="clear" w:pos="284"/>
        </w:tabs>
        <w:spacing w:line="240" w:lineRule="auto"/>
      </w:pPr>
    </w:p>
    <w:p w14:paraId="052AA591" w14:textId="77777777" w:rsidR="002C5B28" w:rsidRDefault="002C5B28" w:rsidP="00CD1EA1">
      <w:pPr>
        <w:tabs>
          <w:tab w:val="clear" w:pos="284"/>
        </w:tabs>
        <w:spacing w:line="240" w:lineRule="auto"/>
      </w:pPr>
    </w:p>
    <w:p w14:paraId="3F1F939E" w14:textId="77777777" w:rsidR="002C5B28" w:rsidRDefault="002C5B28" w:rsidP="00CD1EA1">
      <w:pPr>
        <w:tabs>
          <w:tab w:val="clear" w:pos="284"/>
        </w:tabs>
        <w:spacing w:line="240" w:lineRule="auto"/>
      </w:pPr>
    </w:p>
    <w:p w14:paraId="0323A8D8" w14:textId="77777777" w:rsidR="002C5B28" w:rsidRDefault="002C5B28" w:rsidP="00CD1EA1">
      <w:pPr>
        <w:tabs>
          <w:tab w:val="clear" w:pos="284"/>
        </w:tabs>
        <w:spacing w:line="240" w:lineRule="auto"/>
      </w:pPr>
    </w:p>
    <w:p w14:paraId="4428DA17" w14:textId="77777777" w:rsidR="002C5B28" w:rsidRDefault="002C5B28" w:rsidP="00CD1EA1">
      <w:pPr>
        <w:tabs>
          <w:tab w:val="clear" w:pos="284"/>
        </w:tabs>
        <w:spacing w:line="240" w:lineRule="auto"/>
      </w:pPr>
    </w:p>
    <w:p w14:paraId="2312297B" w14:textId="77777777" w:rsidR="002C5B28" w:rsidRDefault="002C5B28" w:rsidP="00CD1EA1">
      <w:pPr>
        <w:tabs>
          <w:tab w:val="clear" w:pos="284"/>
        </w:tabs>
        <w:spacing w:line="240" w:lineRule="auto"/>
      </w:pPr>
    </w:p>
    <w:p w14:paraId="30062065" w14:textId="77777777" w:rsidR="002C5B28" w:rsidRDefault="002C5B28" w:rsidP="00CD1EA1">
      <w:pPr>
        <w:tabs>
          <w:tab w:val="clear" w:pos="284"/>
        </w:tabs>
        <w:spacing w:line="240" w:lineRule="auto"/>
      </w:pPr>
    </w:p>
    <w:p w14:paraId="6A8364EF" w14:textId="77777777" w:rsidR="002C5B28" w:rsidRDefault="002C5B28" w:rsidP="00CD1EA1">
      <w:pPr>
        <w:tabs>
          <w:tab w:val="clear" w:pos="284"/>
        </w:tabs>
        <w:spacing w:line="240" w:lineRule="auto"/>
      </w:pPr>
    </w:p>
    <w:p w14:paraId="05230A10" w14:textId="77777777" w:rsidR="002C5B28" w:rsidRDefault="002C5B28" w:rsidP="00CD1EA1">
      <w:pPr>
        <w:tabs>
          <w:tab w:val="clear" w:pos="284"/>
        </w:tabs>
        <w:spacing w:line="240" w:lineRule="auto"/>
      </w:pPr>
    </w:p>
    <w:p w14:paraId="246F2253" w14:textId="77777777" w:rsidR="002C5B28" w:rsidRDefault="002C5B28" w:rsidP="00CD1EA1">
      <w:pPr>
        <w:tabs>
          <w:tab w:val="clear" w:pos="284"/>
        </w:tabs>
        <w:spacing w:line="240" w:lineRule="auto"/>
      </w:pPr>
    </w:p>
    <w:p w14:paraId="0A4947DA" w14:textId="77777777" w:rsidR="002C5B28" w:rsidRDefault="002C5B28" w:rsidP="00CD1EA1">
      <w:pPr>
        <w:tabs>
          <w:tab w:val="clear" w:pos="284"/>
        </w:tabs>
        <w:spacing w:line="240" w:lineRule="auto"/>
      </w:pPr>
    </w:p>
    <w:p w14:paraId="46DFCBE2" w14:textId="77777777" w:rsidR="002C5B28" w:rsidRDefault="002C5B28" w:rsidP="00CD1EA1">
      <w:pPr>
        <w:tabs>
          <w:tab w:val="clear" w:pos="284"/>
        </w:tabs>
        <w:spacing w:line="240" w:lineRule="auto"/>
      </w:pPr>
    </w:p>
    <w:p w14:paraId="6C0FB9A2" w14:textId="77777777" w:rsidR="002C5B28" w:rsidRDefault="002C5B28" w:rsidP="00CD1EA1">
      <w:pPr>
        <w:tabs>
          <w:tab w:val="clear" w:pos="284"/>
        </w:tabs>
        <w:spacing w:line="240" w:lineRule="auto"/>
      </w:pPr>
    </w:p>
    <w:p w14:paraId="1913FA71" w14:textId="1F7EEFB2" w:rsidR="00CC1747" w:rsidRPr="005337F3" w:rsidRDefault="00CC1747" w:rsidP="00CC1747">
      <w:pPr>
        <w:pStyle w:val="BodyText"/>
      </w:pPr>
      <w:bookmarkStart w:id="43" w:name="Copyright"/>
      <w:bookmarkStart w:id="44" w:name="Disclaimer"/>
      <w:r w:rsidRPr="005337F3">
        <w:t>© 202</w:t>
      </w:r>
      <w:r>
        <w:t>6</w:t>
      </w:r>
      <w:r w:rsidRPr="005337F3">
        <w:t xml:space="preserve"> AECOM Ireland Limited. All Rights Reserved. </w:t>
      </w:r>
      <w:bookmarkEnd w:id="43"/>
    </w:p>
    <w:p w14:paraId="18F53E61" w14:textId="2434D7BF" w:rsidR="000D13AF" w:rsidRDefault="00CC1747" w:rsidP="00CC1747">
      <w:pPr>
        <w:pStyle w:val="BodyText"/>
      </w:pPr>
      <w:r>
        <w:t>This document has been prepared by AECOM Ireland Limited (“AECOM”) for sole use of our client (the “Client”) in accordance with generally accepted consultancy principles, the budget for fees and the terms of reference agreed between AECOM and the Client. Any information provided by third parties and referred to herein has not been checked or verified by AECOM, unless otherwise expressly stated in the document. No third party may rely upon this document without the prior and express written agreement of AECOM.</w:t>
      </w:r>
      <w:r w:rsidRPr="00DD6C5D">
        <w:rPr>
          <w:sz w:val="18"/>
          <w:szCs w:val="16"/>
        </w:rPr>
        <w:t xml:space="preserve"> </w:t>
      </w:r>
      <w:bookmarkStart w:id="45" w:name="UKILongformLimitations"/>
      <w:bookmarkEnd w:id="44"/>
      <w:r w:rsidR="0087529F">
        <w:t xml:space="preserve"> </w:t>
      </w:r>
      <w:bookmarkEnd w:id="45"/>
      <w:r w:rsidR="000D13AF">
        <w:br w:type="page"/>
      </w:r>
    </w:p>
    <w:p w14:paraId="1366CD48" w14:textId="77777777" w:rsidR="003964F2" w:rsidRDefault="003964F2" w:rsidP="003964F2">
      <w:pPr>
        <w:pStyle w:val="TOCHeading"/>
        <w:rPr>
          <w:noProof/>
        </w:rPr>
      </w:pPr>
      <w:bookmarkStart w:id="46" w:name="Text_Contents"/>
      <w:bookmarkStart w:id="47" w:name="TOC"/>
      <w:r>
        <w:rPr>
          <w:noProof/>
        </w:rPr>
        <w:lastRenderedPageBreak/>
        <w:t>Table of Contents</w:t>
      </w:r>
      <w:bookmarkEnd w:id="46"/>
    </w:p>
    <w:p w14:paraId="09BEC63D" w14:textId="18E0F9D9" w:rsidR="007D6190" w:rsidRDefault="00A40809">
      <w:pPr>
        <w:pStyle w:val="TOC1"/>
        <w:rPr>
          <w:rFonts w:asciiTheme="minorHAnsi" w:eastAsiaTheme="minorEastAsia" w:hAnsiTheme="minorHAnsi"/>
          <w:noProof/>
          <w:kern w:val="2"/>
          <w:sz w:val="24"/>
          <w:szCs w:val="24"/>
          <w:lang w:eastAsia="en-GB"/>
          <w14:ligatures w14:val="standardContextual"/>
        </w:rPr>
      </w:pPr>
      <w:r>
        <w:rPr>
          <w:noProof/>
        </w:rPr>
        <w:fldChar w:fldCharType="begin"/>
      </w:r>
      <w:r>
        <w:rPr>
          <w:noProof/>
        </w:rPr>
        <w:instrText xml:space="preserve"> TOC \o "1-3" \u </w:instrText>
      </w:r>
      <w:r>
        <w:rPr>
          <w:noProof/>
        </w:rPr>
        <w:fldChar w:fldCharType="separate"/>
      </w:r>
      <w:r w:rsidR="007D6190">
        <w:rPr>
          <w:noProof/>
        </w:rPr>
        <w:t>10</w:t>
      </w:r>
      <w:r w:rsidR="007D6190">
        <w:rPr>
          <w:rFonts w:asciiTheme="minorHAnsi" w:eastAsiaTheme="minorEastAsia" w:hAnsiTheme="minorHAnsi"/>
          <w:noProof/>
          <w:kern w:val="2"/>
          <w:sz w:val="24"/>
          <w:szCs w:val="24"/>
          <w:lang w:eastAsia="en-GB"/>
          <w14:ligatures w14:val="standardContextual"/>
        </w:rPr>
        <w:tab/>
      </w:r>
      <w:r w:rsidR="007D6190">
        <w:rPr>
          <w:noProof/>
        </w:rPr>
        <w:t>Climate</w:t>
      </w:r>
      <w:r w:rsidR="007D6190">
        <w:rPr>
          <w:noProof/>
        </w:rPr>
        <w:tab/>
      </w:r>
      <w:r w:rsidR="007D6190">
        <w:rPr>
          <w:noProof/>
        </w:rPr>
        <w:fldChar w:fldCharType="begin"/>
      </w:r>
      <w:r w:rsidR="007D6190">
        <w:rPr>
          <w:noProof/>
        </w:rPr>
        <w:instrText xml:space="preserve"> PAGEREF _Toc239776178 \h </w:instrText>
      </w:r>
      <w:r w:rsidR="007D6190">
        <w:rPr>
          <w:noProof/>
        </w:rPr>
      </w:r>
      <w:r w:rsidR="007D6190">
        <w:rPr>
          <w:noProof/>
        </w:rPr>
        <w:fldChar w:fldCharType="separate"/>
      </w:r>
      <w:r w:rsidR="007D6190">
        <w:rPr>
          <w:noProof/>
        </w:rPr>
        <w:t>10-1</w:t>
      </w:r>
      <w:r w:rsidR="007D6190">
        <w:rPr>
          <w:noProof/>
        </w:rPr>
        <w:fldChar w:fldCharType="end"/>
      </w:r>
    </w:p>
    <w:p w14:paraId="76C7CD93" w14:textId="1AE3A3A1" w:rsidR="007D6190" w:rsidRDefault="007D6190">
      <w:pPr>
        <w:pStyle w:val="TOC2"/>
        <w:rPr>
          <w:rFonts w:eastAsiaTheme="minorEastAsia"/>
          <w:noProof/>
          <w:kern w:val="2"/>
          <w:sz w:val="24"/>
          <w:szCs w:val="24"/>
          <w:lang w:eastAsia="en-GB"/>
          <w14:ligatures w14:val="standardContextual"/>
        </w:rPr>
      </w:pPr>
      <w:r>
        <w:rPr>
          <w:noProof/>
        </w:rPr>
        <w:t>10.1 Introduction</w:t>
      </w:r>
      <w:r>
        <w:rPr>
          <w:noProof/>
        </w:rPr>
        <w:tab/>
      </w:r>
      <w:r>
        <w:rPr>
          <w:noProof/>
        </w:rPr>
        <w:fldChar w:fldCharType="begin"/>
      </w:r>
      <w:r>
        <w:rPr>
          <w:noProof/>
        </w:rPr>
        <w:instrText xml:space="preserve"> PAGEREF _Toc239776179 \h </w:instrText>
      </w:r>
      <w:r>
        <w:rPr>
          <w:noProof/>
        </w:rPr>
      </w:r>
      <w:r>
        <w:rPr>
          <w:noProof/>
        </w:rPr>
        <w:fldChar w:fldCharType="separate"/>
      </w:r>
      <w:r>
        <w:rPr>
          <w:noProof/>
        </w:rPr>
        <w:t>10-1</w:t>
      </w:r>
      <w:r>
        <w:rPr>
          <w:noProof/>
        </w:rPr>
        <w:fldChar w:fldCharType="end"/>
      </w:r>
    </w:p>
    <w:p w14:paraId="6A26822D" w14:textId="399464C8" w:rsidR="007D6190" w:rsidRDefault="007D6190">
      <w:pPr>
        <w:pStyle w:val="TOC2"/>
        <w:rPr>
          <w:rFonts w:eastAsiaTheme="minorEastAsia"/>
          <w:noProof/>
          <w:kern w:val="2"/>
          <w:sz w:val="24"/>
          <w:szCs w:val="24"/>
          <w:lang w:eastAsia="en-GB"/>
          <w14:ligatures w14:val="standardContextual"/>
        </w:rPr>
      </w:pPr>
      <w:r>
        <w:rPr>
          <w:noProof/>
        </w:rPr>
        <w:t>10.2 Legislation, Policy and Guidance</w:t>
      </w:r>
      <w:r>
        <w:rPr>
          <w:noProof/>
        </w:rPr>
        <w:tab/>
      </w:r>
      <w:r>
        <w:rPr>
          <w:noProof/>
        </w:rPr>
        <w:fldChar w:fldCharType="begin"/>
      </w:r>
      <w:r>
        <w:rPr>
          <w:noProof/>
        </w:rPr>
        <w:instrText xml:space="preserve"> PAGEREF _Toc239776180 \h </w:instrText>
      </w:r>
      <w:r>
        <w:rPr>
          <w:noProof/>
        </w:rPr>
      </w:r>
      <w:r>
        <w:rPr>
          <w:noProof/>
        </w:rPr>
        <w:fldChar w:fldCharType="separate"/>
      </w:r>
      <w:r>
        <w:rPr>
          <w:noProof/>
        </w:rPr>
        <w:t>10-1</w:t>
      </w:r>
      <w:r>
        <w:rPr>
          <w:noProof/>
        </w:rPr>
        <w:fldChar w:fldCharType="end"/>
      </w:r>
    </w:p>
    <w:p w14:paraId="625CE943" w14:textId="316D87A0" w:rsidR="007D6190" w:rsidRDefault="007D6190">
      <w:pPr>
        <w:pStyle w:val="TOC3"/>
        <w:tabs>
          <w:tab w:val="left" w:pos="1440"/>
        </w:tabs>
        <w:rPr>
          <w:rFonts w:eastAsiaTheme="minorEastAsia"/>
          <w:noProof/>
          <w:kern w:val="2"/>
          <w:sz w:val="24"/>
          <w:szCs w:val="24"/>
          <w:lang w:eastAsia="en-GB"/>
          <w14:ligatures w14:val="standardContextual"/>
        </w:rPr>
      </w:pPr>
      <w:r>
        <w:rPr>
          <w:noProof/>
        </w:rPr>
        <w:t>10.2.1</w:t>
      </w:r>
      <w:r>
        <w:rPr>
          <w:rFonts w:eastAsiaTheme="minorEastAsia"/>
          <w:noProof/>
          <w:kern w:val="2"/>
          <w:sz w:val="24"/>
          <w:szCs w:val="24"/>
          <w:lang w:eastAsia="en-GB"/>
          <w14:ligatures w14:val="standardContextual"/>
        </w:rPr>
        <w:tab/>
      </w:r>
      <w:r>
        <w:rPr>
          <w:noProof/>
        </w:rPr>
        <w:t>International Agreements and Relevant Legislation</w:t>
      </w:r>
      <w:r>
        <w:rPr>
          <w:noProof/>
        </w:rPr>
        <w:tab/>
      </w:r>
      <w:r>
        <w:rPr>
          <w:noProof/>
        </w:rPr>
        <w:fldChar w:fldCharType="begin"/>
      </w:r>
      <w:r>
        <w:rPr>
          <w:noProof/>
        </w:rPr>
        <w:instrText xml:space="preserve"> PAGEREF _Toc239776181 \h </w:instrText>
      </w:r>
      <w:r>
        <w:rPr>
          <w:noProof/>
        </w:rPr>
      </w:r>
      <w:r>
        <w:rPr>
          <w:noProof/>
        </w:rPr>
        <w:fldChar w:fldCharType="separate"/>
      </w:r>
      <w:r>
        <w:rPr>
          <w:noProof/>
        </w:rPr>
        <w:t>10-1</w:t>
      </w:r>
      <w:r>
        <w:rPr>
          <w:noProof/>
        </w:rPr>
        <w:fldChar w:fldCharType="end"/>
      </w:r>
    </w:p>
    <w:p w14:paraId="216DA547" w14:textId="50302233" w:rsidR="007D6190" w:rsidRDefault="007D6190">
      <w:pPr>
        <w:pStyle w:val="TOC3"/>
        <w:tabs>
          <w:tab w:val="left" w:pos="1440"/>
        </w:tabs>
        <w:rPr>
          <w:rFonts w:eastAsiaTheme="minorEastAsia"/>
          <w:noProof/>
          <w:kern w:val="2"/>
          <w:sz w:val="24"/>
          <w:szCs w:val="24"/>
          <w:lang w:eastAsia="en-GB"/>
          <w14:ligatures w14:val="standardContextual"/>
        </w:rPr>
      </w:pPr>
      <w:r>
        <w:rPr>
          <w:noProof/>
        </w:rPr>
        <w:t>10.2.2</w:t>
      </w:r>
      <w:r>
        <w:rPr>
          <w:rFonts w:eastAsiaTheme="minorEastAsia"/>
          <w:noProof/>
          <w:kern w:val="2"/>
          <w:sz w:val="24"/>
          <w:szCs w:val="24"/>
          <w:lang w:eastAsia="en-GB"/>
          <w14:ligatures w14:val="standardContextual"/>
        </w:rPr>
        <w:tab/>
      </w:r>
      <w:r>
        <w:rPr>
          <w:noProof/>
        </w:rPr>
        <w:t>National Policy</w:t>
      </w:r>
      <w:r>
        <w:rPr>
          <w:noProof/>
        </w:rPr>
        <w:tab/>
      </w:r>
      <w:r>
        <w:rPr>
          <w:noProof/>
        </w:rPr>
        <w:fldChar w:fldCharType="begin"/>
      </w:r>
      <w:r>
        <w:rPr>
          <w:noProof/>
        </w:rPr>
        <w:instrText xml:space="preserve"> PAGEREF _Toc239776182 \h </w:instrText>
      </w:r>
      <w:r>
        <w:rPr>
          <w:noProof/>
        </w:rPr>
      </w:r>
      <w:r>
        <w:rPr>
          <w:noProof/>
        </w:rPr>
        <w:fldChar w:fldCharType="separate"/>
      </w:r>
      <w:r>
        <w:rPr>
          <w:noProof/>
        </w:rPr>
        <w:t>10-2</w:t>
      </w:r>
      <w:r>
        <w:rPr>
          <w:noProof/>
        </w:rPr>
        <w:fldChar w:fldCharType="end"/>
      </w:r>
    </w:p>
    <w:p w14:paraId="066A6AE4" w14:textId="5A619198" w:rsidR="007D6190" w:rsidRDefault="007D6190">
      <w:pPr>
        <w:pStyle w:val="TOC3"/>
        <w:tabs>
          <w:tab w:val="left" w:pos="1440"/>
        </w:tabs>
        <w:rPr>
          <w:rFonts w:eastAsiaTheme="minorEastAsia"/>
          <w:noProof/>
          <w:kern w:val="2"/>
          <w:sz w:val="24"/>
          <w:szCs w:val="24"/>
          <w:lang w:eastAsia="en-GB"/>
          <w14:ligatures w14:val="standardContextual"/>
        </w:rPr>
      </w:pPr>
      <w:r>
        <w:rPr>
          <w:noProof/>
        </w:rPr>
        <w:t>10.2.3</w:t>
      </w:r>
      <w:r>
        <w:rPr>
          <w:rFonts w:eastAsiaTheme="minorEastAsia"/>
          <w:noProof/>
          <w:kern w:val="2"/>
          <w:sz w:val="24"/>
          <w:szCs w:val="24"/>
          <w:lang w:eastAsia="en-GB"/>
          <w14:ligatures w14:val="standardContextual"/>
        </w:rPr>
        <w:tab/>
      </w:r>
      <w:r>
        <w:rPr>
          <w:noProof/>
        </w:rPr>
        <w:t>Local Policy</w:t>
      </w:r>
      <w:r>
        <w:rPr>
          <w:noProof/>
        </w:rPr>
        <w:tab/>
      </w:r>
      <w:r>
        <w:rPr>
          <w:noProof/>
        </w:rPr>
        <w:fldChar w:fldCharType="begin"/>
      </w:r>
      <w:r>
        <w:rPr>
          <w:noProof/>
        </w:rPr>
        <w:instrText xml:space="preserve"> PAGEREF _Toc239776183 \h </w:instrText>
      </w:r>
      <w:r>
        <w:rPr>
          <w:noProof/>
        </w:rPr>
      </w:r>
      <w:r>
        <w:rPr>
          <w:noProof/>
        </w:rPr>
        <w:fldChar w:fldCharType="separate"/>
      </w:r>
      <w:r>
        <w:rPr>
          <w:noProof/>
        </w:rPr>
        <w:t>10-3</w:t>
      </w:r>
      <w:r>
        <w:rPr>
          <w:noProof/>
        </w:rPr>
        <w:fldChar w:fldCharType="end"/>
      </w:r>
    </w:p>
    <w:p w14:paraId="3B9354FE" w14:textId="6F8B5BBD" w:rsidR="007D6190" w:rsidRDefault="007D6190">
      <w:pPr>
        <w:pStyle w:val="TOC3"/>
        <w:tabs>
          <w:tab w:val="left" w:pos="1440"/>
        </w:tabs>
        <w:rPr>
          <w:rFonts w:eastAsiaTheme="minorEastAsia"/>
          <w:noProof/>
          <w:kern w:val="2"/>
          <w:sz w:val="24"/>
          <w:szCs w:val="24"/>
          <w:lang w:eastAsia="en-GB"/>
          <w14:ligatures w14:val="standardContextual"/>
        </w:rPr>
      </w:pPr>
      <w:r>
        <w:rPr>
          <w:noProof/>
        </w:rPr>
        <w:t>10.2.4</w:t>
      </w:r>
      <w:r>
        <w:rPr>
          <w:rFonts w:eastAsiaTheme="minorEastAsia"/>
          <w:noProof/>
          <w:kern w:val="2"/>
          <w:sz w:val="24"/>
          <w:szCs w:val="24"/>
          <w:lang w:eastAsia="en-GB"/>
          <w14:ligatures w14:val="standardContextual"/>
        </w:rPr>
        <w:tab/>
      </w:r>
      <w:r>
        <w:rPr>
          <w:noProof/>
        </w:rPr>
        <w:t>Guidance</w:t>
      </w:r>
      <w:r>
        <w:rPr>
          <w:noProof/>
        </w:rPr>
        <w:tab/>
      </w:r>
      <w:r>
        <w:rPr>
          <w:noProof/>
        </w:rPr>
        <w:fldChar w:fldCharType="begin"/>
      </w:r>
      <w:r>
        <w:rPr>
          <w:noProof/>
        </w:rPr>
        <w:instrText xml:space="preserve"> PAGEREF _Toc239776184 \h </w:instrText>
      </w:r>
      <w:r>
        <w:rPr>
          <w:noProof/>
        </w:rPr>
      </w:r>
      <w:r>
        <w:rPr>
          <w:noProof/>
        </w:rPr>
        <w:fldChar w:fldCharType="separate"/>
      </w:r>
      <w:r>
        <w:rPr>
          <w:noProof/>
        </w:rPr>
        <w:t>10-3</w:t>
      </w:r>
      <w:r>
        <w:rPr>
          <w:noProof/>
        </w:rPr>
        <w:fldChar w:fldCharType="end"/>
      </w:r>
    </w:p>
    <w:p w14:paraId="1E30558A" w14:textId="744FCB8D" w:rsidR="007D6190" w:rsidRDefault="007D6190">
      <w:pPr>
        <w:pStyle w:val="TOC2"/>
        <w:rPr>
          <w:rFonts w:eastAsiaTheme="minorEastAsia"/>
          <w:noProof/>
          <w:kern w:val="2"/>
          <w:sz w:val="24"/>
          <w:szCs w:val="24"/>
          <w:lang w:eastAsia="en-GB"/>
          <w14:ligatures w14:val="standardContextual"/>
        </w:rPr>
      </w:pPr>
      <w:r>
        <w:rPr>
          <w:noProof/>
        </w:rPr>
        <w:t>10.3 Methodology</w:t>
      </w:r>
      <w:r>
        <w:rPr>
          <w:noProof/>
        </w:rPr>
        <w:tab/>
      </w:r>
      <w:r>
        <w:rPr>
          <w:noProof/>
        </w:rPr>
        <w:fldChar w:fldCharType="begin"/>
      </w:r>
      <w:r>
        <w:rPr>
          <w:noProof/>
        </w:rPr>
        <w:instrText xml:space="preserve"> PAGEREF _Toc239776185 \h </w:instrText>
      </w:r>
      <w:r>
        <w:rPr>
          <w:noProof/>
        </w:rPr>
      </w:r>
      <w:r>
        <w:rPr>
          <w:noProof/>
        </w:rPr>
        <w:fldChar w:fldCharType="separate"/>
      </w:r>
      <w:r>
        <w:rPr>
          <w:noProof/>
        </w:rPr>
        <w:t>10-4</w:t>
      </w:r>
      <w:r>
        <w:rPr>
          <w:noProof/>
        </w:rPr>
        <w:fldChar w:fldCharType="end"/>
      </w:r>
    </w:p>
    <w:p w14:paraId="3F4E4AA0" w14:textId="352E471B" w:rsidR="007D6190" w:rsidRDefault="007D6190">
      <w:pPr>
        <w:pStyle w:val="TOC3"/>
        <w:tabs>
          <w:tab w:val="left" w:pos="1440"/>
        </w:tabs>
        <w:rPr>
          <w:rFonts w:eastAsiaTheme="minorEastAsia"/>
          <w:noProof/>
          <w:kern w:val="2"/>
          <w:sz w:val="24"/>
          <w:szCs w:val="24"/>
          <w:lang w:eastAsia="en-GB"/>
          <w14:ligatures w14:val="standardContextual"/>
        </w:rPr>
      </w:pPr>
      <w:r>
        <w:rPr>
          <w:noProof/>
        </w:rPr>
        <w:t>10.3.1</w:t>
      </w:r>
      <w:r>
        <w:rPr>
          <w:rFonts w:eastAsiaTheme="minorEastAsia"/>
          <w:noProof/>
          <w:kern w:val="2"/>
          <w:sz w:val="24"/>
          <w:szCs w:val="24"/>
          <w:lang w:eastAsia="en-GB"/>
          <w14:ligatures w14:val="standardContextual"/>
        </w:rPr>
        <w:tab/>
      </w:r>
      <w:r>
        <w:rPr>
          <w:noProof/>
        </w:rPr>
        <w:t>Lifecycle GHG Impact Assessment</w:t>
      </w:r>
      <w:r>
        <w:rPr>
          <w:noProof/>
        </w:rPr>
        <w:tab/>
      </w:r>
      <w:r>
        <w:rPr>
          <w:noProof/>
        </w:rPr>
        <w:fldChar w:fldCharType="begin"/>
      </w:r>
      <w:r>
        <w:rPr>
          <w:noProof/>
        </w:rPr>
        <w:instrText xml:space="preserve"> PAGEREF _Toc239776186 \h </w:instrText>
      </w:r>
      <w:r>
        <w:rPr>
          <w:noProof/>
        </w:rPr>
      </w:r>
      <w:r>
        <w:rPr>
          <w:noProof/>
        </w:rPr>
        <w:fldChar w:fldCharType="separate"/>
      </w:r>
      <w:r>
        <w:rPr>
          <w:noProof/>
        </w:rPr>
        <w:t>10-4</w:t>
      </w:r>
      <w:r>
        <w:rPr>
          <w:noProof/>
        </w:rPr>
        <w:fldChar w:fldCharType="end"/>
      </w:r>
    </w:p>
    <w:p w14:paraId="3991BE82" w14:textId="5521D7D5" w:rsidR="007D6190" w:rsidRDefault="007D6190">
      <w:pPr>
        <w:pStyle w:val="TOC3"/>
        <w:tabs>
          <w:tab w:val="left" w:pos="1440"/>
        </w:tabs>
        <w:rPr>
          <w:rFonts w:eastAsiaTheme="minorEastAsia"/>
          <w:noProof/>
          <w:kern w:val="2"/>
          <w:sz w:val="24"/>
          <w:szCs w:val="24"/>
          <w:lang w:eastAsia="en-GB"/>
          <w14:ligatures w14:val="standardContextual"/>
        </w:rPr>
      </w:pPr>
      <w:r>
        <w:rPr>
          <w:noProof/>
        </w:rPr>
        <w:t>10.3.2</w:t>
      </w:r>
      <w:r>
        <w:rPr>
          <w:rFonts w:eastAsiaTheme="minorEastAsia"/>
          <w:noProof/>
          <w:kern w:val="2"/>
          <w:sz w:val="24"/>
          <w:szCs w:val="24"/>
          <w:lang w:eastAsia="en-GB"/>
          <w14:ligatures w14:val="standardContextual"/>
        </w:rPr>
        <w:tab/>
      </w:r>
      <w:r>
        <w:rPr>
          <w:noProof/>
        </w:rPr>
        <w:t>Climate Change Risk Assessment</w:t>
      </w:r>
      <w:r>
        <w:rPr>
          <w:noProof/>
        </w:rPr>
        <w:tab/>
      </w:r>
      <w:r>
        <w:rPr>
          <w:noProof/>
        </w:rPr>
        <w:fldChar w:fldCharType="begin"/>
      </w:r>
      <w:r>
        <w:rPr>
          <w:noProof/>
        </w:rPr>
        <w:instrText xml:space="preserve"> PAGEREF _Toc239776187 \h </w:instrText>
      </w:r>
      <w:r>
        <w:rPr>
          <w:noProof/>
        </w:rPr>
      </w:r>
      <w:r>
        <w:rPr>
          <w:noProof/>
        </w:rPr>
        <w:fldChar w:fldCharType="separate"/>
      </w:r>
      <w:r>
        <w:rPr>
          <w:noProof/>
        </w:rPr>
        <w:t>10-7</w:t>
      </w:r>
      <w:r>
        <w:rPr>
          <w:noProof/>
        </w:rPr>
        <w:fldChar w:fldCharType="end"/>
      </w:r>
    </w:p>
    <w:p w14:paraId="274647A9" w14:textId="5CB56C93" w:rsidR="007D6190" w:rsidRDefault="007D6190">
      <w:pPr>
        <w:pStyle w:val="TOC3"/>
        <w:tabs>
          <w:tab w:val="left" w:pos="1440"/>
        </w:tabs>
        <w:rPr>
          <w:rFonts w:eastAsiaTheme="minorEastAsia"/>
          <w:noProof/>
          <w:kern w:val="2"/>
          <w:sz w:val="24"/>
          <w:szCs w:val="24"/>
          <w:lang w:eastAsia="en-GB"/>
          <w14:ligatures w14:val="standardContextual"/>
        </w:rPr>
      </w:pPr>
      <w:r>
        <w:rPr>
          <w:noProof/>
        </w:rPr>
        <w:t>10.3.3</w:t>
      </w:r>
      <w:r>
        <w:rPr>
          <w:rFonts w:eastAsiaTheme="minorEastAsia"/>
          <w:noProof/>
          <w:kern w:val="2"/>
          <w:sz w:val="24"/>
          <w:szCs w:val="24"/>
          <w:lang w:eastAsia="en-GB"/>
          <w14:ligatures w14:val="standardContextual"/>
        </w:rPr>
        <w:tab/>
      </w:r>
      <w:r>
        <w:rPr>
          <w:noProof/>
        </w:rPr>
        <w:t>In-Combination Climate Change Impact Assessment</w:t>
      </w:r>
      <w:r>
        <w:rPr>
          <w:noProof/>
        </w:rPr>
        <w:tab/>
      </w:r>
      <w:r>
        <w:rPr>
          <w:noProof/>
        </w:rPr>
        <w:fldChar w:fldCharType="begin"/>
      </w:r>
      <w:r>
        <w:rPr>
          <w:noProof/>
        </w:rPr>
        <w:instrText xml:space="preserve"> PAGEREF _Toc239776188 \h </w:instrText>
      </w:r>
      <w:r>
        <w:rPr>
          <w:noProof/>
        </w:rPr>
      </w:r>
      <w:r>
        <w:rPr>
          <w:noProof/>
        </w:rPr>
        <w:fldChar w:fldCharType="separate"/>
      </w:r>
      <w:r>
        <w:rPr>
          <w:noProof/>
        </w:rPr>
        <w:t>10-10</w:t>
      </w:r>
      <w:r>
        <w:rPr>
          <w:noProof/>
        </w:rPr>
        <w:fldChar w:fldCharType="end"/>
      </w:r>
    </w:p>
    <w:p w14:paraId="4E37EE58" w14:textId="742D3B7E" w:rsidR="007D6190" w:rsidRDefault="007D6190">
      <w:pPr>
        <w:pStyle w:val="TOC3"/>
        <w:tabs>
          <w:tab w:val="left" w:pos="1440"/>
        </w:tabs>
        <w:rPr>
          <w:rFonts w:eastAsiaTheme="minorEastAsia"/>
          <w:noProof/>
          <w:kern w:val="2"/>
          <w:sz w:val="24"/>
          <w:szCs w:val="24"/>
          <w:lang w:eastAsia="en-GB"/>
          <w14:ligatures w14:val="standardContextual"/>
        </w:rPr>
      </w:pPr>
      <w:r>
        <w:rPr>
          <w:noProof/>
        </w:rPr>
        <w:t>10.3.4</w:t>
      </w:r>
      <w:r>
        <w:rPr>
          <w:rFonts w:eastAsiaTheme="minorEastAsia"/>
          <w:noProof/>
          <w:kern w:val="2"/>
          <w:sz w:val="24"/>
          <w:szCs w:val="24"/>
          <w:lang w:eastAsia="en-GB"/>
          <w14:ligatures w14:val="standardContextual"/>
        </w:rPr>
        <w:tab/>
      </w:r>
      <w:r>
        <w:rPr>
          <w:noProof/>
        </w:rPr>
        <w:t>Assumptions &amp; Limitations</w:t>
      </w:r>
      <w:r>
        <w:rPr>
          <w:noProof/>
        </w:rPr>
        <w:tab/>
      </w:r>
      <w:r>
        <w:rPr>
          <w:noProof/>
        </w:rPr>
        <w:fldChar w:fldCharType="begin"/>
      </w:r>
      <w:r>
        <w:rPr>
          <w:noProof/>
        </w:rPr>
        <w:instrText xml:space="preserve"> PAGEREF _Toc239776189 \h </w:instrText>
      </w:r>
      <w:r>
        <w:rPr>
          <w:noProof/>
        </w:rPr>
      </w:r>
      <w:r>
        <w:rPr>
          <w:noProof/>
        </w:rPr>
        <w:fldChar w:fldCharType="separate"/>
      </w:r>
      <w:r>
        <w:rPr>
          <w:noProof/>
        </w:rPr>
        <w:t>10-11</w:t>
      </w:r>
      <w:r>
        <w:rPr>
          <w:noProof/>
        </w:rPr>
        <w:fldChar w:fldCharType="end"/>
      </w:r>
    </w:p>
    <w:p w14:paraId="52BF788A" w14:textId="51DABD05" w:rsidR="007D6190" w:rsidRDefault="007D6190">
      <w:pPr>
        <w:pStyle w:val="TOC2"/>
        <w:rPr>
          <w:rFonts w:eastAsiaTheme="minorEastAsia"/>
          <w:noProof/>
          <w:kern w:val="2"/>
          <w:sz w:val="24"/>
          <w:szCs w:val="24"/>
          <w:lang w:eastAsia="en-GB"/>
          <w14:ligatures w14:val="standardContextual"/>
        </w:rPr>
      </w:pPr>
      <w:r>
        <w:rPr>
          <w:noProof/>
        </w:rPr>
        <w:t>10.4 Baseline Environment</w:t>
      </w:r>
      <w:r>
        <w:rPr>
          <w:noProof/>
        </w:rPr>
        <w:tab/>
      </w:r>
      <w:r>
        <w:rPr>
          <w:noProof/>
        </w:rPr>
        <w:fldChar w:fldCharType="begin"/>
      </w:r>
      <w:r>
        <w:rPr>
          <w:noProof/>
        </w:rPr>
        <w:instrText xml:space="preserve"> PAGEREF _Toc239776190 \h </w:instrText>
      </w:r>
      <w:r>
        <w:rPr>
          <w:noProof/>
        </w:rPr>
      </w:r>
      <w:r>
        <w:rPr>
          <w:noProof/>
        </w:rPr>
        <w:fldChar w:fldCharType="separate"/>
      </w:r>
      <w:r>
        <w:rPr>
          <w:noProof/>
        </w:rPr>
        <w:t>10-12</w:t>
      </w:r>
      <w:r>
        <w:rPr>
          <w:noProof/>
        </w:rPr>
        <w:fldChar w:fldCharType="end"/>
      </w:r>
    </w:p>
    <w:p w14:paraId="1680266B" w14:textId="37A12963" w:rsidR="007D6190" w:rsidRDefault="007D6190">
      <w:pPr>
        <w:pStyle w:val="TOC3"/>
        <w:tabs>
          <w:tab w:val="left" w:pos="1440"/>
        </w:tabs>
        <w:rPr>
          <w:rFonts w:eastAsiaTheme="minorEastAsia"/>
          <w:noProof/>
          <w:kern w:val="2"/>
          <w:sz w:val="24"/>
          <w:szCs w:val="24"/>
          <w:lang w:eastAsia="en-GB"/>
          <w14:ligatures w14:val="standardContextual"/>
        </w:rPr>
      </w:pPr>
      <w:r>
        <w:rPr>
          <w:noProof/>
        </w:rPr>
        <w:t>10.4.1</w:t>
      </w:r>
      <w:r>
        <w:rPr>
          <w:rFonts w:eastAsiaTheme="minorEastAsia"/>
          <w:noProof/>
          <w:kern w:val="2"/>
          <w:sz w:val="24"/>
          <w:szCs w:val="24"/>
          <w:lang w:eastAsia="en-GB"/>
          <w14:ligatures w14:val="standardContextual"/>
        </w:rPr>
        <w:tab/>
      </w:r>
      <w:r>
        <w:rPr>
          <w:noProof/>
        </w:rPr>
        <w:t>Lifecycle GHG Assessment</w:t>
      </w:r>
      <w:r>
        <w:rPr>
          <w:noProof/>
        </w:rPr>
        <w:tab/>
      </w:r>
      <w:r>
        <w:rPr>
          <w:noProof/>
        </w:rPr>
        <w:fldChar w:fldCharType="begin"/>
      </w:r>
      <w:r>
        <w:rPr>
          <w:noProof/>
        </w:rPr>
        <w:instrText xml:space="preserve"> PAGEREF _Toc239776191 \h </w:instrText>
      </w:r>
      <w:r>
        <w:rPr>
          <w:noProof/>
        </w:rPr>
      </w:r>
      <w:r>
        <w:rPr>
          <w:noProof/>
        </w:rPr>
        <w:fldChar w:fldCharType="separate"/>
      </w:r>
      <w:r>
        <w:rPr>
          <w:noProof/>
        </w:rPr>
        <w:t>10-12</w:t>
      </w:r>
      <w:r>
        <w:rPr>
          <w:noProof/>
        </w:rPr>
        <w:fldChar w:fldCharType="end"/>
      </w:r>
    </w:p>
    <w:p w14:paraId="4D4E9A02" w14:textId="4F1F5EB9" w:rsidR="007D6190" w:rsidRDefault="007D6190">
      <w:pPr>
        <w:pStyle w:val="TOC3"/>
        <w:tabs>
          <w:tab w:val="left" w:pos="1440"/>
        </w:tabs>
        <w:rPr>
          <w:rFonts w:eastAsiaTheme="minorEastAsia"/>
          <w:noProof/>
          <w:kern w:val="2"/>
          <w:sz w:val="24"/>
          <w:szCs w:val="24"/>
          <w:lang w:eastAsia="en-GB"/>
          <w14:ligatures w14:val="standardContextual"/>
        </w:rPr>
      </w:pPr>
      <w:r>
        <w:rPr>
          <w:noProof/>
        </w:rPr>
        <w:t>10.4.2</w:t>
      </w:r>
      <w:r>
        <w:rPr>
          <w:rFonts w:eastAsiaTheme="minorEastAsia"/>
          <w:noProof/>
          <w:kern w:val="2"/>
          <w:sz w:val="24"/>
          <w:szCs w:val="24"/>
          <w:lang w:eastAsia="en-GB"/>
          <w14:ligatures w14:val="standardContextual"/>
        </w:rPr>
        <w:tab/>
      </w:r>
      <w:r>
        <w:rPr>
          <w:noProof/>
        </w:rPr>
        <w:t>Climate Change Risk Assessment</w:t>
      </w:r>
      <w:r>
        <w:rPr>
          <w:noProof/>
        </w:rPr>
        <w:tab/>
      </w:r>
      <w:r>
        <w:rPr>
          <w:noProof/>
        </w:rPr>
        <w:fldChar w:fldCharType="begin"/>
      </w:r>
      <w:r>
        <w:rPr>
          <w:noProof/>
        </w:rPr>
        <w:instrText xml:space="preserve"> PAGEREF _Toc239776192 \h </w:instrText>
      </w:r>
      <w:r>
        <w:rPr>
          <w:noProof/>
        </w:rPr>
      </w:r>
      <w:r>
        <w:rPr>
          <w:noProof/>
        </w:rPr>
        <w:fldChar w:fldCharType="separate"/>
      </w:r>
      <w:r>
        <w:rPr>
          <w:noProof/>
        </w:rPr>
        <w:t>10-12</w:t>
      </w:r>
      <w:r>
        <w:rPr>
          <w:noProof/>
        </w:rPr>
        <w:fldChar w:fldCharType="end"/>
      </w:r>
    </w:p>
    <w:p w14:paraId="5B770EF9" w14:textId="6B5F539A" w:rsidR="007D6190" w:rsidRDefault="007D6190">
      <w:pPr>
        <w:pStyle w:val="TOC3"/>
        <w:tabs>
          <w:tab w:val="left" w:pos="1440"/>
        </w:tabs>
        <w:rPr>
          <w:rFonts w:eastAsiaTheme="minorEastAsia"/>
          <w:noProof/>
          <w:kern w:val="2"/>
          <w:sz w:val="24"/>
          <w:szCs w:val="24"/>
          <w:lang w:eastAsia="en-GB"/>
          <w14:ligatures w14:val="standardContextual"/>
        </w:rPr>
      </w:pPr>
      <w:r>
        <w:rPr>
          <w:noProof/>
        </w:rPr>
        <w:t>10.4.3</w:t>
      </w:r>
      <w:r>
        <w:rPr>
          <w:rFonts w:eastAsiaTheme="minorEastAsia"/>
          <w:noProof/>
          <w:kern w:val="2"/>
          <w:sz w:val="24"/>
          <w:szCs w:val="24"/>
          <w:lang w:eastAsia="en-GB"/>
          <w14:ligatures w14:val="standardContextual"/>
        </w:rPr>
        <w:tab/>
      </w:r>
      <w:r>
        <w:rPr>
          <w:noProof/>
        </w:rPr>
        <w:t>Future Receiving Environment</w:t>
      </w:r>
      <w:r>
        <w:rPr>
          <w:noProof/>
        </w:rPr>
        <w:tab/>
      </w:r>
      <w:r>
        <w:rPr>
          <w:noProof/>
        </w:rPr>
        <w:fldChar w:fldCharType="begin"/>
      </w:r>
      <w:r>
        <w:rPr>
          <w:noProof/>
        </w:rPr>
        <w:instrText xml:space="preserve"> PAGEREF _Toc239776193 \h </w:instrText>
      </w:r>
      <w:r>
        <w:rPr>
          <w:noProof/>
        </w:rPr>
      </w:r>
      <w:r>
        <w:rPr>
          <w:noProof/>
        </w:rPr>
        <w:fldChar w:fldCharType="separate"/>
      </w:r>
      <w:r>
        <w:rPr>
          <w:noProof/>
        </w:rPr>
        <w:t>10-13</w:t>
      </w:r>
      <w:r>
        <w:rPr>
          <w:noProof/>
        </w:rPr>
        <w:fldChar w:fldCharType="end"/>
      </w:r>
    </w:p>
    <w:p w14:paraId="018654E8" w14:textId="6C9B65A5" w:rsidR="007D6190" w:rsidRDefault="007D6190">
      <w:pPr>
        <w:pStyle w:val="TOC2"/>
        <w:rPr>
          <w:rFonts w:eastAsiaTheme="minorEastAsia"/>
          <w:noProof/>
          <w:kern w:val="2"/>
          <w:sz w:val="24"/>
          <w:szCs w:val="24"/>
          <w:lang w:eastAsia="en-GB"/>
          <w14:ligatures w14:val="standardContextual"/>
        </w:rPr>
      </w:pPr>
      <w:r>
        <w:rPr>
          <w:noProof/>
        </w:rPr>
        <w:t>10.5 Embedded Mitigation Measures</w:t>
      </w:r>
      <w:r>
        <w:rPr>
          <w:noProof/>
        </w:rPr>
        <w:tab/>
      </w:r>
      <w:r>
        <w:rPr>
          <w:noProof/>
        </w:rPr>
        <w:fldChar w:fldCharType="begin"/>
      </w:r>
      <w:r>
        <w:rPr>
          <w:noProof/>
        </w:rPr>
        <w:instrText xml:space="preserve"> PAGEREF _Toc239776194 \h </w:instrText>
      </w:r>
      <w:r>
        <w:rPr>
          <w:noProof/>
        </w:rPr>
      </w:r>
      <w:r>
        <w:rPr>
          <w:noProof/>
        </w:rPr>
        <w:fldChar w:fldCharType="separate"/>
      </w:r>
      <w:r>
        <w:rPr>
          <w:noProof/>
        </w:rPr>
        <w:t>10-19</w:t>
      </w:r>
      <w:r>
        <w:rPr>
          <w:noProof/>
        </w:rPr>
        <w:fldChar w:fldCharType="end"/>
      </w:r>
    </w:p>
    <w:p w14:paraId="1973F1B8" w14:textId="67EE4A8A" w:rsidR="007D6190" w:rsidRDefault="007D6190">
      <w:pPr>
        <w:pStyle w:val="TOC3"/>
        <w:tabs>
          <w:tab w:val="left" w:pos="1440"/>
        </w:tabs>
        <w:rPr>
          <w:rFonts w:eastAsiaTheme="minorEastAsia"/>
          <w:noProof/>
          <w:kern w:val="2"/>
          <w:sz w:val="24"/>
          <w:szCs w:val="24"/>
          <w:lang w:eastAsia="en-GB"/>
          <w14:ligatures w14:val="standardContextual"/>
        </w:rPr>
      </w:pPr>
      <w:r>
        <w:rPr>
          <w:noProof/>
        </w:rPr>
        <w:t>10.5.1</w:t>
      </w:r>
      <w:r>
        <w:rPr>
          <w:rFonts w:eastAsiaTheme="minorEastAsia"/>
          <w:noProof/>
          <w:kern w:val="2"/>
          <w:sz w:val="24"/>
          <w:szCs w:val="24"/>
          <w:lang w:eastAsia="en-GB"/>
          <w14:ligatures w14:val="standardContextual"/>
        </w:rPr>
        <w:tab/>
      </w:r>
      <w:r>
        <w:rPr>
          <w:noProof/>
        </w:rPr>
        <w:t>Lifecycle GHG Assessment</w:t>
      </w:r>
      <w:r>
        <w:rPr>
          <w:noProof/>
        </w:rPr>
        <w:tab/>
      </w:r>
      <w:r>
        <w:rPr>
          <w:noProof/>
        </w:rPr>
        <w:fldChar w:fldCharType="begin"/>
      </w:r>
      <w:r>
        <w:rPr>
          <w:noProof/>
        </w:rPr>
        <w:instrText xml:space="preserve"> PAGEREF _Toc239776195 \h </w:instrText>
      </w:r>
      <w:r>
        <w:rPr>
          <w:noProof/>
        </w:rPr>
      </w:r>
      <w:r>
        <w:rPr>
          <w:noProof/>
        </w:rPr>
        <w:fldChar w:fldCharType="separate"/>
      </w:r>
      <w:r>
        <w:rPr>
          <w:noProof/>
        </w:rPr>
        <w:t>10-19</w:t>
      </w:r>
      <w:r>
        <w:rPr>
          <w:noProof/>
        </w:rPr>
        <w:fldChar w:fldCharType="end"/>
      </w:r>
    </w:p>
    <w:p w14:paraId="100CE47C" w14:textId="3051C288" w:rsidR="007D6190" w:rsidRDefault="007D6190">
      <w:pPr>
        <w:pStyle w:val="TOC3"/>
        <w:tabs>
          <w:tab w:val="left" w:pos="1440"/>
        </w:tabs>
        <w:rPr>
          <w:rFonts w:eastAsiaTheme="minorEastAsia"/>
          <w:noProof/>
          <w:kern w:val="2"/>
          <w:sz w:val="24"/>
          <w:szCs w:val="24"/>
          <w:lang w:eastAsia="en-GB"/>
          <w14:ligatures w14:val="standardContextual"/>
        </w:rPr>
      </w:pPr>
      <w:r>
        <w:rPr>
          <w:noProof/>
        </w:rPr>
        <w:t>10.5.2</w:t>
      </w:r>
      <w:r>
        <w:rPr>
          <w:rFonts w:eastAsiaTheme="minorEastAsia"/>
          <w:noProof/>
          <w:kern w:val="2"/>
          <w:sz w:val="24"/>
          <w:szCs w:val="24"/>
          <w:lang w:eastAsia="en-GB"/>
          <w14:ligatures w14:val="standardContextual"/>
        </w:rPr>
        <w:tab/>
      </w:r>
      <w:r>
        <w:rPr>
          <w:noProof/>
        </w:rPr>
        <w:t>Climate Change Risk Assessment and In-Combination Climate Change Impact Assessment</w:t>
      </w:r>
      <w:r>
        <w:rPr>
          <w:noProof/>
        </w:rPr>
        <w:tab/>
      </w:r>
      <w:r>
        <w:rPr>
          <w:noProof/>
        </w:rPr>
        <w:fldChar w:fldCharType="begin"/>
      </w:r>
      <w:r>
        <w:rPr>
          <w:noProof/>
        </w:rPr>
        <w:instrText xml:space="preserve"> PAGEREF _Toc239776196 \h </w:instrText>
      </w:r>
      <w:r>
        <w:rPr>
          <w:noProof/>
        </w:rPr>
      </w:r>
      <w:r>
        <w:rPr>
          <w:noProof/>
        </w:rPr>
        <w:fldChar w:fldCharType="separate"/>
      </w:r>
      <w:r>
        <w:rPr>
          <w:noProof/>
        </w:rPr>
        <w:t>10-19</w:t>
      </w:r>
      <w:r>
        <w:rPr>
          <w:noProof/>
        </w:rPr>
        <w:fldChar w:fldCharType="end"/>
      </w:r>
    </w:p>
    <w:p w14:paraId="59A61058" w14:textId="6CF77ED8" w:rsidR="007D6190" w:rsidRDefault="007D6190">
      <w:pPr>
        <w:pStyle w:val="TOC2"/>
        <w:rPr>
          <w:rFonts w:eastAsiaTheme="minorEastAsia"/>
          <w:noProof/>
          <w:kern w:val="2"/>
          <w:sz w:val="24"/>
          <w:szCs w:val="24"/>
          <w:lang w:eastAsia="en-GB"/>
          <w14:ligatures w14:val="standardContextual"/>
        </w:rPr>
      </w:pPr>
      <w:r>
        <w:rPr>
          <w:noProof/>
        </w:rPr>
        <w:t>10.6 Potential Impacts</w:t>
      </w:r>
      <w:r>
        <w:rPr>
          <w:noProof/>
        </w:rPr>
        <w:tab/>
      </w:r>
      <w:r>
        <w:rPr>
          <w:noProof/>
        </w:rPr>
        <w:fldChar w:fldCharType="begin"/>
      </w:r>
      <w:r>
        <w:rPr>
          <w:noProof/>
        </w:rPr>
        <w:instrText xml:space="preserve"> PAGEREF _Toc239776197 \h </w:instrText>
      </w:r>
      <w:r>
        <w:rPr>
          <w:noProof/>
        </w:rPr>
      </w:r>
      <w:r>
        <w:rPr>
          <w:noProof/>
        </w:rPr>
        <w:fldChar w:fldCharType="separate"/>
      </w:r>
      <w:r>
        <w:rPr>
          <w:noProof/>
        </w:rPr>
        <w:t>10-20</w:t>
      </w:r>
      <w:r>
        <w:rPr>
          <w:noProof/>
        </w:rPr>
        <w:fldChar w:fldCharType="end"/>
      </w:r>
    </w:p>
    <w:p w14:paraId="52CDF75E" w14:textId="7CF0E332" w:rsidR="007D6190" w:rsidRDefault="007D6190">
      <w:pPr>
        <w:pStyle w:val="TOC3"/>
        <w:tabs>
          <w:tab w:val="left" w:pos="1440"/>
        </w:tabs>
        <w:rPr>
          <w:rFonts w:eastAsiaTheme="minorEastAsia"/>
          <w:noProof/>
          <w:kern w:val="2"/>
          <w:sz w:val="24"/>
          <w:szCs w:val="24"/>
          <w:lang w:eastAsia="en-GB"/>
          <w14:ligatures w14:val="standardContextual"/>
        </w:rPr>
      </w:pPr>
      <w:r>
        <w:rPr>
          <w:noProof/>
        </w:rPr>
        <w:t>10.6.1</w:t>
      </w:r>
      <w:r>
        <w:rPr>
          <w:rFonts w:eastAsiaTheme="minorEastAsia"/>
          <w:noProof/>
          <w:kern w:val="2"/>
          <w:sz w:val="24"/>
          <w:szCs w:val="24"/>
          <w:lang w:eastAsia="en-GB"/>
          <w14:ligatures w14:val="standardContextual"/>
        </w:rPr>
        <w:tab/>
      </w:r>
      <w:r>
        <w:rPr>
          <w:noProof/>
        </w:rPr>
        <w:t>Lifecycle GHG Assessment</w:t>
      </w:r>
      <w:r>
        <w:rPr>
          <w:noProof/>
        </w:rPr>
        <w:tab/>
      </w:r>
      <w:r>
        <w:rPr>
          <w:noProof/>
        </w:rPr>
        <w:fldChar w:fldCharType="begin"/>
      </w:r>
      <w:r>
        <w:rPr>
          <w:noProof/>
        </w:rPr>
        <w:instrText xml:space="preserve"> PAGEREF _Toc239776198 \h </w:instrText>
      </w:r>
      <w:r>
        <w:rPr>
          <w:noProof/>
        </w:rPr>
      </w:r>
      <w:r>
        <w:rPr>
          <w:noProof/>
        </w:rPr>
        <w:fldChar w:fldCharType="separate"/>
      </w:r>
      <w:r>
        <w:rPr>
          <w:noProof/>
        </w:rPr>
        <w:t>10-20</w:t>
      </w:r>
      <w:r>
        <w:rPr>
          <w:noProof/>
        </w:rPr>
        <w:fldChar w:fldCharType="end"/>
      </w:r>
    </w:p>
    <w:p w14:paraId="4297A8D1" w14:textId="465692CC" w:rsidR="007D6190" w:rsidRDefault="007D6190">
      <w:pPr>
        <w:pStyle w:val="TOC3"/>
        <w:tabs>
          <w:tab w:val="left" w:pos="1440"/>
        </w:tabs>
        <w:rPr>
          <w:rFonts w:eastAsiaTheme="minorEastAsia"/>
          <w:noProof/>
          <w:kern w:val="2"/>
          <w:sz w:val="24"/>
          <w:szCs w:val="24"/>
          <w:lang w:eastAsia="en-GB"/>
          <w14:ligatures w14:val="standardContextual"/>
        </w:rPr>
      </w:pPr>
      <w:r>
        <w:rPr>
          <w:noProof/>
        </w:rPr>
        <w:t>10.6.2</w:t>
      </w:r>
      <w:r>
        <w:rPr>
          <w:rFonts w:eastAsiaTheme="minorEastAsia"/>
          <w:noProof/>
          <w:kern w:val="2"/>
          <w:sz w:val="24"/>
          <w:szCs w:val="24"/>
          <w:lang w:eastAsia="en-GB"/>
          <w14:ligatures w14:val="standardContextual"/>
        </w:rPr>
        <w:tab/>
      </w:r>
      <w:r>
        <w:rPr>
          <w:noProof/>
        </w:rPr>
        <w:t>Climate Change Risk Assessment</w:t>
      </w:r>
      <w:r>
        <w:rPr>
          <w:noProof/>
        </w:rPr>
        <w:tab/>
      </w:r>
      <w:r>
        <w:rPr>
          <w:noProof/>
        </w:rPr>
        <w:fldChar w:fldCharType="begin"/>
      </w:r>
      <w:r>
        <w:rPr>
          <w:noProof/>
        </w:rPr>
        <w:instrText xml:space="preserve"> PAGEREF _Toc239776199 \h </w:instrText>
      </w:r>
      <w:r>
        <w:rPr>
          <w:noProof/>
        </w:rPr>
      </w:r>
      <w:r>
        <w:rPr>
          <w:noProof/>
        </w:rPr>
        <w:fldChar w:fldCharType="separate"/>
      </w:r>
      <w:r>
        <w:rPr>
          <w:noProof/>
        </w:rPr>
        <w:t>10-23</w:t>
      </w:r>
      <w:r>
        <w:rPr>
          <w:noProof/>
        </w:rPr>
        <w:fldChar w:fldCharType="end"/>
      </w:r>
    </w:p>
    <w:p w14:paraId="4F342155" w14:textId="7D765EA1" w:rsidR="007D6190" w:rsidRDefault="007D6190">
      <w:pPr>
        <w:pStyle w:val="TOC3"/>
        <w:tabs>
          <w:tab w:val="left" w:pos="1440"/>
        </w:tabs>
        <w:rPr>
          <w:rFonts w:eastAsiaTheme="minorEastAsia"/>
          <w:noProof/>
          <w:kern w:val="2"/>
          <w:sz w:val="24"/>
          <w:szCs w:val="24"/>
          <w:lang w:eastAsia="en-GB"/>
          <w14:ligatures w14:val="standardContextual"/>
        </w:rPr>
      </w:pPr>
      <w:r>
        <w:rPr>
          <w:noProof/>
        </w:rPr>
        <w:t>10.6.3</w:t>
      </w:r>
      <w:r>
        <w:rPr>
          <w:rFonts w:eastAsiaTheme="minorEastAsia"/>
          <w:noProof/>
          <w:kern w:val="2"/>
          <w:sz w:val="24"/>
          <w:szCs w:val="24"/>
          <w:lang w:eastAsia="en-GB"/>
          <w14:ligatures w14:val="standardContextual"/>
        </w:rPr>
        <w:tab/>
      </w:r>
      <w:r>
        <w:rPr>
          <w:noProof/>
        </w:rPr>
        <w:t>In-Combination Climate Change Impact Assessment</w:t>
      </w:r>
      <w:r>
        <w:rPr>
          <w:noProof/>
        </w:rPr>
        <w:tab/>
      </w:r>
      <w:r>
        <w:rPr>
          <w:noProof/>
        </w:rPr>
        <w:fldChar w:fldCharType="begin"/>
      </w:r>
      <w:r>
        <w:rPr>
          <w:noProof/>
        </w:rPr>
        <w:instrText xml:space="preserve"> PAGEREF _Toc239776200 \h </w:instrText>
      </w:r>
      <w:r>
        <w:rPr>
          <w:noProof/>
        </w:rPr>
      </w:r>
      <w:r>
        <w:rPr>
          <w:noProof/>
        </w:rPr>
        <w:fldChar w:fldCharType="separate"/>
      </w:r>
      <w:r>
        <w:rPr>
          <w:noProof/>
        </w:rPr>
        <w:t>10-24</w:t>
      </w:r>
      <w:r>
        <w:rPr>
          <w:noProof/>
        </w:rPr>
        <w:fldChar w:fldCharType="end"/>
      </w:r>
    </w:p>
    <w:p w14:paraId="1DEF97B1" w14:textId="7E3065C9" w:rsidR="007D6190" w:rsidRDefault="007D6190">
      <w:pPr>
        <w:pStyle w:val="TOC2"/>
        <w:rPr>
          <w:rFonts w:eastAsiaTheme="minorEastAsia"/>
          <w:noProof/>
          <w:kern w:val="2"/>
          <w:sz w:val="24"/>
          <w:szCs w:val="24"/>
          <w:lang w:eastAsia="en-GB"/>
          <w14:ligatures w14:val="standardContextual"/>
        </w:rPr>
      </w:pPr>
      <w:r>
        <w:rPr>
          <w:noProof/>
        </w:rPr>
        <w:t>10.7 Mitigation Measures</w:t>
      </w:r>
      <w:r>
        <w:rPr>
          <w:noProof/>
        </w:rPr>
        <w:tab/>
      </w:r>
      <w:r>
        <w:rPr>
          <w:noProof/>
        </w:rPr>
        <w:fldChar w:fldCharType="begin"/>
      </w:r>
      <w:r>
        <w:rPr>
          <w:noProof/>
        </w:rPr>
        <w:instrText xml:space="preserve"> PAGEREF _Toc239776201 \h </w:instrText>
      </w:r>
      <w:r>
        <w:rPr>
          <w:noProof/>
        </w:rPr>
      </w:r>
      <w:r>
        <w:rPr>
          <w:noProof/>
        </w:rPr>
        <w:fldChar w:fldCharType="separate"/>
      </w:r>
      <w:r>
        <w:rPr>
          <w:noProof/>
        </w:rPr>
        <w:t>10-24</w:t>
      </w:r>
      <w:r>
        <w:rPr>
          <w:noProof/>
        </w:rPr>
        <w:fldChar w:fldCharType="end"/>
      </w:r>
    </w:p>
    <w:p w14:paraId="0B9B24AA" w14:textId="08999BAA" w:rsidR="007D6190" w:rsidRDefault="007D6190">
      <w:pPr>
        <w:pStyle w:val="TOC3"/>
        <w:tabs>
          <w:tab w:val="left" w:pos="1440"/>
        </w:tabs>
        <w:rPr>
          <w:rFonts w:eastAsiaTheme="minorEastAsia"/>
          <w:noProof/>
          <w:kern w:val="2"/>
          <w:sz w:val="24"/>
          <w:szCs w:val="24"/>
          <w:lang w:eastAsia="en-GB"/>
          <w14:ligatures w14:val="standardContextual"/>
        </w:rPr>
      </w:pPr>
      <w:r>
        <w:rPr>
          <w:noProof/>
        </w:rPr>
        <w:t>10.7.1</w:t>
      </w:r>
      <w:r>
        <w:rPr>
          <w:rFonts w:eastAsiaTheme="minorEastAsia"/>
          <w:noProof/>
          <w:kern w:val="2"/>
          <w:sz w:val="24"/>
          <w:szCs w:val="24"/>
          <w:lang w:eastAsia="en-GB"/>
          <w14:ligatures w14:val="standardContextual"/>
        </w:rPr>
        <w:tab/>
      </w:r>
      <w:r>
        <w:rPr>
          <w:noProof/>
        </w:rPr>
        <w:t>Greenhouse Gas Assessment</w:t>
      </w:r>
      <w:r>
        <w:rPr>
          <w:noProof/>
        </w:rPr>
        <w:tab/>
      </w:r>
      <w:r>
        <w:rPr>
          <w:noProof/>
        </w:rPr>
        <w:fldChar w:fldCharType="begin"/>
      </w:r>
      <w:r>
        <w:rPr>
          <w:noProof/>
        </w:rPr>
        <w:instrText xml:space="preserve"> PAGEREF _Toc239776202 \h </w:instrText>
      </w:r>
      <w:r>
        <w:rPr>
          <w:noProof/>
        </w:rPr>
      </w:r>
      <w:r>
        <w:rPr>
          <w:noProof/>
        </w:rPr>
        <w:fldChar w:fldCharType="separate"/>
      </w:r>
      <w:r>
        <w:rPr>
          <w:noProof/>
        </w:rPr>
        <w:t>10-24</w:t>
      </w:r>
      <w:r>
        <w:rPr>
          <w:noProof/>
        </w:rPr>
        <w:fldChar w:fldCharType="end"/>
      </w:r>
    </w:p>
    <w:p w14:paraId="59DA4C8C" w14:textId="6F3600C5" w:rsidR="007D6190" w:rsidRDefault="007D6190">
      <w:pPr>
        <w:pStyle w:val="TOC3"/>
        <w:tabs>
          <w:tab w:val="left" w:pos="1440"/>
        </w:tabs>
        <w:rPr>
          <w:rFonts w:eastAsiaTheme="minorEastAsia"/>
          <w:noProof/>
          <w:kern w:val="2"/>
          <w:sz w:val="24"/>
          <w:szCs w:val="24"/>
          <w:lang w:eastAsia="en-GB"/>
          <w14:ligatures w14:val="standardContextual"/>
        </w:rPr>
      </w:pPr>
      <w:r>
        <w:rPr>
          <w:noProof/>
        </w:rPr>
        <w:t>10.7.2</w:t>
      </w:r>
      <w:r>
        <w:rPr>
          <w:rFonts w:eastAsiaTheme="minorEastAsia"/>
          <w:noProof/>
          <w:kern w:val="2"/>
          <w:sz w:val="24"/>
          <w:szCs w:val="24"/>
          <w:lang w:eastAsia="en-GB"/>
          <w14:ligatures w14:val="standardContextual"/>
        </w:rPr>
        <w:tab/>
      </w:r>
      <w:r>
        <w:rPr>
          <w:noProof/>
        </w:rPr>
        <w:t>Climate Change Risk Assessment</w:t>
      </w:r>
      <w:r>
        <w:rPr>
          <w:noProof/>
        </w:rPr>
        <w:tab/>
      </w:r>
      <w:r>
        <w:rPr>
          <w:noProof/>
        </w:rPr>
        <w:fldChar w:fldCharType="begin"/>
      </w:r>
      <w:r>
        <w:rPr>
          <w:noProof/>
        </w:rPr>
        <w:instrText xml:space="preserve"> PAGEREF _Toc239776203 \h </w:instrText>
      </w:r>
      <w:r>
        <w:rPr>
          <w:noProof/>
        </w:rPr>
      </w:r>
      <w:r>
        <w:rPr>
          <w:noProof/>
        </w:rPr>
        <w:fldChar w:fldCharType="separate"/>
      </w:r>
      <w:r>
        <w:rPr>
          <w:noProof/>
        </w:rPr>
        <w:t>10-24</w:t>
      </w:r>
      <w:r>
        <w:rPr>
          <w:noProof/>
        </w:rPr>
        <w:fldChar w:fldCharType="end"/>
      </w:r>
    </w:p>
    <w:p w14:paraId="26B778F1" w14:textId="7542B075" w:rsidR="007D6190" w:rsidRDefault="007D6190">
      <w:pPr>
        <w:pStyle w:val="TOC2"/>
        <w:rPr>
          <w:rFonts w:eastAsiaTheme="minorEastAsia"/>
          <w:noProof/>
          <w:kern w:val="2"/>
          <w:sz w:val="24"/>
          <w:szCs w:val="24"/>
          <w:lang w:eastAsia="en-GB"/>
          <w14:ligatures w14:val="standardContextual"/>
        </w:rPr>
      </w:pPr>
      <w:r>
        <w:rPr>
          <w:noProof/>
        </w:rPr>
        <w:t>10.8 Residual Impacts</w:t>
      </w:r>
      <w:r>
        <w:rPr>
          <w:noProof/>
        </w:rPr>
        <w:tab/>
      </w:r>
      <w:r>
        <w:rPr>
          <w:noProof/>
        </w:rPr>
        <w:fldChar w:fldCharType="begin"/>
      </w:r>
      <w:r>
        <w:rPr>
          <w:noProof/>
        </w:rPr>
        <w:instrText xml:space="preserve"> PAGEREF _Toc239776204 \h </w:instrText>
      </w:r>
      <w:r>
        <w:rPr>
          <w:noProof/>
        </w:rPr>
      </w:r>
      <w:r>
        <w:rPr>
          <w:noProof/>
        </w:rPr>
        <w:fldChar w:fldCharType="separate"/>
      </w:r>
      <w:r>
        <w:rPr>
          <w:noProof/>
        </w:rPr>
        <w:t>10-26</w:t>
      </w:r>
      <w:r>
        <w:rPr>
          <w:noProof/>
        </w:rPr>
        <w:fldChar w:fldCharType="end"/>
      </w:r>
    </w:p>
    <w:p w14:paraId="67A78679" w14:textId="1743518A" w:rsidR="007D6190" w:rsidRDefault="007D6190">
      <w:pPr>
        <w:pStyle w:val="TOC3"/>
        <w:tabs>
          <w:tab w:val="left" w:pos="1440"/>
        </w:tabs>
        <w:rPr>
          <w:rFonts w:eastAsiaTheme="minorEastAsia"/>
          <w:noProof/>
          <w:kern w:val="2"/>
          <w:sz w:val="24"/>
          <w:szCs w:val="24"/>
          <w:lang w:eastAsia="en-GB"/>
          <w14:ligatures w14:val="standardContextual"/>
        </w:rPr>
      </w:pPr>
      <w:r>
        <w:rPr>
          <w:noProof/>
        </w:rPr>
        <w:t>10.8.1</w:t>
      </w:r>
      <w:r>
        <w:rPr>
          <w:rFonts w:eastAsiaTheme="minorEastAsia"/>
          <w:noProof/>
          <w:kern w:val="2"/>
          <w:sz w:val="24"/>
          <w:szCs w:val="24"/>
          <w:lang w:eastAsia="en-GB"/>
          <w14:ligatures w14:val="standardContextual"/>
        </w:rPr>
        <w:tab/>
      </w:r>
      <w:r>
        <w:rPr>
          <w:noProof/>
        </w:rPr>
        <w:t>Lifecycle GHG Assessment</w:t>
      </w:r>
      <w:r>
        <w:rPr>
          <w:noProof/>
        </w:rPr>
        <w:tab/>
      </w:r>
      <w:r>
        <w:rPr>
          <w:noProof/>
        </w:rPr>
        <w:fldChar w:fldCharType="begin"/>
      </w:r>
      <w:r>
        <w:rPr>
          <w:noProof/>
        </w:rPr>
        <w:instrText xml:space="preserve"> PAGEREF _Toc239776205 \h </w:instrText>
      </w:r>
      <w:r>
        <w:rPr>
          <w:noProof/>
        </w:rPr>
      </w:r>
      <w:r>
        <w:rPr>
          <w:noProof/>
        </w:rPr>
        <w:fldChar w:fldCharType="separate"/>
      </w:r>
      <w:r>
        <w:rPr>
          <w:noProof/>
        </w:rPr>
        <w:t>10-26</w:t>
      </w:r>
      <w:r>
        <w:rPr>
          <w:noProof/>
        </w:rPr>
        <w:fldChar w:fldCharType="end"/>
      </w:r>
    </w:p>
    <w:p w14:paraId="20DEB064" w14:textId="53740443" w:rsidR="007D6190" w:rsidRDefault="007D6190">
      <w:pPr>
        <w:pStyle w:val="TOC3"/>
        <w:tabs>
          <w:tab w:val="left" w:pos="1440"/>
        </w:tabs>
        <w:rPr>
          <w:rFonts w:eastAsiaTheme="minorEastAsia"/>
          <w:noProof/>
          <w:kern w:val="2"/>
          <w:sz w:val="24"/>
          <w:szCs w:val="24"/>
          <w:lang w:eastAsia="en-GB"/>
          <w14:ligatures w14:val="standardContextual"/>
        </w:rPr>
      </w:pPr>
      <w:r>
        <w:rPr>
          <w:noProof/>
        </w:rPr>
        <w:t>10.8.2</w:t>
      </w:r>
      <w:r>
        <w:rPr>
          <w:rFonts w:eastAsiaTheme="minorEastAsia"/>
          <w:noProof/>
          <w:kern w:val="2"/>
          <w:sz w:val="24"/>
          <w:szCs w:val="24"/>
          <w:lang w:eastAsia="en-GB"/>
          <w14:ligatures w14:val="standardContextual"/>
        </w:rPr>
        <w:tab/>
      </w:r>
      <w:r>
        <w:rPr>
          <w:noProof/>
        </w:rPr>
        <w:t>Climate Change Risk Assessment</w:t>
      </w:r>
      <w:r>
        <w:rPr>
          <w:noProof/>
        </w:rPr>
        <w:tab/>
      </w:r>
      <w:r>
        <w:rPr>
          <w:noProof/>
        </w:rPr>
        <w:fldChar w:fldCharType="begin"/>
      </w:r>
      <w:r>
        <w:rPr>
          <w:noProof/>
        </w:rPr>
        <w:instrText xml:space="preserve"> PAGEREF _Toc239776206 \h </w:instrText>
      </w:r>
      <w:r>
        <w:rPr>
          <w:noProof/>
        </w:rPr>
      </w:r>
      <w:r>
        <w:rPr>
          <w:noProof/>
        </w:rPr>
        <w:fldChar w:fldCharType="separate"/>
      </w:r>
      <w:r>
        <w:rPr>
          <w:noProof/>
        </w:rPr>
        <w:t>10-26</w:t>
      </w:r>
      <w:r>
        <w:rPr>
          <w:noProof/>
        </w:rPr>
        <w:fldChar w:fldCharType="end"/>
      </w:r>
    </w:p>
    <w:p w14:paraId="1A21BD67" w14:textId="01618D39" w:rsidR="007D6190" w:rsidRDefault="007D6190">
      <w:pPr>
        <w:pStyle w:val="TOC3"/>
        <w:tabs>
          <w:tab w:val="left" w:pos="1440"/>
        </w:tabs>
        <w:rPr>
          <w:rFonts w:eastAsiaTheme="minorEastAsia"/>
          <w:noProof/>
          <w:kern w:val="2"/>
          <w:sz w:val="24"/>
          <w:szCs w:val="24"/>
          <w:lang w:eastAsia="en-GB"/>
          <w14:ligatures w14:val="standardContextual"/>
        </w:rPr>
      </w:pPr>
      <w:r>
        <w:rPr>
          <w:noProof/>
        </w:rPr>
        <w:t>10.8.3</w:t>
      </w:r>
      <w:r>
        <w:rPr>
          <w:rFonts w:eastAsiaTheme="minorEastAsia"/>
          <w:noProof/>
          <w:kern w:val="2"/>
          <w:sz w:val="24"/>
          <w:szCs w:val="24"/>
          <w:lang w:eastAsia="en-GB"/>
          <w14:ligatures w14:val="standardContextual"/>
        </w:rPr>
        <w:tab/>
      </w:r>
      <w:r>
        <w:rPr>
          <w:noProof/>
        </w:rPr>
        <w:t>In-combination Climate Change Impact Assessment</w:t>
      </w:r>
      <w:r>
        <w:rPr>
          <w:noProof/>
        </w:rPr>
        <w:tab/>
      </w:r>
      <w:r>
        <w:rPr>
          <w:noProof/>
        </w:rPr>
        <w:fldChar w:fldCharType="begin"/>
      </w:r>
      <w:r>
        <w:rPr>
          <w:noProof/>
        </w:rPr>
        <w:instrText xml:space="preserve"> PAGEREF _Toc239776207 \h </w:instrText>
      </w:r>
      <w:r>
        <w:rPr>
          <w:noProof/>
        </w:rPr>
      </w:r>
      <w:r>
        <w:rPr>
          <w:noProof/>
        </w:rPr>
        <w:fldChar w:fldCharType="separate"/>
      </w:r>
      <w:r>
        <w:rPr>
          <w:noProof/>
        </w:rPr>
        <w:t>10-26</w:t>
      </w:r>
      <w:r>
        <w:rPr>
          <w:noProof/>
        </w:rPr>
        <w:fldChar w:fldCharType="end"/>
      </w:r>
    </w:p>
    <w:p w14:paraId="1B6BE06D" w14:textId="66CFB653" w:rsidR="007D6190" w:rsidRDefault="007D6190">
      <w:pPr>
        <w:pStyle w:val="TOC2"/>
        <w:rPr>
          <w:rFonts w:eastAsiaTheme="minorEastAsia"/>
          <w:noProof/>
          <w:kern w:val="2"/>
          <w:sz w:val="24"/>
          <w:szCs w:val="24"/>
          <w:lang w:eastAsia="en-GB"/>
          <w14:ligatures w14:val="standardContextual"/>
        </w:rPr>
      </w:pPr>
      <w:r>
        <w:rPr>
          <w:noProof/>
        </w:rPr>
        <w:t>10.9 Cumulative Impacts</w:t>
      </w:r>
      <w:r>
        <w:rPr>
          <w:noProof/>
        </w:rPr>
        <w:tab/>
      </w:r>
      <w:r>
        <w:rPr>
          <w:noProof/>
        </w:rPr>
        <w:fldChar w:fldCharType="begin"/>
      </w:r>
      <w:r>
        <w:rPr>
          <w:noProof/>
        </w:rPr>
        <w:instrText xml:space="preserve"> PAGEREF _Toc239776208 \h </w:instrText>
      </w:r>
      <w:r>
        <w:rPr>
          <w:noProof/>
        </w:rPr>
      </w:r>
      <w:r>
        <w:rPr>
          <w:noProof/>
        </w:rPr>
        <w:fldChar w:fldCharType="separate"/>
      </w:r>
      <w:r>
        <w:rPr>
          <w:noProof/>
        </w:rPr>
        <w:t>10-29</w:t>
      </w:r>
      <w:r>
        <w:rPr>
          <w:noProof/>
        </w:rPr>
        <w:fldChar w:fldCharType="end"/>
      </w:r>
    </w:p>
    <w:p w14:paraId="148D7E6E" w14:textId="1148F5DD" w:rsidR="007D6190" w:rsidRDefault="007D6190">
      <w:pPr>
        <w:pStyle w:val="TOC3"/>
        <w:tabs>
          <w:tab w:val="left" w:pos="1440"/>
        </w:tabs>
        <w:rPr>
          <w:rFonts w:eastAsiaTheme="minorEastAsia"/>
          <w:noProof/>
          <w:kern w:val="2"/>
          <w:sz w:val="24"/>
          <w:szCs w:val="24"/>
          <w:lang w:eastAsia="en-GB"/>
          <w14:ligatures w14:val="standardContextual"/>
        </w:rPr>
      </w:pPr>
      <w:r>
        <w:rPr>
          <w:noProof/>
        </w:rPr>
        <w:t>10.9.1</w:t>
      </w:r>
      <w:r>
        <w:rPr>
          <w:rFonts w:eastAsiaTheme="minorEastAsia"/>
          <w:noProof/>
          <w:kern w:val="2"/>
          <w:sz w:val="24"/>
          <w:szCs w:val="24"/>
          <w:lang w:eastAsia="en-GB"/>
          <w14:ligatures w14:val="standardContextual"/>
        </w:rPr>
        <w:tab/>
      </w:r>
      <w:r>
        <w:rPr>
          <w:noProof/>
        </w:rPr>
        <w:t>Lifecycle GHG Assessment</w:t>
      </w:r>
      <w:r>
        <w:rPr>
          <w:noProof/>
        </w:rPr>
        <w:tab/>
      </w:r>
      <w:r>
        <w:rPr>
          <w:noProof/>
        </w:rPr>
        <w:fldChar w:fldCharType="begin"/>
      </w:r>
      <w:r>
        <w:rPr>
          <w:noProof/>
        </w:rPr>
        <w:instrText xml:space="preserve"> PAGEREF _Toc239776209 \h </w:instrText>
      </w:r>
      <w:r>
        <w:rPr>
          <w:noProof/>
        </w:rPr>
      </w:r>
      <w:r>
        <w:rPr>
          <w:noProof/>
        </w:rPr>
        <w:fldChar w:fldCharType="separate"/>
      </w:r>
      <w:r>
        <w:rPr>
          <w:noProof/>
        </w:rPr>
        <w:t>10-29</w:t>
      </w:r>
      <w:r>
        <w:rPr>
          <w:noProof/>
        </w:rPr>
        <w:fldChar w:fldCharType="end"/>
      </w:r>
    </w:p>
    <w:p w14:paraId="13380AB8" w14:textId="023D91AC" w:rsidR="007D6190" w:rsidRDefault="007D6190">
      <w:pPr>
        <w:pStyle w:val="TOC3"/>
        <w:tabs>
          <w:tab w:val="left" w:pos="1440"/>
        </w:tabs>
        <w:rPr>
          <w:rFonts w:eastAsiaTheme="minorEastAsia"/>
          <w:noProof/>
          <w:kern w:val="2"/>
          <w:sz w:val="24"/>
          <w:szCs w:val="24"/>
          <w:lang w:eastAsia="en-GB"/>
          <w14:ligatures w14:val="standardContextual"/>
        </w:rPr>
      </w:pPr>
      <w:r>
        <w:rPr>
          <w:noProof/>
        </w:rPr>
        <w:t>10.9.2</w:t>
      </w:r>
      <w:r>
        <w:rPr>
          <w:rFonts w:eastAsiaTheme="minorEastAsia"/>
          <w:noProof/>
          <w:kern w:val="2"/>
          <w:sz w:val="24"/>
          <w:szCs w:val="24"/>
          <w:lang w:eastAsia="en-GB"/>
          <w14:ligatures w14:val="standardContextual"/>
        </w:rPr>
        <w:tab/>
      </w:r>
      <w:r>
        <w:rPr>
          <w:noProof/>
        </w:rPr>
        <w:t>Climate Change Risk Assessment</w:t>
      </w:r>
      <w:r>
        <w:rPr>
          <w:noProof/>
        </w:rPr>
        <w:tab/>
      </w:r>
      <w:r>
        <w:rPr>
          <w:noProof/>
        </w:rPr>
        <w:fldChar w:fldCharType="begin"/>
      </w:r>
      <w:r>
        <w:rPr>
          <w:noProof/>
        </w:rPr>
        <w:instrText xml:space="preserve"> PAGEREF _Toc239776210 \h </w:instrText>
      </w:r>
      <w:r>
        <w:rPr>
          <w:noProof/>
        </w:rPr>
      </w:r>
      <w:r>
        <w:rPr>
          <w:noProof/>
        </w:rPr>
        <w:fldChar w:fldCharType="separate"/>
      </w:r>
      <w:r>
        <w:rPr>
          <w:noProof/>
        </w:rPr>
        <w:t>10-29</w:t>
      </w:r>
      <w:r>
        <w:rPr>
          <w:noProof/>
        </w:rPr>
        <w:fldChar w:fldCharType="end"/>
      </w:r>
    </w:p>
    <w:p w14:paraId="67FFF6A1" w14:textId="115D95E0" w:rsidR="007D6190" w:rsidRDefault="007D6190">
      <w:pPr>
        <w:pStyle w:val="TOC3"/>
        <w:tabs>
          <w:tab w:val="left" w:pos="1440"/>
        </w:tabs>
        <w:rPr>
          <w:rFonts w:eastAsiaTheme="minorEastAsia"/>
          <w:noProof/>
          <w:kern w:val="2"/>
          <w:sz w:val="24"/>
          <w:szCs w:val="24"/>
          <w:lang w:eastAsia="en-GB"/>
          <w14:ligatures w14:val="standardContextual"/>
        </w:rPr>
      </w:pPr>
      <w:r>
        <w:rPr>
          <w:noProof/>
        </w:rPr>
        <w:t>10.9.3</w:t>
      </w:r>
      <w:r>
        <w:rPr>
          <w:rFonts w:eastAsiaTheme="minorEastAsia"/>
          <w:noProof/>
          <w:kern w:val="2"/>
          <w:sz w:val="24"/>
          <w:szCs w:val="24"/>
          <w:lang w:eastAsia="en-GB"/>
          <w14:ligatures w14:val="standardContextual"/>
        </w:rPr>
        <w:tab/>
      </w:r>
      <w:r>
        <w:rPr>
          <w:noProof/>
        </w:rPr>
        <w:t>In-combination Climate Change Impact Assessment</w:t>
      </w:r>
      <w:r>
        <w:rPr>
          <w:noProof/>
        </w:rPr>
        <w:tab/>
      </w:r>
      <w:r>
        <w:rPr>
          <w:noProof/>
        </w:rPr>
        <w:fldChar w:fldCharType="begin"/>
      </w:r>
      <w:r>
        <w:rPr>
          <w:noProof/>
        </w:rPr>
        <w:instrText xml:space="preserve"> PAGEREF _Toc239776211 \h </w:instrText>
      </w:r>
      <w:r>
        <w:rPr>
          <w:noProof/>
        </w:rPr>
      </w:r>
      <w:r>
        <w:rPr>
          <w:noProof/>
        </w:rPr>
        <w:fldChar w:fldCharType="separate"/>
      </w:r>
      <w:r>
        <w:rPr>
          <w:noProof/>
        </w:rPr>
        <w:t>10-29</w:t>
      </w:r>
      <w:r>
        <w:rPr>
          <w:noProof/>
        </w:rPr>
        <w:fldChar w:fldCharType="end"/>
      </w:r>
    </w:p>
    <w:p w14:paraId="61A56AC2" w14:textId="3EC87FC5" w:rsidR="007D6190" w:rsidRDefault="007D6190">
      <w:pPr>
        <w:pStyle w:val="TOC2"/>
        <w:rPr>
          <w:rFonts w:eastAsiaTheme="minorEastAsia"/>
          <w:noProof/>
          <w:kern w:val="2"/>
          <w:sz w:val="24"/>
          <w:szCs w:val="24"/>
          <w:lang w:eastAsia="en-GB"/>
          <w14:ligatures w14:val="standardContextual"/>
        </w:rPr>
      </w:pPr>
      <w:r>
        <w:rPr>
          <w:noProof/>
        </w:rPr>
        <w:t>10.10 Summary</w:t>
      </w:r>
      <w:r>
        <w:rPr>
          <w:noProof/>
        </w:rPr>
        <w:tab/>
      </w:r>
      <w:r>
        <w:rPr>
          <w:noProof/>
        </w:rPr>
        <w:fldChar w:fldCharType="begin"/>
      </w:r>
      <w:r>
        <w:rPr>
          <w:noProof/>
        </w:rPr>
        <w:instrText xml:space="preserve"> PAGEREF _Toc239776212 \h </w:instrText>
      </w:r>
      <w:r>
        <w:rPr>
          <w:noProof/>
        </w:rPr>
      </w:r>
      <w:r>
        <w:rPr>
          <w:noProof/>
        </w:rPr>
        <w:fldChar w:fldCharType="separate"/>
      </w:r>
      <w:r>
        <w:rPr>
          <w:noProof/>
        </w:rPr>
        <w:t>10-29</w:t>
      </w:r>
      <w:r>
        <w:rPr>
          <w:noProof/>
        </w:rPr>
        <w:fldChar w:fldCharType="end"/>
      </w:r>
    </w:p>
    <w:p w14:paraId="21FD8060" w14:textId="5764AEF5" w:rsidR="007D6190" w:rsidRDefault="007D6190">
      <w:pPr>
        <w:pStyle w:val="TOC3"/>
        <w:tabs>
          <w:tab w:val="left" w:pos="1455"/>
        </w:tabs>
        <w:rPr>
          <w:rFonts w:eastAsiaTheme="minorEastAsia"/>
          <w:noProof/>
          <w:kern w:val="2"/>
          <w:sz w:val="24"/>
          <w:szCs w:val="24"/>
          <w:lang w:eastAsia="en-GB"/>
          <w14:ligatures w14:val="standardContextual"/>
        </w:rPr>
      </w:pPr>
      <w:r>
        <w:rPr>
          <w:noProof/>
        </w:rPr>
        <w:t>10.10.1</w:t>
      </w:r>
      <w:r>
        <w:rPr>
          <w:rFonts w:eastAsiaTheme="minorEastAsia"/>
          <w:noProof/>
          <w:kern w:val="2"/>
          <w:sz w:val="24"/>
          <w:szCs w:val="24"/>
          <w:lang w:eastAsia="en-GB"/>
          <w14:ligatures w14:val="standardContextual"/>
        </w:rPr>
        <w:tab/>
      </w:r>
      <w:r>
        <w:rPr>
          <w:noProof/>
        </w:rPr>
        <w:t>Lifecycle GHG Assessment</w:t>
      </w:r>
      <w:r>
        <w:rPr>
          <w:noProof/>
        </w:rPr>
        <w:tab/>
      </w:r>
      <w:r>
        <w:rPr>
          <w:noProof/>
        </w:rPr>
        <w:fldChar w:fldCharType="begin"/>
      </w:r>
      <w:r>
        <w:rPr>
          <w:noProof/>
        </w:rPr>
        <w:instrText xml:space="preserve"> PAGEREF _Toc239776213 \h </w:instrText>
      </w:r>
      <w:r>
        <w:rPr>
          <w:noProof/>
        </w:rPr>
      </w:r>
      <w:r>
        <w:rPr>
          <w:noProof/>
        </w:rPr>
        <w:fldChar w:fldCharType="separate"/>
      </w:r>
      <w:r>
        <w:rPr>
          <w:noProof/>
        </w:rPr>
        <w:t>10-29</w:t>
      </w:r>
      <w:r>
        <w:rPr>
          <w:noProof/>
        </w:rPr>
        <w:fldChar w:fldCharType="end"/>
      </w:r>
    </w:p>
    <w:p w14:paraId="1532ABEF" w14:textId="1FABD4A1" w:rsidR="007D6190" w:rsidRDefault="007D6190">
      <w:pPr>
        <w:pStyle w:val="TOC3"/>
        <w:tabs>
          <w:tab w:val="left" w:pos="1455"/>
        </w:tabs>
        <w:rPr>
          <w:rFonts w:eastAsiaTheme="minorEastAsia"/>
          <w:noProof/>
          <w:kern w:val="2"/>
          <w:sz w:val="24"/>
          <w:szCs w:val="24"/>
          <w:lang w:eastAsia="en-GB"/>
          <w14:ligatures w14:val="standardContextual"/>
        </w:rPr>
      </w:pPr>
      <w:r>
        <w:rPr>
          <w:noProof/>
        </w:rPr>
        <w:t>10.10.2</w:t>
      </w:r>
      <w:r>
        <w:rPr>
          <w:rFonts w:eastAsiaTheme="minorEastAsia"/>
          <w:noProof/>
          <w:kern w:val="2"/>
          <w:sz w:val="24"/>
          <w:szCs w:val="24"/>
          <w:lang w:eastAsia="en-GB"/>
          <w14:ligatures w14:val="standardContextual"/>
        </w:rPr>
        <w:tab/>
      </w:r>
      <w:r>
        <w:rPr>
          <w:noProof/>
        </w:rPr>
        <w:t>Climate Change Risk Assessment</w:t>
      </w:r>
      <w:r>
        <w:rPr>
          <w:noProof/>
        </w:rPr>
        <w:tab/>
      </w:r>
      <w:r>
        <w:rPr>
          <w:noProof/>
        </w:rPr>
        <w:fldChar w:fldCharType="begin"/>
      </w:r>
      <w:r>
        <w:rPr>
          <w:noProof/>
        </w:rPr>
        <w:instrText xml:space="preserve"> PAGEREF _Toc239776214 \h </w:instrText>
      </w:r>
      <w:r>
        <w:rPr>
          <w:noProof/>
        </w:rPr>
      </w:r>
      <w:r>
        <w:rPr>
          <w:noProof/>
        </w:rPr>
        <w:fldChar w:fldCharType="separate"/>
      </w:r>
      <w:r>
        <w:rPr>
          <w:noProof/>
        </w:rPr>
        <w:t>10-29</w:t>
      </w:r>
      <w:r>
        <w:rPr>
          <w:noProof/>
        </w:rPr>
        <w:fldChar w:fldCharType="end"/>
      </w:r>
    </w:p>
    <w:p w14:paraId="53FAA71F" w14:textId="573A6EE8" w:rsidR="007D6190" w:rsidRDefault="007D6190">
      <w:pPr>
        <w:pStyle w:val="TOC3"/>
        <w:tabs>
          <w:tab w:val="left" w:pos="1455"/>
        </w:tabs>
        <w:rPr>
          <w:rFonts w:eastAsiaTheme="minorEastAsia"/>
          <w:noProof/>
          <w:kern w:val="2"/>
          <w:sz w:val="24"/>
          <w:szCs w:val="24"/>
          <w:lang w:eastAsia="en-GB"/>
          <w14:ligatures w14:val="standardContextual"/>
        </w:rPr>
      </w:pPr>
      <w:r>
        <w:rPr>
          <w:noProof/>
        </w:rPr>
        <w:t>10.10.3</w:t>
      </w:r>
      <w:r>
        <w:rPr>
          <w:rFonts w:eastAsiaTheme="minorEastAsia"/>
          <w:noProof/>
          <w:kern w:val="2"/>
          <w:sz w:val="24"/>
          <w:szCs w:val="24"/>
          <w:lang w:eastAsia="en-GB"/>
          <w14:ligatures w14:val="standardContextual"/>
        </w:rPr>
        <w:tab/>
      </w:r>
      <w:r>
        <w:rPr>
          <w:noProof/>
        </w:rPr>
        <w:t>In-combination Climate Change Impact Assessment</w:t>
      </w:r>
      <w:r>
        <w:rPr>
          <w:noProof/>
        </w:rPr>
        <w:tab/>
      </w:r>
      <w:r>
        <w:rPr>
          <w:noProof/>
        </w:rPr>
        <w:fldChar w:fldCharType="begin"/>
      </w:r>
      <w:r>
        <w:rPr>
          <w:noProof/>
        </w:rPr>
        <w:instrText xml:space="preserve"> PAGEREF _Toc239776215 \h </w:instrText>
      </w:r>
      <w:r>
        <w:rPr>
          <w:noProof/>
        </w:rPr>
      </w:r>
      <w:r>
        <w:rPr>
          <w:noProof/>
        </w:rPr>
        <w:fldChar w:fldCharType="separate"/>
      </w:r>
      <w:r>
        <w:rPr>
          <w:noProof/>
        </w:rPr>
        <w:t>10-30</w:t>
      </w:r>
      <w:r>
        <w:rPr>
          <w:noProof/>
        </w:rPr>
        <w:fldChar w:fldCharType="end"/>
      </w:r>
    </w:p>
    <w:p w14:paraId="51EA2C0C" w14:textId="3FDC8FF1" w:rsidR="007D6190" w:rsidRDefault="007D6190">
      <w:pPr>
        <w:pStyle w:val="TOC2"/>
        <w:rPr>
          <w:rFonts w:eastAsiaTheme="minorEastAsia"/>
          <w:noProof/>
          <w:kern w:val="2"/>
          <w:sz w:val="24"/>
          <w:szCs w:val="24"/>
          <w:lang w:eastAsia="en-GB"/>
          <w14:ligatures w14:val="standardContextual"/>
        </w:rPr>
      </w:pPr>
      <w:r>
        <w:rPr>
          <w:noProof/>
        </w:rPr>
        <w:t>10.11 References</w:t>
      </w:r>
      <w:r>
        <w:rPr>
          <w:noProof/>
        </w:rPr>
        <w:tab/>
      </w:r>
      <w:r>
        <w:rPr>
          <w:noProof/>
        </w:rPr>
        <w:fldChar w:fldCharType="begin"/>
      </w:r>
      <w:r>
        <w:rPr>
          <w:noProof/>
        </w:rPr>
        <w:instrText xml:space="preserve"> PAGEREF _Toc239776216 \h </w:instrText>
      </w:r>
      <w:r>
        <w:rPr>
          <w:noProof/>
        </w:rPr>
      </w:r>
      <w:r>
        <w:rPr>
          <w:noProof/>
        </w:rPr>
        <w:fldChar w:fldCharType="separate"/>
      </w:r>
      <w:r>
        <w:rPr>
          <w:noProof/>
        </w:rPr>
        <w:t>10-31</w:t>
      </w:r>
      <w:r>
        <w:rPr>
          <w:noProof/>
        </w:rPr>
        <w:fldChar w:fldCharType="end"/>
      </w:r>
    </w:p>
    <w:p w14:paraId="1FA8B5C2" w14:textId="6A7FD94F" w:rsidR="007D6190" w:rsidRDefault="007D6190">
      <w:pPr>
        <w:pStyle w:val="TOC1"/>
        <w:rPr>
          <w:rFonts w:asciiTheme="minorHAnsi" w:eastAsiaTheme="minorEastAsia" w:hAnsiTheme="minorHAnsi"/>
          <w:noProof/>
          <w:kern w:val="2"/>
          <w:sz w:val="24"/>
          <w:szCs w:val="24"/>
          <w:lang w:eastAsia="en-GB"/>
          <w14:ligatures w14:val="standardContextual"/>
        </w:rPr>
      </w:pPr>
      <w:r>
        <w:rPr>
          <w:noProof/>
        </w:rPr>
        <w:t>Non-Technical Summary</w:t>
      </w:r>
      <w:r>
        <w:rPr>
          <w:noProof/>
        </w:rPr>
        <w:tab/>
      </w:r>
      <w:r>
        <w:rPr>
          <w:noProof/>
        </w:rPr>
        <w:fldChar w:fldCharType="begin"/>
      </w:r>
      <w:r>
        <w:rPr>
          <w:noProof/>
        </w:rPr>
        <w:instrText xml:space="preserve"> PAGEREF _Toc239776217 \h </w:instrText>
      </w:r>
      <w:r>
        <w:rPr>
          <w:noProof/>
        </w:rPr>
      </w:r>
      <w:r>
        <w:rPr>
          <w:noProof/>
        </w:rPr>
        <w:fldChar w:fldCharType="separate"/>
      </w:r>
      <w:r>
        <w:rPr>
          <w:noProof/>
        </w:rPr>
        <w:t>10-33</w:t>
      </w:r>
      <w:r>
        <w:rPr>
          <w:noProof/>
        </w:rPr>
        <w:fldChar w:fldCharType="end"/>
      </w:r>
    </w:p>
    <w:p w14:paraId="26518E72" w14:textId="09F760F5" w:rsidR="007D6190" w:rsidRDefault="007D6190">
      <w:pPr>
        <w:pStyle w:val="TOC2"/>
        <w:rPr>
          <w:rFonts w:eastAsiaTheme="minorEastAsia"/>
          <w:noProof/>
          <w:kern w:val="2"/>
          <w:sz w:val="24"/>
          <w:szCs w:val="24"/>
          <w:lang w:eastAsia="en-GB"/>
          <w14:ligatures w14:val="standardContextual"/>
        </w:rPr>
      </w:pPr>
      <w:r>
        <w:rPr>
          <w:noProof/>
        </w:rPr>
        <w:t>10.12 Potential Impacts</w:t>
      </w:r>
      <w:r>
        <w:rPr>
          <w:noProof/>
        </w:rPr>
        <w:tab/>
      </w:r>
      <w:r>
        <w:rPr>
          <w:noProof/>
        </w:rPr>
        <w:fldChar w:fldCharType="begin"/>
      </w:r>
      <w:r>
        <w:rPr>
          <w:noProof/>
        </w:rPr>
        <w:instrText xml:space="preserve"> PAGEREF _Toc239776218 \h </w:instrText>
      </w:r>
      <w:r>
        <w:rPr>
          <w:noProof/>
        </w:rPr>
      </w:r>
      <w:r>
        <w:rPr>
          <w:noProof/>
        </w:rPr>
        <w:fldChar w:fldCharType="separate"/>
      </w:r>
      <w:r>
        <w:rPr>
          <w:noProof/>
        </w:rPr>
        <w:t>10-33</w:t>
      </w:r>
      <w:r>
        <w:rPr>
          <w:noProof/>
        </w:rPr>
        <w:fldChar w:fldCharType="end"/>
      </w:r>
    </w:p>
    <w:p w14:paraId="21D28362" w14:textId="684D9251" w:rsidR="007D6190" w:rsidRDefault="007D6190">
      <w:pPr>
        <w:pStyle w:val="TOC3"/>
        <w:tabs>
          <w:tab w:val="left" w:pos="1455"/>
        </w:tabs>
        <w:rPr>
          <w:rFonts w:eastAsiaTheme="minorEastAsia"/>
          <w:noProof/>
          <w:kern w:val="2"/>
          <w:sz w:val="24"/>
          <w:szCs w:val="24"/>
          <w:lang w:eastAsia="en-GB"/>
          <w14:ligatures w14:val="standardContextual"/>
        </w:rPr>
      </w:pPr>
      <w:r>
        <w:rPr>
          <w:noProof/>
        </w:rPr>
        <w:t>10.12.1</w:t>
      </w:r>
      <w:r>
        <w:rPr>
          <w:rFonts w:eastAsiaTheme="minorEastAsia"/>
          <w:noProof/>
          <w:kern w:val="2"/>
          <w:sz w:val="24"/>
          <w:szCs w:val="24"/>
          <w:lang w:eastAsia="en-GB"/>
          <w14:ligatures w14:val="standardContextual"/>
        </w:rPr>
        <w:tab/>
      </w:r>
      <w:r>
        <w:rPr>
          <w:noProof/>
        </w:rPr>
        <w:t>Lifecycle GHG Impact Assessment</w:t>
      </w:r>
      <w:r>
        <w:rPr>
          <w:noProof/>
        </w:rPr>
        <w:tab/>
      </w:r>
      <w:r>
        <w:rPr>
          <w:noProof/>
        </w:rPr>
        <w:fldChar w:fldCharType="begin"/>
      </w:r>
      <w:r>
        <w:rPr>
          <w:noProof/>
        </w:rPr>
        <w:instrText xml:space="preserve"> PAGEREF _Toc239776219 \h </w:instrText>
      </w:r>
      <w:r>
        <w:rPr>
          <w:noProof/>
        </w:rPr>
      </w:r>
      <w:r>
        <w:rPr>
          <w:noProof/>
        </w:rPr>
        <w:fldChar w:fldCharType="separate"/>
      </w:r>
      <w:r>
        <w:rPr>
          <w:noProof/>
        </w:rPr>
        <w:t>10-33</w:t>
      </w:r>
      <w:r>
        <w:rPr>
          <w:noProof/>
        </w:rPr>
        <w:fldChar w:fldCharType="end"/>
      </w:r>
    </w:p>
    <w:p w14:paraId="24070385" w14:textId="444760E3" w:rsidR="007D6190" w:rsidRDefault="007D6190">
      <w:pPr>
        <w:pStyle w:val="TOC3"/>
        <w:tabs>
          <w:tab w:val="left" w:pos="1455"/>
        </w:tabs>
        <w:rPr>
          <w:rFonts w:eastAsiaTheme="minorEastAsia"/>
          <w:noProof/>
          <w:kern w:val="2"/>
          <w:sz w:val="24"/>
          <w:szCs w:val="24"/>
          <w:lang w:eastAsia="en-GB"/>
          <w14:ligatures w14:val="standardContextual"/>
        </w:rPr>
      </w:pPr>
      <w:r>
        <w:rPr>
          <w:noProof/>
        </w:rPr>
        <w:t>10.12.2</w:t>
      </w:r>
      <w:r>
        <w:rPr>
          <w:rFonts w:eastAsiaTheme="minorEastAsia"/>
          <w:noProof/>
          <w:kern w:val="2"/>
          <w:sz w:val="24"/>
          <w:szCs w:val="24"/>
          <w:lang w:eastAsia="en-GB"/>
          <w14:ligatures w14:val="standardContextual"/>
        </w:rPr>
        <w:tab/>
      </w:r>
      <w:r>
        <w:rPr>
          <w:noProof/>
        </w:rPr>
        <w:t>Climate Change Risk Assessment</w:t>
      </w:r>
      <w:r>
        <w:rPr>
          <w:noProof/>
        </w:rPr>
        <w:tab/>
      </w:r>
      <w:r>
        <w:rPr>
          <w:noProof/>
        </w:rPr>
        <w:fldChar w:fldCharType="begin"/>
      </w:r>
      <w:r>
        <w:rPr>
          <w:noProof/>
        </w:rPr>
        <w:instrText xml:space="preserve"> PAGEREF _Toc239776220 \h </w:instrText>
      </w:r>
      <w:r>
        <w:rPr>
          <w:noProof/>
        </w:rPr>
      </w:r>
      <w:r>
        <w:rPr>
          <w:noProof/>
        </w:rPr>
        <w:fldChar w:fldCharType="separate"/>
      </w:r>
      <w:r>
        <w:rPr>
          <w:noProof/>
        </w:rPr>
        <w:t>10-33</w:t>
      </w:r>
      <w:r>
        <w:rPr>
          <w:noProof/>
        </w:rPr>
        <w:fldChar w:fldCharType="end"/>
      </w:r>
    </w:p>
    <w:p w14:paraId="3C1ED2A5" w14:textId="5E315CAE" w:rsidR="007D6190" w:rsidRDefault="007D6190">
      <w:pPr>
        <w:pStyle w:val="TOC3"/>
        <w:tabs>
          <w:tab w:val="left" w:pos="1455"/>
        </w:tabs>
        <w:rPr>
          <w:rFonts w:eastAsiaTheme="minorEastAsia"/>
          <w:noProof/>
          <w:kern w:val="2"/>
          <w:sz w:val="24"/>
          <w:szCs w:val="24"/>
          <w:lang w:eastAsia="en-GB"/>
          <w14:ligatures w14:val="standardContextual"/>
        </w:rPr>
      </w:pPr>
      <w:r>
        <w:rPr>
          <w:noProof/>
        </w:rPr>
        <w:t>10.12.3</w:t>
      </w:r>
      <w:r>
        <w:rPr>
          <w:rFonts w:eastAsiaTheme="minorEastAsia"/>
          <w:noProof/>
          <w:kern w:val="2"/>
          <w:sz w:val="24"/>
          <w:szCs w:val="24"/>
          <w:lang w:eastAsia="en-GB"/>
          <w14:ligatures w14:val="standardContextual"/>
        </w:rPr>
        <w:tab/>
      </w:r>
      <w:r>
        <w:rPr>
          <w:noProof/>
        </w:rPr>
        <w:t>In-Combination Climate Change Impact Assessment</w:t>
      </w:r>
      <w:r>
        <w:rPr>
          <w:noProof/>
        </w:rPr>
        <w:tab/>
      </w:r>
      <w:r>
        <w:rPr>
          <w:noProof/>
        </w:rPr>
        <w:fldChar w:fldCharType="begin"/>
      </w:r>
      <w:r>
        <w:rPr>
          <w:noProof/>
        </w:rPr>
        <w:instrText xml:space="preserve"> PAGEREF _Toc239776221 \h </w:instrText>
      </w:r>
      <w:r>
        <w:rPr>
          <w:noProof/>
        </w:rPr>
      </w:r>
      <w:r>
        <w:rPr>
          <w:noProof/>
        </w:rPr>
        <w:fldChar w:fldCharType="separate"/>
      </w:r>
      <w:r>
        <w:rPr>
          <w:noProof/>
        </w:rPr>
        <w:t>10-33</w:t>
      </w:r>
      <w:r>
        <w:rPr>
          <w:noProof/>
        </w:rPr>
        <w:fldChar w:fldCharType="end"/>
      </w:r>
    </w:p>
    <w:p w14:paraId="0583C8CE" w14:textId="4DC28EAC" w:rsidR="007D6190" w:rsidRDefault="007D6190">
      <w:pPr>
        <w:pStyle w:val="TOC2"/>
        <w:rPr>
          <w:rFonts w:eastAsiaTheme="minorEastAsia"/>
          <w:noProof/>
          <w:kern w:val="2"/>
          <w:sz w:val="24"/>
          <w:szCs w:val="24"/>
          <w:lang w:eastAsia="en-GB"/>
          <w14:ligatures w14:val="standardContextual"/>
        </w:rPr>
      </w:pPr>
      <w:r>
        <w:rPr>
          <w:noProof/>
        </w:rPr>
        <w:t>10.13 Mitigation measures</w:t>
      </w:r>
      <w:r>
        <w:rPr>
          <w:noProof/>
        </w:rPr>
        <w:tab/>
      </w:r>
      <w:r>
        <w:rPr>
          <w:noProof/>
        </w:rPr>
        <w:fldChar w:fldCharType="begin"/>
      </w:r>
      <w:r>
        <w:rPr>
          <w:noProof/>
        </w:rPr>
        <w:instrText xml:space="preserve"> PAGEREF _Toc239776222 \h </w:instrText>
      </w:r>
      <w:r>
        <w:rPr>
          <w:noProof/>
        </w:rPr>
      </w:r>
      <w:r>
        <w:rPr>
          <w:noProof/>
        </w:rPr>
        <w:fldChar w:fldCharType="separate"/>
      </w:r>
      <w:r>
        <w:rPr>
          <w:noProof/>
        </w:rPr>
        <w:t>10-34</w:t>
      </w:r>
      <w:r>
        <w:rPr>
          <w:noProof/>
        </w:rPr>
        <w:fldChar w:fldCharType="end"/>
      </w:r>
    </w:p>
    <w:p w14:paraId="2BBB378A" w14:textId="5525AF15" w:rsidR="007D6190" w:rsidRDefault="007D6190">
      <w:pPr>
        <w:pStyle w:val="TOC3"/>
        <w:tabs>
          <w:tab w:val="left" w:pos="1455"/>
        </w:tabs>
        <w:rPr>
          <w:rFonts w:eastAsiaTheme="minorEastAsia"/>
          <w:noProof/>
          <w:kern w:val="2"/>
          <w:sz w:val="24"/>
          <w:szCs w:val="24"/>
          <w:lang w:eastAsia="en-GB"/>
          <w14:ligatures w14:val="standardContextual"/>
        </w:rPr>
      </w:pPr>
      <w:r>
        <w:rPr>
          <w:noProof/>
        </w:rPr>
        <w:t>10.13.1</w:t>
      </w:r>
      <w:r>
        <w:rPr>
          <w:rFonts w:eastAsiaTheme="minorEastAsia"/>
          <w:noProof/>
          <w:kern w:val="2"/>
          <w:sz w:val="24"/>
          <w:szCs w:val="24"/>
          <w:lang w:eastAsia="en-GB"/>
          <w14:ligatures w14:val="standardContextual"/>
        </w:rPr>
        <w:tab/>
      </w:r>
      <w:r>
        <w:rPr>
          <w:noProof/>
        </w:rPr>
        <w:t>Climate Change Risk Assessment</w:t>
      </w:r>
      <w:r>
        <w:rPr>
          <w:noProof/>
        </w:rPr>
        <w:tab/>
      </w:r>
      <w:r>
        <w:rPr>
          <w:noProof/>
        </w:rPr>
        <w:fldChar w:fldCharType="begin"/>
      </w:r>
      <w:r>
        <w:rPr>
          <w:noProof/>
        </w:rPr>
        <w:instrText xml:space="preserve"> PAGEREF _Toc239776223 \h </w:instrText>
      </w:r>
      <w:r>
        <w:rPr>
          <w:noProof/>
        </w:rPr>
      </w:r>
      <w:r>
        <w:rPr>
          <w:noProof/>
        </w:rPr>
        <w:fldChar w:fldCharType="separate"/>
      </w:r>
      <w:r>
        <w:rPr>
          <w:noProof/>
        </w:rPr>
        <w:t>10-34</w:t>
      </w:r>
      <w:r>
        <w:rPr>
          <w:noProof/>
        </w:rPr>
        <w:fldChar w:fldCharType="end"/>
      </w:r>
    </w:p>
    <w:p w14:paraId="484E8585" w14:textId="11632B4C" w:rsidR="007D6190" w:rsidRDefault="007D6190">
      <w:pPr>
        <w:pStyle w:val="TOC2"/>
        <w:rPr>
          <w:rFonts w:eastAsiaTheme="minorEastAsia"/>
          <w:noProof/>
          <w:kern w:val="2"/>
          <w:sz w:val="24"/>
          <w:szCs w:val="24"/>
          <w:lang w:eastAsia="en-GB"/>
          <w14:ligatures w14:val="standardContextual"/>
        </w:rPr>
      </w:pPr>
      <w:r>
        <w:rPr>
          <w:noProof/>
        </w:rPr>
        <w:t>10.14 Residual Impacts</w:t>
      </w:r>
      <w:r>
        <w:rPr>
          <w:noProof/>
        </w:rPr>
        <w:tab/>
      </w:r>
      <w:r>
        <w:rPr>
          <w:noProof/>
        </w:rPr>
        <w:fldChar w:fldCharType="begin"/>
      </w:r>
      <w:r>
        <w:rPr>
          <w:noProof/>
        </w:rPr>
        <w:instrText xml:space="preserve"> PAGEREF _Toc239776224 \h </w:instrText>
      </w:r>
      <w:r>
        <w:rPr>
          <w:noProof/>
        </w:rPr>
      </w:r>
      <w:r>
        <w:rPr>
          <w:noProof/>
        </w:rPr>
        <w:fldChar w:fldCharType="separate"/>
      </w:r>
      <w:r>
        <w:rPr>
          <w:noProof/>
        </w:rPr>
        <w:t>10-34</w:t>
      </w:r>
      <w:r>
        <w:rPr>
          <w:noProof/>
        </w:rPr>
        <w:fldChar w:fldCharType="end"/>
      </w:r>
    </w:p>
    <w:p w14:paraId="076517BC" w14:textId="7B825CE2" w:rsidR="007D6190" w:rsidRDefault="007D6190">
      <w:pPr>
        <w:pStyle w:val="TOC3"/>
        <w:tabs>
          <w:tab w:val="left" w:pos="1455"/>
        </w:tabs>
        <w:rPr>
          <w:rFonts w:eastAsiaTheme="minorEastAsia"/>
          <w:noProof/>
          <w:kern w:val="2"/>
          <w:sz w:val="24"/>
          <w:szCs w:val="24"/>
          <w:lang w:eastAsia="en-GB"/>
          <w14:ligatures w14:val="standardContextual"/>
        </w:rPr>
      </w:pPr>
      <w:r>
        <w:rPr>
          <w:noProof/>
        </w:rPr>
        <w:t>10.14.1</w:t>
      </w:r>
      <w:r>
        <w:rPr>
          <w:rFonts w:eastAsiaTheme="minorEastAsia"/>
          <w:noProof/>
          <w:kern w:val="2"/>
          <w:sz w:val="24"/>
          <w:szCs w:val="24"/>
          <w:lang w:eastAsia="en-GB"/>
          <w14:ligatures w14:val="standardContextual"/>
        </w:rPr>
        <w:tab/>
      </w:r>
      <w:r>
        <w:rPr>
          <w:noProof/>
        </w:rPr>
        <w:t>Lifecycle GHG Assessment</w:t>
      </w:r>
      <w:r>
        <w:rPr>
          <w:noProof/>
        </w:rPr>
        <w:tab/>
      </w:r>
      <w:r>
        <w:rPr>
          <w:noProof/>
        </w:rPr>
        <w:fldChar w:fldCharType="begin"/>
      </w:r>
      <w:r>
        <w:rPr>
          <w:noProof/>
        </w:rPr>
        <w:instrText xml:space="preserve"> PAGEREF _Toc239776225 \h </w:instrText>
      </w:r>
      <w:r>
        <w:rPr>
          <w:noProof/>
        </w:rPr>
      </w:r>
      <w:r>
        <w:rPr>
          <w:noProof/>
        </w:rPr>
        <w:fldChar w:fldCharType="separate"/>
      </w:r>
      <w:r>
        <w:rPr>
          <w:noProof/>
        </w:rPr>
        <w:t>10-34</w:t>
      </w:r>
      <w:r>
        <w:rPr>
          <w:noProof/>
        </w:rPr>
        <w:fldChar w:fldCharType="end"/>
      </w:r>
    </w:p>
    <w:p w14:paraId="4C4C47A9" w14:textId="48068A5D" w:rsidR="007D6190" w:rsidRDefault="007D6190">
      <w:pPr>
        <w:pStyle w:val="TOC3"/>
        <w:tabs>
          <w:tab w:val="left" w:pos="1455"/>
        </w:tabs>
        <w:rPr>
          <w:rFonts w:eastAsiaTheme="minorEastAsia"/>
          <w:noProof/>
          <w:kern w:val="2"/>
          <w:sz w:val="24"/>
          <w:szCs w:val="24"/>
          <w:lang w:eastAsia="en-GB"/>
          <w14:ligatures w14:val="standardContextual"/>
        </w:rPr>
      </w:pPr>
      <w:r>
        <w:rPr>
          <w:noProof/>
        </w:rPr>
        <w:t>10.14.2</w:t>
      </w:r>
      <w:r>
        <w:rPr>
          <w:rFonts w:eastAsiaTheme="minorEastAsia"/>
          <w:noProof/>
          <w:kern w:val="2"/>
          <w:sz w:val="24"/>
          <w:szCs w:val="24"/>
          <w:lang w:eastAsia="en-GB"/>
          <w14:ligatures w14:val="standardContextual"/>
        </w:rPr>
        <w:tab/>
      </w:r>
      <w:r>
        <w:rPr>
          <w:noProof/>
        </w:rPr>
        <w:t>Climate Change Risk Assessment</w:t>
      </w:r>
      <w:r>
        <w:rPr>
          <w:noProof/>
        </w:rPr>
        <w:tab/>
      </w:r>
      <w:r>
        <w:rPr>
          <w:noProof/>
        </w:rPr>
        <w:fldChar w:fldCharType="begin"/>
      </w:r>
      <w:r>
        <w:rPr>
          <w:noProof/>
        </w:rPr>
        <w:instrText xml:space="preserve"> PAGEREF _Toc239776226 \h </w:instrText>
      </w:r>
      <w:r>
        <w:rPr>
          <w:noProof/>
        </w:rPr>
      </w:r>
      <w:r>
        <w:rPr>
          <w:noProof/>
        </w:rPr>
        <w:fldChar w:fldCharType="separate"/>
      </w:r>
      <w:r>
        <w:rPr>
          <w:noProof/>
        </w:rPr>
        <w:t>10-34</w:t>
      </w:r>
      <w:r>
        <w:rPr>
          <w:noProof/>
        </w:rPr>
        <w:fldChar w:fldCharType="end"/>
      </w:r>
    </w:p>
    <w:p w14:paraId="2565F95C" w14:textId="44894CFF" w:rsidR="007D6190" w:rsidRDefault="007D6190">
      <w:pPr>
        <w:pStyle w:val="TOC3"/>
        <w:tabs>
          <w:tab w:val="left" w:pos="1455"/>
        </w:tabs>
        <w:rPr>
          <w:rFonts w:eastAsiaTheme="minorEastAsia"/>
          <w:noProof/>
          <w:kern w:val="2"/>
          <w:sz w:val="24"/>
          <w:szCs w:val="24"/>
          <w:lang w:eastAsia="en-GB"/>
          <w14:ligatures w14:val="standardContextual"/>
        </w:rPr>
      </w:pPr>
      <w:r>
        <w:rPr>
          <w:noProof/>
        </w:rPr>
        <w:lastRenderedPageBreak/>
        <w:t>10.14.3</w:t>
      </w:r>
      <w:r>
        <w:rPr>
          <w:rFonts w:eastAsiaTheme="minorEastAsia"/>
          <w:noProof/>
          <w:kern w:val="2"/>
          <w:sz w:val="24"/>
          <w:szCs w:val="24"/>
          <w:lang w:eastAsia="en-GB"/>
          <w14:ligatures w14:val="standardContextual"/>
        </w:rPr>
        <w:tab/>
      </w:r>
      <w:r>
        <w:rPr>
          <w:noProof/>
        </w:rPr>
        <w:t>In-combination Climate Change Impact Assessment</w:t>
      </w:r>
      <w:r>
        <w:rPr>
          <w:noProof/>
        </w:rPr>
        <w:tab/>
      </w:r>
      <w:r>
        <w:rPr>
          <w:noProof/>
        </w:rPr>
        <w:fldChar w:fldCharType="begin"/>
      </w:r>
      <w:r>
        <w:rPr>
          <w:noProof/>
        </w:rPr>
        <w:instrText xml:space="preserve"> PAGEREF _Toc239776227 \h </w:instrText>
      </w:r>
      <w:r>
        <w:rPr>
          <w:noProof/>
        </w:rPr>
      </w:r>
      <w:r>
        <w:rPr>
          <w:noProof/>
        </w:rPr>
        <w:fldChar w:fldCharType="separate"/>
      </w:r>
      <w:r>
        <w:rPr>
          <w:noProof/>
        </w:rPr>
        <w:t>10-34</w:t>
      </w:r>
      <w:r>
        <w:rPr>
          <w:noProof/>
        </w:rPr>
        <w:fldChar w:fldCharType="end"/>
      </w:r>
    </w:p>
    <w:p w14:paraId="541C0587" w14:textId="70E38247" w:rsidR="007D6190" w:rsidRDefault="007D6190">
      <w:pPr>
        <w:pStyle w:val="TOC1"/>
        <w:rPr>
          <w:rFonts w:asciiTheme="minorHAnsi" w:eastAsiaTheme="minorEastAsia" w:hAnsiTheme="minorHAnsi"/>
          <w:noProof/>
          <w:kern w:val="2"/>
          <w:sz w:val="24"/>
          <w:szCs w:val="24"/>
          <w:lang w:eastAsia="en-GB"/>
          <w14:ligatures w14:val="standardContextual"/>
        </w:rPr>
      </w:pPr>
      <w:r>
        <w:rPr>
          <w:noProof/>
        </w:rPr>
        <w:t>Summary of Cumulative Impacts and Interactions</w:t>
      </w:r>
      <w:r>
        <w:rPr>
          <w:noProof/>
        </w:rPr>
        <w:tab/>
      </w:r>
      <w:r>
        <w:rPr>
          <w:noProof/>
        </w:rPr>
        <w:fldChar w:fldCharType="begin"/>
      </w:r>
      <w:r>
        <w:rPr>
          <w:noProof/>
        </w:rPr>
        <w:instrText xml:space="preserve"> PAGEREF _Toc239776228 \h </w:instrText>
      </w:r>
      <w:r>
        <w:rPr>
          <w:noProof/>
        </w:rPr>
      </w:r>
      <w:r>
        <w:rPr>
          <w:noProof/>
        </w:rPr>
        <w:fldChar w:fldCharType="separate"/>
      </w:r>
      <w:r>
        <w:rPr>
          <w:noProof/>
        </w:rPr>
        <w:t>10-35</w:t>
      </w:r>
      <w:r>
        <w:rPr>
          <w:noProof/>
        </w:rPr>
        <w:fldChar w:fldCharType="end"/>
      </w:r>
    </w:p>
    <w:p w14:paraId="520CF458" w14:textId="07F326E0" w:rsidR="007D6190" w:rsidRDefault="007D6190">
      <w:pPr>
        <w:pStyle w:val="TOC2"/>
        <w:rPr>
          <w:rFonts w:eastAsiaTheme="minorEastAsia"/>
          <w:noProof/>
          <w:kern w:val="2"/>
          <w:sz w:val="24"/>
          <w:szCs w:val="24"/>
          <w:lang w:eastAsia="en-GB"/>
          <w14:ligatures w14:val="standardContextual"/>
        </w:rPr>
      </w:pPr>
      <w:r>
        <w:rPr>
          <w:noProof/>
        </w:rPr>
        <w:t>10.15 Lifecycle GHG Assessment</w:t>
      </w:r>
      <w:r>
        <w:rPr>
          <w:noProof/>
        </w:rPr>
        <w:tab/>
      </w:r>
      <w:r>
        <w:rPr>
          <w:noProof/>
        </w:rPr>
        <w:fldChar w:fldCharType="begin"/>
      </w:r>
      <w:r>
        <w:rPr>
          <w:noProof/>
        </w:rPr>
        <w:instrText xml:space="preserve"> PAGEREF _Toc239776229 \h </w:instrText>
      </w:r>
      <w:r>
        <w:rPr>
          <w:noProof/>
        </w:rPr>
      </w:r>
      <w:r>
        <w:rPr>
          <w:noProof/>
        </w:rPr>
        <w:fldChar w:fldCharType="separate"/>
      </w:r>
      <w:r>
        <w:rPr>
          <w:noProof/>
        </w:rPr>
        <w:t>10-35</w:t>
      </w:r>
      <w:r>
        <w:rPr>
          <w:noProof/>
        </w:rPr>
        <w:fldChar w:fldCharType="end"/>
      </w:r>
    </w:p>
    <w:p w14:paraId="5606A7D0" w14:textId="726A399E" w:rsidR="007D6190" w:rsidRDefault="007D6190">
      <w:pPr>
        <w:pStyle w:val="TOC2"/>
        <w:rPr>
          <w:rFonts w:eastAsiaTheme="minorEastAsia"/>
          <w:noProof/>
          <w:kern w:val="2"/>
          <w:sz w:val="24"/>
          <w:szCs w:val="24"/>
          <w:lang w:eastAsia="en-GB"/>
          <w14:ligatures w14:val="standardContextual"/>
        </w:rPr>
      </w:pPr>
      <w:r>
        <w:rPr>
          <w:noProof/>
        </w:rPr>
        <w:t>10.16 Climate Change Risk Assessment</w:t>
      </w:r>
      <w:r>
        <w:rPr>
          <w:noProof/>
        </w:rPr>
        <w:tab/>
      </w:r>
      <w:r>
        <w:rPr>
          <w:noProof/>
        </w:rPr>
        <w:fldChar w:fldCharType="begin"/>
      </w:r>
      <w:r>
        <w:rPr>
          <w:noProof/>
        </w:rPr>
        <w:instrText xml:space="preserve"> PAGEREF _Toc239776230 \h </w:instrText>
      </w:r>
      <w:r>
        <w:rPr>
          <w:noProof/>
        </w:rPr>
      </w:r>
      <w:r>
        <w:rPr>
          <w:noProof/>
        </w:rPr>
        <w:fldChar w:fldCharType="separate"/>
      </w:r>
      <w:r>
        <w:rPr>
          <w:noProof/>
        </w:rPr>
        <w:t>10-35</w:t>
      </w:r>
      <w:r>
        <w:rPr>
          <w:noProof/>
        </w:rPr>
        <w:fldChar w:fldCharType="end"/>
      </w:r>
    </w:p>
    <w:p w14:paraId="5860BA37" w14:textId="2F1F7C75" w:rsidR="007D6190" w:rsidRDefault="007D6190">
      <w:pPr>
        <w:pStyle w:val="TOC2"/>
        <w:rPr>
          <w:rFonts w:eastAsiaTheme="minorEastAsia"/>
          <w:noProof/>
          <w:kern w:val="2"/>
          <w:sz w:val="24"/>
          <w:szCs w:val="24"/>
          <w:lang w:eastAsia="en-GB"/>
          <w14:ligatures w14:val="standardContextual"/>
        </w:rPr>
      </w:pPr>
      <w:r>
        <w:rPr>
          <w:noProof/>
        </w:rPr>
        <w:t>10.17 In-combination Climate Change Impact Assessment</w:t>
      </w:r>
      <w:r>
        <w:rPr>
          <w:noProof/>
        </w:rPr>
        <w:tab/>
      </w:r>
      <w:r>
        <w:rPr>
          <w:noProof/>
        </w:rPr>
        <w:fldChar w:fldCharType="begin"/>
      </w:r>
      <w:r>
        <w:rPr>
          <w:noProof/>
        </w:rPr>
        <w:instrText xml:space="preserve"> PAGEREF _Toc239776231 \h </w:instrText>
      </w:r>
      <w:r>
        <w:rPr>
          <w:noProof/>
        </w:rPr>
      </w:r>
      <w:r>
        <w:rPr>
          <w:noProof/>
        </w:rPr>
        <w:fldChar w:fldCharType="separate"/>
      </w:r>
      <w:r>
        <w:rPr>
          <w:noProof/>
        </w:rPr>
        <w:t>10-35</w:t>
      </w:r>
      <w:r>
        <w:rPr>
          <w:noProof/>
        </w:rPr>
        <w:fldChar w:fldCharType="end"/>
      </w:r>
    </w:p>
    <w:p w14:paraId="11D4C027" w14:textId="39A37B43" w:rsidR="007D6190" w:rsidRDefault="007D6190">
      <w:pPr>
        <w:pStyle w:val="TOC1"/>
        <w:rPr>
          <w:rFonts w:asciiTheme="minorHAnsi" w:eastAsiaTheme="minorEastAsia" w:hAnsiTheme="minorHAnsi"/>
          <w:noProof/>
          <w:kern w:val="2"/>
          <w:sz w:val="24"/>
          <w:szCs w:val="24"/>
          <w:lang w:eastAsia="en-GB"/>
          <w14:ligatures w14:val="standardContextual"/>
        </w:rPr>
      </w:pPr>
      <w:r>
        <w:rPr>
          <w:noProof/>
        </w:rPr>
        <w:t>Summary of Mitigation and Monitoring</w:t>
      </w:r>
      <w:r>
        <w:rPr>
          <w:noProof/>
        </w:rPr>
        <w:tab/>
      </w:r>
      <w:r>
        <w:rPr>
          <w:noProof/>
        </w:rPr>
        <w:fldChar w:fldCharType="begin"/>
      </w:r>
      <w:r>
        <w:rPr>
          <w:noProof/>
        </w:rPr>
        <w:instrText xml:space="preserve"> PAGEREF _Toc239776232 \h </w:instrText>
      </w:r>
      <w:r>
        <w:rPr>
          <w:noProof/>
        </w:rPr>
      </w:r>
      <w:r>
        <w:rPr>
          <w:noProof/>
        </w:rPr>
        <w:fldChar w:fldCharType="separate"/>
      </w:r>
      <w:r>
        <w:rPr>
          <w:noProof/>
        </w:rPr>
        <w:t>10-36</w:t>
      </w:r>
      <w:r>
        <w:rPr>
          <w:noProof/>
        </w:rPr>
        <w:fldChar w:fldCharType="end"/>
      </w:r>
    </w:p>
    <w:p w14:paraId="29DC486C" w14:textId="10615DA5" w:rsidR="007D6190" w:rsidRDefault="007D6190">
      <w:pPr>
        <w:pStyle w:val="TOC2"/>
        <w:rPr>
          <w:rFonts w:eastAsiaTheme="minorEastAsia"/>
          <w:noProof/>
          <w:kern w:val="2"/>
          <w:sz w:val="24"/>
          <w:szCs w:val="24"/>
          <w:lang w:eastAsia="en-GB"/>
          <w14:ligatures w14:val="standardContextual"/>
        </w:rPr>
      </w:pPr>
      <w:r>
        <w:rPr>
          <w:noProof/>
        </w:rPr>
        <w:t>10.18 Mitigation</w:t>
      </w:r>
      <w:r>
        <w:rPr>
          <w:noProof/>
        </w:rPr>
        <w:tab/>
      </w:r>
      <w:r>
        <w:rPr>
          <w:noProof/>
        </w:rPr>
        <w:fldChar w:fldCharType="begin"/>
      </w:r>
      <w:r>
        <w:rPr>
          <w:noProof/>
        </w:rPr>
        <w:instrText xml:space="preserve"> PAGEREF _Toc239776233 \h </w:instrText>
      </w:r>
      <w:r>
        <w:rPr>
          <w:noProof/>
        </w:rPr>
      </w:r>
      <w:r>
        <w:rPr>
          <w:noProof/>
        </w:rPr>
        <w:fldChar w:fldCharType="separate"/>
      </w:r>
      <w:r>
        <w:rPr>
          <w:noProof/>
        </w:rPr>
        <w:t>10-36</w:t>
      </w:r>
      <w:r>
        <w:rPr>
          <w:noProof/>
        </w:rPr>
        <w:fldChar w:fldCharType="end"/>
      </w:r>
    </w:p>
    <w:p w14:paraId="02D3302E" w14:textId="28296B18" w:rsidR="007D6190" w:rsidRDefault="007D6190">
      <w:pPr>
        <w:pStyle w:val="TOC2"/>
        <w:rPr>
          <w:rFonts w:eastAsiaTheme="minorEastAsia"/>
          <w:noProof/>
          <w:kern w:val="2"/>
          <w:sz w:val="24"/>
          <w:szCs w:val="24"/>
          <w:lang w:eastAsia="en-GB"/>
          <w14:ligatures w14:val="standardContextual"/>
        </w:rPr>
      </w:pPr>
      <w:r>
        <w:rPr>
          <w:noProof/>
        </w:rPr>
        <w:t>10.19 Monitoring</w:t>
      </w:r>
      <w:r>
        <w:rPr>
          <w:noProof/>
        </w:rPr>
        <w:tab/>
      </w:r>
      <w:r>
        <w:rPr>
          <w:noProof/>
        </w:rPr>
        <w:fldChar w:fldCharType="begin"/>
      </w:r>
      <w:r>
        <w:rPr>
          <w:noProof/>
        </w:rPr>
        <w:instrText xml:space="preserve"> PAGEREF _Toc239776234 \h </w:instrText>
      </w:r>
      <w:r>
        <w:rPr>
          <w:noProof/>
        </w:rPr>
      </w:r>
      <w:r>
        <w:rPr>
          <w:noProof/>
        </w:rPr>
        <w:fldChar w:fldCharType="separate"/>
      </w:r>
      <w:r>
        <w:rPr>
          <w:noProof/>
        </w:rPr>
        <w:t>10-36</w:t>
      </w:r>
      <w:r>
        <w:rPr>
          <w:noProof/>
        </w:rPr>
        <w:fldChar w:fldCharType="end"/>
      </w:r>
    </w:p>
    <w:p w14:paraId="7AEBF91F" w14:textId="517D8FC8" w:rsidR="007D6190" w:rsidRDefault="007D6190">
      <w:pPr>
        <w:pStyle w:val="TOC2"/>
        <w:rPr>
          <w:rFonts w:eastAsiaTheme="minorEastAsia"/>
          <w:noProof/>
          <w:kern w:val="2"/>
          <w:sz w:val="24"/>
          <w:szCs w:val="24"/>
          <w:lang w:eastAsia="en-GB"/>
          <w14:ligatures w14:val="standardContextual"/>
        </w:rPr>
      </w:pPr>
      <w:r>
        <w:rPr>
          <w:noProof/>
        </w:rPr>
        <w:t>10.20 Summary of Environmental Commitments</w:t>
      </w:r>
      <w:r>
        <w:rPr>
          <w:noProof/>
        </w:rPr>
        <w:tab/>
      </w:r>
      <w:r>
        <w:rPr>
          <w:noProof/>
        </w:rPr>
        <w:fldChar w:fldCharType="begin"/>
      </w:r>
      <w:r>
        <w:rPr>
          <w:noProof/>
        </w:rPr>
        <w:instrText xml:space="preserve"> PAGEREF _Toc239776235 \h </w:instrText>
      </w:r>
      <w:r>
        <w:rPr>
          <w:noProof/>
        </w:rPr>
      </w:r>
      <w:r>
        <w:rPr>
          <w:noProof/>
        </w:rPr>
        <w:fldChar w:fldCharType="separate"/>
      </w:r>
      <w:r>
        <w:rPr>
          <w:noProof/>
        </w:rPr>
        <w:t>10-36</w:t>
      </w:r>
      <w:r>
        <w:rPr>
          <w:noProof/>
        </w:rPr>
        <w:fldChar w:fldCharType="end"/>
      </w:r>
    </w:p>
    <w:p w14:paraId="6DA182D8" w14:textId="49C1251B" w:rsidR="003964F2" w:rsidRDefault="00A40809" w:rsidP="003964F2">
      <w:pPr>
        <w:pStyle w:val="BodyText"/>
        <w:rPr>
          <w:noProof/>
        </w:rPr>
      </w:pPr>
      <w:r>
        <w:rPr>
          <w:rFonts w:asciiTheme="majorHAnsi" w:hAnsiTheme="majorHAnsi"/>
          <w:noProof/>
        </w:rPr>
        <w:fldChar w:fldCharType="end"/>
      </w:r>
    </w:p>
    <w:p w14:paraId="0073B14E" w14:textId="77777777" w:rsidR="003964F2" w:rsidRDefault="003964F2" w:rsidP="00872CBA">
      <w:pPr>
        <w:pStyle w:val="TOCHeading"/>
        <w:pageBreakBefore w:val="0"/>
        <w:rPr>
          <w:noProof/>
        </w:rPr>
      </w:pPr>
      <w:bookmarkStart w:id="48" w:name="Text_Tables"/>
      <w:r>
        <w:rPr>
          <w:noProof/>
        </w:rPr>
        <w:t>Tables</w:t>
      </w:r>
      <w:bookmarkEnd w:id="48"/>
    </w:p>
    <w:bookmarkEnd w:id="47"/>
    <w:p w14:paraId="02031F25" w14:textId="70774DA9" w:rsidR="00D83C6F" w:rsidRDefault="003964F2">
      <w:pPr>
        <w:pStyle w:val="TableofFigures"/>
        <w:rPr>
          <w:rFonts w:eastAsiaTheme="minorEastAsia"/>
          <w:noProof/>
          <w:kern w:val="2"/>
          <w:sz w:val="24"/>
          <w:szCs w:val="24"/>
          <w:lang w:eastAsia="zh-CN"/>
          <w14:ligatures w14:val="standardContextual"/>
        </w:rPr>
      </w:pPr>
      <w:r>
        <w:rPr>
          <w:noProof/>
        </w:rPr>
        <w:fldChar w:fldCharType="begin"/>
      </w:r>
      <w:r>
        <w:rPr>
          <w:noProof/>
        </w:rPr>
        <w:instrText xml:space="preserve"> TOC \z \c "Table" </w:instrText>
      </w:r>
      <w:r>
        <w:rPr>
          <w:noProof/>
        </w:rPr>
        <w:fldChar w:fldCharType="separate"/>
      </w:r>
      <w:r w:rsidR="00D83C6F">
        <w:rPr>
          <w:noProof/>
        </w:rPr>
        <w:t>Table 10</w:t>
      </w:r>
      <w:r w:rsidR="00D83C6F">
        <w:rPr>
          <w:noProof/>
        </w:rPr>
        <w:noBreakHyphen/>
        <w:t>1</w:t>
      </w:r>
      <w:r w:rsidR="006232FB">
        <w:rPr>
          <w:noProof/>
        </w:rPr>
        <w:t>:</w:t>
      </w:r>
      <w:r w:rsidR="00D83C6F">
        <w:rPr>
          <w:noProof/>
        </w:rPr>
        <w:t xml:space="preserve"> Potential GHG Emissions arising from the Proposed Development</w:t>
      </w:r>
      <w:r w:rsidR="00D83C6F">
        <w:rPr>
          <w:noProof/>
          <w:webHidden/>
        </w:rPr>
        <w:tab/>
      </w:r>
      <w:r w:rsidR="00D83C6F">
        <w:rPr>
          <w:noProof/>
          <w:webHidden/>
        </w:rPr>
        <w:fldChar w:fldCharType="begin"/>
      </w:r>
      <w:r w:rsidR="00D83C6F">
        <w:rPr>
          <w:noProof/>
          <w:webHidden/>
        </w:rPr>
        <w:instrText xml:space="preserve"> PAGEREF _Toc238199676 \h </w:instrText>
      </w:r>
      <w:r w:rsidR="00D83C6F">
        <w:rPr>
          <w:noProof/>
          <w:webHidden/>
        </w:rPr>
      </w:r>
      <w:r w:rsidR="00D83C6F">
        <w:rPr>
          <w:noProof/>
          <w:webHidden/>
        </w:rPr>
        <w:fldChar w:fldCharType="separate"/>
      </w:r>
      <w:r w:rsidR="005049F3">
        <w:rPr>
          <w:noProof/>
          <w:webHidden/>
        </w:rPr>
        <w:t>10-6</w:t>
      </w:r>
      <w:r w:rsidR="00D83C6F">
        <w:rPr>
          <w:noProof/>
          <w:webHidden/>
        </w:rPr>
        <w:fldChar w:fldCharType="end"/>
      </w:r>
    </w:p>
    <w:p w14:paraId="4CCE8B5C" w14:textId="792C0643" w:rsidR="00D83C6F" w:rsidRDefault="00D83C6F">
      <w:pPr>
        <w:pStyle w:val="TableofFigures"/>
        <w:rPr>
          <w:rFonts w:eastAsiaTheme="minorEastAsia"/>
          <w:noProof/>
          <w:kern w:val="2"/>
          <w:sz w:val="24"/>
          <w:szCs w:val="24"/>
          <w:lang w:eastAsia="zh-CN"/>
          <w14:ligatures w14:val="standardContextual"/>
        </w:rPr>
      </w:pPr>
      <w:r>
        <w:rPr>
          <w:noProof/>
        </w:rPr>
        <w:t>Table 10-2</w:t>
      </w:r>
      <w:r w:rsidR="006232FB">
        <w:rPr>
          <w:noProof/>
        </w:rPr>
        <w:t>:</w:t>
      </w:r>
      <w:r>
        <w:rPr>
          <w:noProof/>
        </w:rPr>
        <w:t xml:space="preserve"> GHG emissions significance criteria</w:t>
      </w:r>
      <w:r>
        <w:rPr>
          <w:noProof/>
          <w:webHidden/>
        </w:rPr>
        <w:tab/>
      </w:r>
      <w:r>
        <w:rPr>
          <w:noProof/>
          <w:webHidden/>
        </w:rPr>
        <w:fldChar w:fldCharType="begin"/>
      </w:r>
      <w:r>
        <w:rPr>
          <w:noProof/>
          <w:webHidden/>
        </w:rPr>
        <w:instrText xml:space="preserve"> PAGEREF _Toc238199677 \h </w:instrText>
      </w:r>
      <w:r>
        <w:rPr>
          <w:noProof/>
          <w:webHidden/>
        </w:rPr>
      </w:r>
      <w:r>
        <w:rPr>
          <w:noProof/>
          <w:webHidden/>
        </w:rPr>
        <w:fldChar w:fldCharType="separate"/>
      </w:r>
      <w:r w:rsidR="005049F3">
        <w:rPr>
          <w:noProof/>
          <w:webHidden/>
        </w:rPr>
        <w:t>10-7</w:t>
      </w:r>
      <w:r>
        <w:rPr>
          <w:noProof/>
          <w:webHidden/>
        </w:rPr>
        <w:fldChar w:fldCharType="end"/>
      </w:r>
    </w:p>
    <w:p w14:paraId="2AC515C0" w14:textId="7B06A94F" w:rsidR="00D83C6F" w:rsidRDefault="00D83C6F">
      <w:pPr>
        <w:pStyle w:val="TableofFigures"/>
        <w:rPr>
          <w:rFonts w:eastAsiaTheme="minorEastAsia"/>
          <w:noProof/>
          <w:kern w:val="2"/>
          <w:sz w:val="24"/>
          <w:szCs w:val="24"/>
          <w:lang w:eastAsia="zh-CN"/>
          <w14:ligatures w14:val="standardContextual"/>
        </w:rPr>
      </w:pPr>
      <w:r>
        <w:rPr>
          <w:noProof/>
        </w:rPr>
        <w:t>Table 10</w:t>
      </w:r>
      <w:r>
        <w:rPr>
          <w:noProof/>
        </w:rPr>
        <w:noBreakHyphen/>
        <w:t>3</w:t>
      </w:r>
      <w:r w:rsidR="006232FB">
        <w:rPr>
          <w:noProof/>
        </w:rPr>
        <w:t>:</w:t>
      </w:r>
      <w:r>
        <w:rPr>
          <w:noProof/>
        </w:rPr>
        <w:t xml:space="preserve"> Ireland’s Carbon Budgets relevant to the Construction Period</w:t>
      </w:r>
      <w:r>
        <w:rPr>
          <w:noProof/>
          <w:webHidden/>
        </w:rPr>
        <w:tab/>
      </w:r>
      <w:r>
        <w:rPr>
          <w:noProof/>
          <w:webHidden/>
        </w:rPr>
        <w:fldChar w:fldCharType="begin"/>
      </w:r>
      <w:r>
        <w:rPr>
          <w:noProof/>
          <w:webHidden/>
        </w:rPr>
        <w:instrText xml:space="preserve"> PAGEREF _Toc238199678 \h </w:instrText>
      </w:r>
      <w:r>
        <w:rPr>
          <w:noProof/>
          <w:webHidden/>
        </w:rPr>
      </w:r>
      <w:r>
        <w:rPr>
          <w:noProof/>
          <w:webHidden/>
        </w:rPr>
        <w:fldChar w:fldCharType="separate"/>
      </w:r>
      <w:r w:rsidR="005049F3">
        <w:rPr>
          <w:noProof/>
          <w:webHidden/>
        </w:rPr>
        <w:t>10-8</w:t>
      </w:r>
      <w:r>
        <w:rPr>
          <w:noProof/>
          <w:webHidden/>
        </w:rPr>
        <w:fldChar w:fldCharType="end"/>
      </w:r>
    </w:p>
    <w:p w14:paraId="65E0429C" w14:textId="39FF2103" w:rsidR="00D83C6F" w:rsidRDefault="00D83C6F">
      <w:pPr>
        <w:pStyle w:val="TableofFigures"/>
        <w:rPr>
          <w:rFonts w:eastAsiaTheme="minorEastAsia"/>
          <w:noProof/>
          <w:kern w:val="2"/>
          <w:sz w:val="24"/>
          <w:szCs w:val="24"/>
          <w:lang w:eastAsia="zh-CN"/>
          <w14:ligatures w14:val="standardContextual"/>
        </w:rPr>
      </w:pPr>
      <w:r>
        <w:rPr>
          <w:noProof/>
        </w:rPr>
        <w:t>Table 10</w:t>
      </w:r>
      <w:r>
        <w:rPr>
          <w:noProof/>
        </w:rPr>
        <w:noBreakHyphen/>
        <w:t>4</w:t>
      </w:r>
      <w:r w:rsidR="006232FB">
        <w:rPr>
          <w:noProof/>
        </w:rPr>
        <w:t>:</w:t>
      </w:r>
      <w:r>
        <w:rPr>
          <w:noProof/>
        </w:rPr>
        <w:t xml:space="preserve"> Ireland's Industry Sectoral Emission Ceiling</w:t>
      </w:r>
      <w:r>
        <w:rPr>
          <w:noProof/>
          <w:webHidden/>
        </w:rPr>
        <w:tab/>
      </w:r>
      <w:r>
        <w:rPr>
          <w:noProof/>
          <w:webHidden/>
        </w:rPr>
        <w:fldChar w:fldCharType="begin"/>
      </w:r>
      <w:r>
        <w:rPr>
          <w:noProof/>
          <w:webHidden/>
        </w:rPr>
        <w:instrText xml:space="preserve"> PAGEREF _Toc238199679 \h </w:instrText>
      </w:r>
      <w:r>
        <w:rPr>
          <w:noProof/>
          <w:webHidden/>
        </w:rPr>
      </w:r>
      <w:r>
        <w:rPr>
          <w:noProof/>
          <w:webHidden/>
        </w:rPr>
        <w:fldChar w:fldCharType="separate"/>
      </w:r>
      <w:r w:rsidR="005049F3">
        <w:rPr>
          <w:noProof/>
          <w:webHidden/>
        </w:rPr>
        <w:t>10-8</w:t>
      </w:r>
      <w:r>
        <w:rPr>
          <w:noProof/>
          <w:webHidden/>
        </w:rPr>
        <w:fldChar w:fldCharType="end"/>
      </w:r>
    </w:p>
    <w:p w14:paraId="67684F09" w14:textId="6AEFAD28" w:rsidR="00D83C6F" w:rsidRDefault="00D83C6F">
      <w:pPr>
        <w:pStyle w:val="TableofFigures"/>
        <w:rPr>
          <w:rFonts w:eastAsiaTheme="minorEastAsia"/>
          <w:noProof/>
          <w:kern w:val="2"/>
          <w:sz w:val="24"/>
          <w:szCs w:val="24"/>
          <w:lang w:eastAsia="zh-CN"/>
          <w14:ligatures w14:val="standardContextual"/>
        </w:rPr>
      </w:pPr>
      <w:r>
        <w:rPr>
          <w:noProof/>
        </w:rPr>
        <w:t>Table 10</w:t>
      </w:r>
      <w:r>
        <w:rPr>
          <w:noProof/>
        </w:rPr>
        <w:noBreakHyphen/>
        <w:t>5</w:t>
      </w:r>
      <w:r w:rsidR="006232FB">
        <w:rPr>
          <w:noProof/>
        </w:rPr>
        <w:t>:</w:t>
      </w:r>
      <w:r>
        <w:rPr>
          <w:noProof/>
        </w:rPr>
        <w:t xml:space="preserve"> Ireland’s Carbon Budgets relevant to the Operational Period</w:t>
      </w:r>
      <w:r>
        <w:rPr>
          <w:noProof/>
          <w:webHidden/>
        </w:rPr>
        <w:tab/>
      </w:r>
      <w:r>
        <w:rPr>
          <w:noProof/>
          <w:webHidden/>
        </w:rPr>
        <w:fldChar w:fldCharType="begin"/>
      </w:r>
      <w:r>
        <w:rPr>
          <w:noProof/>
          <w:webHidden/>
        </w:rPr>
        <w:instrText xml:space="preserve"> PAGEREF _Toc238199680 \h </w:instrText>
      </w:r>
      <w:r>
        <w:rPr>
          <w:noProof/>
          <w:webHidden/>
        </w:rPr>
      </w:r>
      <w:r>
        <w:rPr>
          <w:noProof/>
          <w:webHidden/>
        </w:rPr>
        <w:fldChar w:fldCharType="separate"/>
      </w:r>
      <w:r w:rsidR="005049F3">
        <w:rPr>
          <w:noProof/>
          <w:webHidden/>
        </w:rPr>
        <w:t>10-8</w:t>
      </w:r>
      <w:r>
        <w:rPr>
          <w:noProof/>
          <w:webHidden/>
        </w:rPr>
        <w:fldChar w:fldCharType="end"/>
      </w:r>
    </w:p>
    <w:p w14:paraId="27ACE97B" w14:textId="3E8B7A64" w:rsidR="00D83C6F" w:rsidRDefault="00D83C6F">
      <w:pPr>
        <w:pStyle w:val="TableofFigures"/>
        <w:rPr>
          <w:rFonts w:eastAsiaTheme="minorEastAsia"/>
          <w:noProof/>
          <w:kern w:val="2"/>
          <w:sz w:val="24"/>
          <w:szCs w:val="24"/>
          <w:lang w:eastAsia="zh-CN"/>
          <w14:ligatures w14:val="standardContextual"/>
        </w:rPr>
      </w:pPr>
      <w:r>
        <w:rPr>
          <w:noProof/>
        </w:rPr>
        <w:t>Table 10</w:t>
      </w:r>
      <w:r>
        <w:rPr>
          <w:noProof/>
        </w:rPr>
        <w:noBreakHyphen/>
        <w:t>6</w:t>
      </w:r>
      <w:r w:rsidR="006232FB">
        <w:rPr>
          <w:noProof/>
        </w:rPr>
        <w:t>:</w:t>
      </w:r>
      <w:r>
        <w:rPr>
          <w:noProof/>
        </w:rPr>
        <w:t xml:space="preserve"> Level of Likelihood of Climate Risk</w:t>
      </w:r>
      <w:r>
        <w:rPr>
          <w:noProof/>
          <w:webHidden/>
        </w:rPr>
        <w:tab/>
      </w:r>
      <w:r>
        <w:rPr>
          <w:noProof/>
          <w:webHidden/>
        </w:rPr>
        <w:fldChar w:fldCharType="begin"/>
      </w:r>
      <w:r>
        <w:rPr>
          <w:noProof/>
          <w:webHidden/>
        </w:rPr>
        <w:instrText xml:space="preserve"> PAGEREF _Toc238199681 \h </w:instrText>
      </w:r>
      <w:r>
        <w:rPr>
          <w:noProof/>
          <w:webHidden/>
        </w:rPr>
      </w:r>
      <w:r>
        <w:rPr>
          <w:noProof/>
          <w:webHidden/>
        </w:rPr>
        <w:fldChar w:fldCharType="separate"/>
      </w:r>
      <w:r w:rsidR="005049F3">
        <w:rPr>
          <w:noProof/>
          <w:webHidden/>
        </w:rPr>
        <w:t>10-9</w:t>
      </w:r>
      <w:r>
        <w:rPr>
          <w:noProof/>
          <w:webHidden/>
        </w:rPr>
        <w:fldChar w:fldCharType="end"/>
      </w:r>
    </w:p>
    <w:p w14:paraId="2F85EC06" w14:textId="3182E00B" w:rsidR="00D83C6F" w:rsidRDefault="00D83C6F">
      <w:pPr>
        <w:pStyle w:val="TableofFigures"/>
        <w:rPr>
          <w:rFonts w:eastAsiaTheme="minorEastAsia"/>
          <w:noProof/>
          <w:kern w:val="2"/>
          <w:sz w:val="24"/>
          <w:szCs w:val="24"/>
          <w:lang w:eastAsia="zh-CN"/>
          <w14:ligatures w14:val="standardContextual"/>
        </w:rPr>
      </w:pPr>
      <w:r>
        <w:rPr>
          <w:noProof/>
        </w:rPr>
        <w:t>Table 10</w:t>
      </w:r>
      <w:r>
        <w:rPr>
          <w:noProof/>
        </w:rPr>
        <w:noBreakHyphen/>
        <w:t>7</w:t>
      </w:r>
      <w:r w:rsidR="006232FB">
        <w:rPr>
          <w:noProof/>
        </w:rPr>
        <w:t>:</w:t>
      </w:r>
      <w:r>
        <w:rPr>
          <w:noProof/>
        </w:rPr>
        <w:t xml:space="preserve"> Level of Consequence of Climate Impact</w:t>
      </w:r>
      <w:r>
        <w:rPr>
          <w:noProof/>
          <w:webHidden/>
        </w:rPr>
        <w:tab/>
      </w:r>
      <w:r>
        <w:rPr>
          <w:noProof/>
          <w:webHidden/>
        </w:rPr>
        <w:fldChar w:fldCharType="begin"/>
      </w:r>
      <w:r>
        <w:rPr>
          <w:noProof/>
          <w:webHidden/>
        </w:rPr>
        <w:instrText xml:space="preserve"> PAGEREF _Toc238199682 \h </w:instrText>
      </w:r>
      <w:r>
        <w:rPr>
          <w:noProof/>
          <w:webHidden/>
        </w:rPr>
      </w:r>
      <w:r>
        <w:rPr>
          <w:noProof/>
          <w:webHidden/>
        </w:rPr>
        <w:fldChar w:fldCharType="separate"/>
      </w:r>
      <w:r w:rsidR="005049F3">
        <w:rPr>
          <w:noProof/>
          <w:webHidden/>
        </w:rPr>
        <w:t>10-10</w:t>
      </w:r>
      <w:r>
        <w:rPr>
          <w:noProof/>
          <w:webHidden/>
        </w:rPr>
        <w:fldChar w:fldCharType="end"/>
      </w:r>
    </w:p>
    <w:p w14:paraId="3FBC81F0" w14:textId="335EDE15" w:rsidR="00D83C6F" w:rsidRDefault="00D83C6F">
      <w:pPr>
        <w:pStyle w:val="TableofFigures"/>
        <w:rPr>
          <w:rFonts w:eastAsiaTheme="minorEastAsia"/>
          <w:noProof/>
          <w:kern w:val="2"/>
          <w:sz w:val="24"/>
          <w:szCs w:val="24"/>
          <w:lang w:eastAsia="zh-CN"/>
          <w14:ligatures w14:val="standardContextual"/>
        </w:rPr>
      </w:pPr>
      <w:r>
        <w:rPr>
          <w:noProof/>
        </w:rPr>
        <w:t>Table 10-8</w:t>
      </w:r>
      <w:r w:rsidR="006232FB">
        <w:rPr>
          <w:noProof/>
        </w:rPr>
        <w:t>:</w:t>
      </w:r>
      <w:r>
        <w:rPr>
          <w:noProof/>
        </w:rPr>
        <w:t xml:space="preserve"> Significance Matrix</w:t>
      </w:r>
      <w:r>
        <w:rPr>
          <w:noProof/>
          <w:webHidden/>
        </w:rPr>
        <w:tab/>
      </w:r>
      <w:r>
        <w:rPr>
          <w:noProof/>
          <w:webHidden/>
        </w:rPr>
        <w:fldChar w:fldCharType="begin"/>
      </w:r>
      <w:r>
        <w:rPr>
          <w:noProof/>
          <w:webHidden/>
        </w:rPr>
        <w:instrText xml:space="preserve"> PAGEREF _Toc238199683 \h </w:instrText>
      </w:r>
      <w:r>
        <w:rPr>
          <w:noProof/>
          <w:webHidden/>
        </w:rPr>
      </w:r>
      <w:r>
        <w:rPr>
          <w:noProof/>
          <w:webHidden/>
        </w:rPr>
        <w:fldChar w:fldCharType="separate"/>
      </w:r>
      <w:r w:rsidR="005049F3">
        <w:rPr>
          <w:noProof/>
          <w:webHidden/>
        </w:rPr>
        <w:t>10-10</w:t>
      </w:r>
      <w:r>
        <w:rPr>
          <w:noProof/>
          <w:webHidden/>
        </w:rPr>
        <w:fldChar w:fldCharType="end"/>
      </w:r>
    </w:p>
    <w:p w14:paraId="3DD1B346" w14:textId="4F2275AC" w:rsidR="00D83C6F" w:rsidRDefault="00D83C6F">
      <w:pPr>
        <w:pStyle w:val="TableofFigures"/>
        <w:rPr>
          <w:rFonts w:eastAsiaTheme="minorEastAsia"/>
          <w:noProof/>
          <w:kern w:val="2"/>
          <w:sz w:val="24"/>
          <w:szCs w:val="24"/>
          <w:lang w:eastAsia="zh-CN"/>
          <w14:ligatures w14:val="standardContextual"/>
        </w:rPr>
      </w:pPr>
      <w:r>
        <w:rPr>
          <w:noProof/>
        </w:rPr>
        <w:t>Table 10</w:t>
      </w:r>
      <w:r>
        <w:rPr>
          <w:noProof/>
        </w:rPr>
        <w:noBreakHyphen/>
        <w:t>9</w:t>
      </w:r>
      <w:r w:rsidR="006232FB">
        <w:rPr>
          <w:noProof/>
        </w:rPr>
        <w:t>:</w:t>
      </w:r>
      <w:r>
        <w:rPr>
          <w:noProof/>
        </w:rPr>
        <w:t xml:space="preserve"> Level of Likelihood of an ICCI occurring</w:t>
      </w:r>
      <w:r>
        <w:rPr>
          <w:noProof/>
          <w:webHidden/>
        </w:rPr>
        <w:tab/>
      </w:r>
      <w:r>
        <w:rPr>
          <w:noProof/>
          <w:webHidden/>
        </w:rPr>
        <w:fldChar w:fldCharType="begin"/>
      </w:r>
      <w:r>
        <w:rPr>
          <w:noProof/>
          <w:webHidden/>
        </w:rPr>
        <w:instrText xml:space="preserve"> PAGEREF _Toc238199684 \h </w:instrText>
      </w:r>
      <w:r>
        <w:rPr>
          <w:noProof/>
          <w:webHidden/>
        </w:rPr>
      </w:r>
      <w:r>
        <w:rPr>
          <w:noProof/>
          <w:webHidden/>
        </w:rPr>
        <w:fldChar w:fldCharType="separate"/>
      </w:r>
      <w:r w:rsidR="005049F3">
        <w:rPr>
          <w:noProof/>
          <w:webHidden/>
        </w:rPr>
        <w:t>10-11</w:t>
      </w:r>
      <w:r>
        <w:rPr>
          <w:noProof/>
          <w:webHidden/>
        </w:rPr>
        <w:fldChar w:fldCharType="end"/>
      </w:r>
    </w:p>
    <w:p w14:paraId="30D74B2A" w14:textId="13CB823F" w:rsidR="00D83C6F" w:rsidRDefault="00D83C6F">
      <w:pPr>
        <w:pStyle w:val="TableofFigures"/>
        <w:rPr>
          <w:rFonts w:eastAsiaTheme="minorEastAsia"/>
          <w:noProof/>
          <w:kern w:val="2"/>
          <w:sz w:val="24"/>
          <w:szCs w:val="24"/>
          <w:lang w:eastAsia="zh-CN"/>
          <w14:ligatures w14:val="standardContextual"/>
        </w:rPr>
      </w:pPr>
      <w:r>
        <w:rPr>
          <w:noProof/>
        </w:rPr>
        <w:t>Table 10</w:t>
      </w:r>
      <w:r>
        <w:rPr>
          <w:noProof/>
        </w:rPr>
        <w:noBreakHyphen/>
        <w:t>10</w:t>
      </w:r>
      <w:r w:rsidR="006232FB">
        <w:rPr>
          <w:noProof/>
        </w:rPr>
        <w:t>:</w:t>
      </w:r>
      <w:r>
        <w:rPr>
          <w:noProof/>
        </w:rPr>
        <w:t xml:space="preserve"> Level of Consequence for ICCI Assessment</w:t>
      </w:r>
      <w:r>
        <w:rPr>
          <w:noProof/>
          <w:webHidden/>
        </w:rPr>
        <w:tab/>
      </w:r>
      <w:r>
        <w:rPr>
          <w:noProof/>
          <w:webHidden/>
        </w:rPr>
        <w:fldChar w:fldCharType="begin"/>
      </w:r>
      <w:r>
        <w:rPr>
          <w:noProof/>
          <w:webHidden/>
        </w:rPr>
        <w:instrText xml:space="preserve"> PAGEREF _Toc238199685 \h </w:instrText>
      </w:r>
      <w:r>
        <w:rPr>
          <w:noProof/>
          <w:webHidden/>
        </w:rPr>
      </w:r>
      <w:r>
        <w:rPr>
          <w:noProof/>
          <w:webHidden/>
        </w:rPr>
        <w:fldChar w:fldCharType="separate"/>
      </w:r>
      <w:r w:rsidR="005049F3">
        <w:rPr>
          <w:noProof/>
          <w:webHidden/>
        </w:rPr>
        <w:t>10-11</w:t>
      </w:r>
      <w:r>
        <w:rPr>
          <w:noProof/>
          <w:webHidden/>
        </w:rPr>
        <w:fldChar w:fldCharType="end"/>
      </w:r>
    </w:p>
    <w:p w14:paraId="4E6B4FB7" w14:textId="04B0D6E8" w:rsidR="00D83C6F" w:rsidRDefault="00D83C6F">
      <w:pPr>
        <w:pStyle w:val="TableofFigures"/>
        <w:rPr>
          <w:rFonts w:eastAsiaTheme="minorEastAsia"/>
          <w:noProof/>
          <w:kern w:val="2"/>
          <w:sz w:val="24"/>
          <w:szCs w:val="24"/>
          <w:lang w:eastAsia="zh-CN"/>
          <w14:ligatures w14:val="standardContextual"/>
        </w:rPr>
      </w:pPr>
      <w:r>
        <w:rPr>
          <w:noProof/>
        </w:rPr>
        <w:t>Table 10</w:t>
      </w:r>
      <w:r>
        <w:rPr>
          <w:noProof/>
        </w:rPr>
        <w:noBreakHyphen/>
        <w:t>11</w:t>
      </w:r>
      <w:r w:rsidR="006232FB">
        <w:rPr>
          <w:noProof/>
        </w:rPr>
        <w:t>:</w:t>
      </w:r>
      <w:r>
        <w:rPr>
          <w:noProof/>
        </w:rPr>
        <w:t xml:space="preserve"> Significance Matrix for ICCI Assessment</w:t>
      </w:r>
      <w:r>
        <w:rPr>
          <w:noProof/>
          <w:webHidden/>
        </w:rPr>
        <w:tab/>
      </w:r>
      <w:r>
        <w:rPr>
          <w:noProof/>
          <w:webHidden/>
        </w:rPr>
        <w:fldChar w:fldCharType="begin"/>
      </w:r>
      <w:r>
        <w:rPr>
          <w:noProof/>
          <w:webHidden/>
        </w:rPr>
        <w:instrText xml:space="preserve"> PAGEREF _Toc238199686 \h </w:instrText>
      </w:r>
      <w:r>
        <w:rPr>
          <w:noProof/>
          <w:webHidden/>
        </w:rPr>
      </w:r>
      <w:r>
        <w:rPr>
          <w:noProof/>
          <w:webHidden/>
        </w:rPr>
        <w:fldChar w:fldCharType="separate"/>
      </w:r>
      <w:r w:rsidR="005049F3">
        <w:rPr>
          <w:noProof/>
          <w:webHidden/>
        </w:rPr>
        <w:t>10-12</w:t>
      </w:r>
      <w:r>
        <w:rPr>
          <w:noProof/>
          <w:webHidden/>
        </w:rPr>
        <w:fldChar w:fldCharType="end"/>
      </w:r>
    </w:p>
    <w:p w14:paraId="05DE07EF" w14:textId="6F46E0DD" w:rsidR="00D83C6F" w:rsidRDefault="00D83C6F">
      <w:pPr>
        <w:pStyle w:val="TableofFigures"/>
        <w:rPr>
          <w:rFonts w:eastAsiaTheme="minorEastAsia"/>
          <w:noProof/>
          <w:kern w:val="2"/>
          <w:sz w:val="24"/>
          <w:szCs w:val="24"/>
          <w:lang w:eastAsia="zh-CN"/>
          <w14:ligatures w14:val="standardContextual"/>
        </w:rPr>
      </w:pPr>
      <w:r>
        <w:rPr>
          <w:noProof/>
        </w:rPr>
        <w:t>Table 10</w:t>
      </w:r>
      <w:r>
        <w:rPr>
          <w:noProof/>
        </w:rPr>
        <w:noBreakHyphen/>
        <w:t>12</w:t>
      </w:r>
      <w:r w:rsidR="006232FB">
        <w:rPr>
          <w:noProof/>
        </w:rPr>
        <w:t>:</w:t>
      </w:r>
      <w:r>
        <w:rPr>
          <w:noProof/>
        </w:rPr>
        <w:t xml:space="preserve"> Key Trends - Climate Change Projections for Ireland</w:t>
      </w:r>
      <w:r>
        <w:rPr>
          <w:noProof/>
          <w:webHidden/>
        </w:rPr>
        <w:tab/>
      </w:r>
      <w:r>
        <w:rPr>
          <w:noProof/>
          <w:webHidden/>
        </w:rPr>
        <w:fldChar w:fldCharType="begin"/>
      </w:r>
      <w:r>
        <w:rPr>
          <w:noProof/>
          <w:webHidden/>
        </w:rPr>
        <w:instrText xml:space="preserve"> PAGEREF _Toc238199687 \h </w:instrText>
      </w:r>
      <w:r>
        <w:rPr>
          <w:noProof/>
          <w:webHidden/>
        </w:rPr>
      </w:r>
      <w:r>
        <w:rPr>
          <w:noProof/>
          <w:webHidden/>
        </w:rPr>
        <w:fldChar w:fldCharType="separate"/>
      </w:r>
      <w:r w:rsidR="005049F3">
        <w:rPr>
          <w:noProof/>
          <w:webHidden/>
        </w:rPr>
        <w:t>10-15</w:t>
      </w:r>
      <w:r>
        <w:rPr>
          <w:noProof/>
          <w:webHidden/>
        </w:rPr>
        <w:fldChar w:fldCharType="end"/>
      </w:r>
    </w:p>
    <w:p w14:paraId="31E3173E" w14:textId="25BB56BD" w:rsidR="00D83C6F" w:rsidRDefault="00D83C6F">
      <w:pPr>
        <w:pStyle w:val="TableofFigures"/>
        <w:rPr>
          <w:rFonts w:eastAsiaTheme="minorEastAsia"/>
          <w:noProof/>
          <w:kern w:val="2"/>
          <w:sz w:val="24"/>
          <w:szCs w:val="24"/>
          <w:lang w:eastAsia="zh-CN"/>
          <w14:ligatures w14:val="standardContextual"/>
        </w:rPr>
      </w:pPr>
      <w:r>
        <w:rPr>
          <w:noProof/>
        </w:rPr>
        <w:t>Table 10</w:t>
      </w:r>
      <w:r>
        <w:rPr>
          <w:noProof/>
        </w:rPr>
        <w:noBreakHyphen/>
        <w:t>13</w:t>
      </w:r>
      <w:r w:rsidR="006232FB">
        <w:rPr>
          <w:noProof/>
        </w:rPr>
        <w:t>:</w:t>
      </w:r>
      <w:r>
        <w:rPr>
          <w:noProof/>
        </w:rPr>
        <w:t xml:space="preserve"> Observed Changes in Ireland's Climate Averages between 1991-2020 and 1961-1990</w:t>
      </w:r>
      <w:r>
        <w:rPr>
          <w:noProof/>
          <w:webHidden/>
        </w:rPr>
        <w:tab/>
      </w:r>
      <w:r>
        <w:rPr>
          <w:noProof/>
          <w:webHidden/>
        </w:rPr>
        <w:fldChar w:fldCharType="begin"/>
      </w:r>
      <w:r>
        <w:rPr>
          <w:noProof/>
          <w:webHidden/>
        </w:rPr>
        <w:instrText xml:space="preserve"> PAGEREF _Toc238199688 \h </w:instrText>
      </w:r>
      <w:r>
        <w:rPr>
          <w:noProof/>
          <w:webHidden/>
        </w:rPr>
      </w:r>
      <w:r>
        <w:rPr>
          <w:noProof/>
          <w:webHidden/>
        </w:rPr>
        <w:fldChar w:fldCharType="separate"/>
      </w:r>
      <w:r w:rsidR="005049F3">
        <w:rPr>
          <w:noProof/>
          <w:webHidden/>
        </w:rPr>
        <w:t>10-15</w:t>
      </w:r>
      <w:r>
        <w:rPr>
          <w:noProof/>
          <w:webHidden/>
        </w:rPr>
        <w:fldChar w:fldCharType="end"/>
      </w:r>
    </w:p>
    <w:p w14:paraId="6FFF80EF" w14:textId="2ACA895C" w:rsidR="00D83C6F" w:rsidRDefault="00D83C6F">
      <w:pPr>
        <w:pStyle w:val="TableofFigures"/>
        <w:rPr>
          <w:rFonts w:eastAsiaTheme="minorEastAsia"/>
          <w:noProof/>
          <w:kern w:val="2"/>
          <w:sz w:val="24"/>
          <w:szCs w:val="24"/>
          <w:lang w:eastAsia="zh-CN"/>
          <w14:ligatures w14:val="standardContextual"/>
        </w:rPr>
      </w:pPr>
      <w:r>
        <w:rPr>
          <w:noProof/>
        </w:rPr>
        <w:t>Table 10</w:t>
      </w:r>
      <w:r>
        <w:rPr>
          <w:noProof/>
        </w:rPr>
        <w:noBreakHyphen/>
        <w:t>14</w:t>
      </w:r>
      <w:r w:rsidR="006232FB">
        <w:rPr>
          <w:noProof/>
        </w:rPr>
        <w:t>:</w:t>
      </w:r>
      <w:r>
        <w:rPr>
          <w:noProof/>
        </w:rPr>
        <w:t xml:space="preserve"> Climate Change Baseline and Projection Data for Casement Aerodrome</w:t>
      </w:r>
      <w:r>
        <w:rPr>
          <w:noProof/>
          <w:webHidden/>
        </w:rPr>
        <w:tab/>
      </w:r>
      <w:r>
        <w:rPr>
          <w:noProof/>
          <w:webHidden/>
        </w:rPr>
        <w:fldChar w:fldCharType="begin"/>
      </w:r>
      <w:r>
        <w:rPr>
          <w:noProof/>
          <w:webHidden/>
        </w:rPr>
        <w:instrText xml:space="preserve"> PAGEREF _Toc238199689 \h </w:instrText>
      </w:r>
      <w:r>
        <w:rPr>
          <w:noProof/>
          <w:webHidden/>
        </w:rPr>
      </w:r>
      <w:r>
        <w:rPr>
          <w:noProof/>
          <w:webHidden/>
        </w:rPr>
        <w:fldChar w:fldCharType="separate"/>
      </w:r>
      <w:r w:rsidR="005049F3">
        <w:rPr>
          <w:noProof/>
          <w:webHidden/>
        </w:rPr>
        <w:t>10-17</w:t>
      </w:r>
      <w:r>
        <w:rPr>
          <w:noProof/>
          <w:webHidden/>
        </w:rPr>
        <w:fldChar w:fldCharType="end"/>
      </w:r>
    </w:p>
    <w:p w14:paraId="380241BE" w14:textId="3C7762AA" w:rsidR="00D83C6F" w:rsidRDefault="00D83C6F">
      <w:pPr>
        <w:pStyle w:val="TableofFigures"/>
        <w:rPr>
          <w:rFonts w:eastAsiaTheme="minorEastAsia"/>
          <w:noProof/>
          <w:kern w:val="2"/>
          <w:sz w:val="24"/>
          <w:szCs w:val="24"/>
          <w:lang w:eastAsia="zh-CN"/>
          <w14:ligatures w14:val="standardContextual"/>
        </w:rPr>
      </w:pPr>
      <w:r>
        <w:rPr>
          <w:noProof/>
        </w:rPr>
        <w:t>Table 10</w:t>
      </w:r>
      <w:r>
        <w:rPr>
          <w:noProof/>
        </w:rPr>
        <w:noBreakHyphen/>
        <w:t>15</w:t>
      </w:r>
      <w:r w:rsidR="006232FB">
        <w:rPr>
          <w:noProof/>
        </w:rPr>
        <w:t>:</w:t>
      </w:r>
      <w:r>
        <w:rPr>
          <w:noProof/>
        </w:rPr>
        <w:t xml:space="preserve"> Project Lifecycle GHG Emissions</w:t>
      </w:r>
      <w:r>
        <w:rPr>
          <w:noProof/>
          <w:webHidden/>
        </w:rPr>
        <w:tab/>
      </w:r>
      <w:r>
        <w:rPr>
          <w:noProof/>
          <w:webHidden/>
        </w:rPr>
        <w:fldChar w:fldCharType="begin"/>
      </w:r>
      <w:r>
        <w:rPr>
          <w:noProof/>
          <w:webHidden/>
        </w:rPr>
        <w:instrText xml:space="preserve"> PAGEREF _Toc238199690 \h </w:instrText>
      </w:r>
      <w:r>
        <w:rPr>
          <w:noProof/>
          <w:webHidden/>
        </w:rPr>
      </w:r>
      <w:r>
        <w:rPr>
          <w:noProof/>
          <w:webHidden/>
        </w:rPr>
        <w:fldChar w:fldCharType="separate"/>
      </w:r>
      <w:r w:rsidR="005049F3">
        <w:rPr>
          <w:noProof/>
          <w:webHidden/>
        </w:rPr>
        <w:t>10-22</w:t>
      </w:r>
      <w:r>
        <w:rPr>
          <w:noProof/>
          <w:webHidden/>
        </w:rPr>
        <w:fldChar w:fldCharType="end"/>
      </w:r>
    </w:p>
    <w:p w14:paraId="49A0E5AC" w14:textId="604A5CDA" w:rsidR="00D83C6F" w:rsidRDefault="00D83C6F">
      <w:pPr>
        <w:pStyle w:val="TableofFigures"/>
        <w:rPr>
          <w:rFonts w:eastAsiaTheme="minorEastAsia"/>
          <w:noProof/>
          <w:kern w:val="2"/>
          <w:sz w:val="24"/>
          <w:szCs w:val="24"/>
          <w:lang w:eastAsia="zh-CN"/>
          <w14:ligatures w14:val="standardContextual"/>
        </w:rPr>
      </w:pPr>
      <w:r>
        <w:rPr>
          <w:noProof/>
        </w:rPr>
        <w:t>Table 10</w:t>
      </w:r>
      <w:r>
        <w:rPr>
          <w:noProof/>
        </w:rPr>
        <w:noBreakHyphen/>
        <w:t>16</w:t>
      </w:r>
      <w:r w:rsidR="006232FB">
        <w:rPr>
          <w:noProof/>
        </w:rPr>
        <w:t>:</w:t>
      </w:r>
      <w:r>
        <w:rPr>
          <w:noProof/>
        </w:rPr>
        <w:t xml:space="preserve"> Construction emissions compared to Ireland's Carbon Budgets</w:t>
      </w:r>
      <w:r>
        <w:rPr>
          <w:noProof/>
          <w:webHidden/>
        </w:rPr>
        <w:tab/>
      </w:r>
      <w:r>
        <w:rPr>
          <w:noProof/>
          <w:webHidden/>
        </w:rPr>
        <w:fldChar w:fldCharType="begin"/>
      </w:r>
      <w:r>
        <w:rPr>
          <w:noProof/>
          <w:webHidden/>
        </w:rPr>
        <w:instrText xml:space="preserve"> PAGEREF _Toc238199691 \h </w:instrText>
      </w:r>
      <w:r>
        <w:rPr>
          <w:noProof/>
          <w:webHidden/>
        </w:rPr>
      </w:r>
      <w:r>
        <w:rPr>
          <w:noProof/>
          <w:webHidden/>
        </w:rPr>
        <w:fldChar w:fldCharType="separate"/>
      </w:r>
      <w:r w:rsidR="005049F3">
        <w:rPr>
          <w:noProof/>
          <w:webHidden/>
        </w:rPr>
        <w:t>10-22</w:t>
      </w:r>
      <w:r>
        <w:rPr>
          <w:noProof/>
          <w:webHidden/>
        </w:rPr>
        <w:fldChar w:fldCharType="end"/>
      </w:r>
    </w:p>
    <w:p w14:paraId="3C97D48C" w14:textId="62DFBE34" w:rsidR="00D83C6F" w:rsidRDefault="00D83C6F">
      <w:pPr>
        <w:pStyle w:val="TableofFigures"/>
        <w:rPr>
          <w:rFonts w:eastAsiaTheme="minorEastAsia"/>
          <w:noProof/>
          <w:kern w:val="2"/>
          <w:sz w:val="24"/>
          <w:szCs w:val="24"/>
          <w:lang w:eastAsia="zh-CN"/>
          <w14:ligatures w14:val="standardContextual"/>
        </w:rPr>
      </w:pPr>
      <w:r>
        <w:rPr>
          <w:noProof/>
        </w:rPr>
        <w:t>Table 10</w:t>
      </w:r>
      <w:r>
        <w:rPr>
          <w:noProof/>
        </w:rPr>
        <w:noBreakHyphen/>
        <w:t>17</w:t>
      </w:r>
      <w:r w:rsidR="006232FB">
        <w:rPr>
          <w:noProof/>
        </w:rPr>
        <w:t>:</w:t>
      </w:r>
      <w:r>
        <w:rPr>
          <w:noProof/>
        </w:rPr>
        <w:t xml:space="preserve"> Construction emissions compared to the relevant Ireland's Industry Sectoral Emission Ceiling</w:t>
      </w:r>
      <w:r>
        <w:rPr>
          <w:noProof/>
          <w:webHidden/>
        </w:rPr>
        <w:tab/>
      </w:r>
      <w:r>
        <w:rPr>
          <w:noProof/>
          <w:webHidden/>
        </w:rPr>
        <w:fldChar w:fldCharType="begin"/>
      </w:r>
      <w:r>
        <w:rPr>
          <w:noProof/>
          <w:webHidden/>
        </w:rPr>
        <w:instrText xml:space="preserve"> PAGEREF _Toc238199692 \h </w:instrText>
      </w:r>
      <w:r>
        <w:rPr>
          <w:noProof/>
          <w:webHidden/>
        </w:rPr>
      </w:r>
      <w:r>
        <w:rPr>
          <w:noProof/>
          <w:webHidden/>
        </w:rPr>
        <w:fldChar w:fldCharType="separate"/>
      </w:r>
      <w:r w:rsidR="005049F3">
        <w:rPr>
          <w:noProof/>
          <w:webHidden/>
        </w:rPr>
        <w:t>10-22</w:t>
      </w:r>
      <w:r>
        <w:rPr>
          <w:noProof/>
          <w:webHidden/>
        </w:rPr>
        <w:fldChar w:fldCharType="end"/>
      </w:r>
    </w:p>
    <w:p w14:paraId="27C1C944" w14:textId="18765121" w:rsidR="00D83C6F" w:rsidRDefault="00D83C6F">
      <w:pPr>
        <w:pStyle w:val="TableofFigures"/>
        <w:rPr>
          <w:rFonts w:eastAsiaTheme="minorEastAsia"/>
          <w:noProof/>
          <w:kern w:val="2"/>
          <w:sz w:val="24"/>
          <w:szCs w:val="24"/>
          <w:lang w:eastAsia="zh-CN"/>
          <w14:ligatures w14:val="standardContextual"/>
        </w:rPr>
      </w:pPr>
      <w:r>
        <w:rPr>
          <w:noProof/>
        </w:rPr>
        <w:t>Table 10</w:t>
      </w:r>
      <w:r>
        <w:rPr>
          <w:noProof/>
        </w:rPr>
        <w:noBreakHyphen/>
        <w:t>18</w:t>
      </w:r>
      <w:r w:rsidR="006232FB">
        <w:rPr>
          <w:noProof/>
        </w:rPr>
        <w:t>:</w:t>
      </w:r>
      <w:r>
        <w:rPr>
          <w:noProof/>
        </w:rPr>
        <w:t xml:space="preserve"> Operational GHG Emissions Contribution to Ireland's Carbon Budgets</w:t>
      </w:r>
      <w:r>
        <w:rPr>
          <w:noProof/>
          <w:webHidden/>
        </w:rPr>
        <w:tab/>
      </w:r>
      <w:r>
        <w:rPr>
          <w:noProof/>
          <w:webHidden/>
        </w:rPr>
        <w:fldChar w:fldCharType="begin"/>
      </w:r>
      <w:r>
        <w:rPr>
          <w:noProof/>
          <w:webHidden/>
        </w:rPr>
        <w:instrText xml:space="preserve"> PAGEREF _Toc238199693 \h </w:instrText>
      </w:r>
      <w:r>
        <w:rPr>
          <w:noProof/>
          <w:webHidden/>
        </w:rPr>
      </w:r>
      <w:r>
        <w:rPr>
          <w:noProof/>
          <w:webHidden/>
        </w:rPr>
        <w:fldChar w:fldCharType="separate"/>
      </w:r>
      <w:r w:rsidR="005049F3">
        <w:rPr>
          <w:noProof/>
          <w:webHidden/>
        </w:rPr>
        <w:t>10-23</w:t>
      </w:r>
      <w:r>
        <w:rPr>
          <w:noProof/>
          <w:webHidden/>
        </w:rPr>
        <w:fldChar w:fldCharType="end"/>
      </w:r>
    </w:p>
    <w:p w14:paraId="5052F757" w14:textId="0ED1B8B9" w:rsidR="00D83C6F" w:rsidRDefault="00D83C6F">
      <w:pPr>
        <w:pStyle w:val="TableofFigures"/>
        <w:rPr>
          <w:rFonts w:eastAsiaTheme="minorEastAsia"/>
          <w:noProof/>
          <w:kern w:val="2"/>
          <w:sz w:val="24"/>
          <w:szCs w:val="24"/>
          <w:lang w:eastAsia="zh-CN"/>
          <w14:ligatures w14:val="standardContextual"/>
        </w:rPr>
      </w:pPr>
      <w:r>
        <w:rPr>
          <w:noProof/>
        </w:rPr>
        <w:t>Table 10</w:t>
      </w:r>
      <w:r>
        <w:rPr>
          <w:noProof/>
        </w:rPr>
        <w:noBreakHyphen/>
        <w:t>19</w:t>
      </w:r>
      <w:r w:rsidR="006232FB">
        <w:rPr>
          <w:noProof/>
        </w:rPr>
        <w:t>:</w:t>
      </w:r>
      <w:r>
        <w:rPr>
          <w:noProof/>
        </w:rPr>
        <w:t xml:space="preserve"> Operational GHG Emissions Contribution to Ireland’s Built Environment - Residential Emissions Trajectory</w:t>
      </w:r>
      <w:r>
        <w:rPr>
          <w:noProof/>
          <w:webHidden/>
        </w:rPr>
        <w:tab/>
      </w:r>
      <w:r>
        <w:rPr>
          <w:noProof/>
          <w:webHidden/>
        </w:rPr>
        <w:fldChar w:fldCharType="begin"/>
      </w:r>
      <w:r>
        <w:rPr>
          <w:noProof/>
          <w:webHidden/>
        </w:rPr>
        <w:instrText xml:space="preserve"> PAGEREF _Toc238199694 \h </w:instrText>
      </w:r>
      <w:r>
        <w:rPr>
          <w:noProof/>
          <w:webHidden/>
        </w:rPr>
      </w:r>
      <w:r>
        <w:rPr>
          <w:noProof/>
          <w:webHidden/>
        </w:rPr>
        <w:fldChar w:fldCharType="separate"/>
      </w:r>
      <w:r w:rsidR="005049F3">
        <w:rPr>
          <w:noProof/>
          <w:webHidden/>
        </w:rPr>
        <w:t>10-23</w:t>
      </w:r>
      <w:r>
        <w:rPr>
          <w:noProof/>
          <w:webHidden/>
        </w:rPr>
        <w:fldChar w:fldCharType="end"/>
      </w:r>
    </w:p>
    <w:p w14:paraId="19E7A2F1" w14:textId="37CD25D8" w:rsidR="00D83C6F" w:rsidRDefault="00D83C6F">
      <w:pPr>
        <w:pStyle w:val="TableofFigures"/>
        <w:rPr>
          <w:rFonts w:eastAsiaTheme="minorEastAsia"/>
          <w:noProof/>
          <w:kern w:val="2"/>
          <w:sz w:val="24"/>
          <w:szCs w:val="24"/>
          <w:lang w:eastAsia="zh-CN"/>
          <w14:ligatures w14:val="standardContextual"/>
        </w:rPr>
      </w:pPr>
      <w:r>
        <w:rPr>
          <w:noProof/>
        </w:rPr>
        <w:t>Table 10</w:t>
      </w:r>
      <w:r>
        <w:rPr>
          <w:noProof/>
        </w:rPr>
        <w:noBreakHyphen/>
        <w:t>20</w:t>
      </w:r>
      <w:r w:rsidR="006232FB">
        <w:rPr>
          <w:noProof/>
        </w:rPr>
        <w:t>:</w:t>
      </w:r>
      <w:r>
        <w:rPr>
          <w:noProof/>
        </w:rPr>
        <w:t xml:space="preserve"> Initial Risk Profile for Rathcoole SDCC Housing Development</w:t>
      </w:r>
      <w:r>
        <w:rPr>
          <w:noProof/>
          <w:webHidden/>
        </w:rPr>
        <w:tab/>
      </w:r>
      <w:r>
        <w:rPr>
          <w:noProof/>
          <w:webHidden/>
        </w:rPr>
        <w:fldChar w:fldCharType="begin"/>
      </w:r>
      <w:r>
        <w:rPr>
          <w:noProof/>
          <w:webHidden/>
        </w:rPr>
        <w:instrText xml:space="preserve"> PAGEREF _Toc238199695 \h </w:instrText>
      </w:r>
      <w:r>
        <w:rPr>
          <w:noProof/>
          <w:webHidden/>
        </w:rPr>
      </w:r>
      <w:r>
        <w:rPr>
          <w:noProof/>
          <w:webHidden/>
        </w:rPr>
        <w:fldChar w:fldCharType="separate"/>
      </w:r>
      <w:r w:rsidR="005049F3">
        <w:rPr>
          <w:noProof/>
          <w:webHidden/>
        </w:rPr>
        <w:t>10-25</w:t>
      </w:r>
      <w:r>
        <w:rPr>
          <w:noProof/>
          <w:webHidden/>
        </w:rPr>
        <w:fldChar w:fldCharType="end"/>
      </w:r>
    </w:p>
    <w:p w14:paraId="6662C553" w14:textId="0D2850AE" w:rsidR="00D83C6F" w:rsidRDefault="00D83C6F">
      <w:pPr>
        <w:pStyle w:val="TableofFigures"/>
        <w:rPr>
          <w:rFonts w:eastAsiaTheme="minorEastAsia"/>
          <w:noProof/>
          <w:kern w:val="2"/>
          <w:sz w:val="24"/>
          <w:szCs w:val="24"/>
          <w:lang w:eastAsia="zh-CN"/>
          <w14:ligatures w14:val="standardContextual"/>
        </w:rPr>
      </w:pPr>
      <w:r>
        <w:rPr>
          <w:noProof/>
        </w:rPr>
        <w:t>Table 10</w:t>
      </w:r>
      <w:r>
        <w:rPr>
          <w:noProof/>
        </w:rPr>
        <w:noBreakHyphen/>
        <w:t>21</w:t>
      </w:r>
      <w:r w:rsidR="006232FB">
        <w:rPr>
          <w:noProof/>
        </w:rPr>
        <w:t>:</w:t>
      </w:r>
      <w:r>
        <w:rPr>
          <w:noProof/>
        </w:rPr>
        <w:t xml:space="preserve"> Summary of Residual Effects for the CCRA, ICCI and GHG</w:t>
      </w:r>
      <w:r>
        <w:rPr>
          <w:noProof/>
          <w:webHidden/>
        </w:rPr>
        <w:tab/>
      </w:r>
      <w:r>
        <w:rPr>
          <w:noProof/>
          <w:webHidden/>
        </w:rPr>
        <w:fldChar w:fldCharType="begin"/>
      </w:r>
      <w:r>
        <w:rPr>
          <w:noProof/>
          <w:webHidden/>
        </w:rPr>
        <w:instrText xml:space="preserve"> PAGEREF _Toc238199696 \h </w:instrText>
      </w:r>
      <w:r>
        <w:rPr>
          <w:noProof/>
          <w:webHidden/>
        </w:rPr>
      </w:r>
      <w:r>
        <w:rPr>
          <w:noProof/>
          <w:webHidden/>
        </w:rPr>
        <w:fldChar w:fldCharType="separate"/>
      </w:r>
      <w:r w:rsidR="005049F3">
        <w:rPr>
          <w:noProof/>
          <w:webHidden/>
        </w:rPr>
        <w:t>10-28</w:t>
      </w:r>
      <w:r>
        <w:rPr>
          <w:noProof/>
          <w:webHidden/>
        </w:rPr>
        <w:fldChar w:fldCharType="end"/>
      </w:r>
    </w:p>
    <w:p w14:paraId="7638EFD2" w14:textId="0326BACB" w:rsidR="00D83C6F" w:rsidRDefault="00D83C6F">
      <w:pPr>
        <w:pStyle w:val="TableofFigures"/>
        <w:rPr>
          <w:rFonts w:eastAsiaTheme="minorEastAsia"/>
          <w:noProof/>
          <w:kern w:val="2"/>
          <w:sz w:val="24"/>
          <w:szCs w:val="24"/>
          <w:lang w:eastAsia="zh-CN"/>
          <w14:ligatures w14:val="standardContextual"/>
        </w:rPr>
      </w:pPr>
      <w:r>
        <w:rPr>
          <w:noProof/>
        </w:rPr>
        <w:t>Table 10-23</w:t>
      </w:r>
      <w:r w:rsidR="006232FB">
        <w:rPr>
          <w:noProof/>
        </w:rPr>
        <w:t>:</w:t>
      </w:r>
      <w:r>
        <w:rPr>
          <w:noProof/>
        </w:rPr>
        <w:t xml:space="preserve"> ICCI assessment</w:t>
      </w:r>
      <w:r>
        <w:rPr>
          <w:noProof/>
          <w:webHidden/>
        </w:rPr>
        <w:tab/>
      </w:r>
      <w:r>
        <w:rPr>
          <w:noProof/>
          <w:webHidden/>
        </w:rPr>
        <w:fldChar w:fldCharType="begin"/>
      </w:r>
      <w:r>
        <w:rPr>
          <w:noProof/>
          <w:webHidden/>
        </w:rPr>
        <w:instrText xml:space="preserve"> PAGEREF _Toc238199697 \h </w:instrText>
      </w:r>
      <w:r>
        <w:rPr>
          <w:noProof/>
          <w:webHidden/>
        </w:rPr>
      </w:r>
      <w:r>
        <w:rPr>
          <w:noProof/>
          <w:webHidden/>
        </w:rPr>
        <w:fldChar w:fldCharType="separate"/>
      </w:r>
      <w:r w:rsidR="005049F3">
        <w:rPr>
          <w:noProof/>
          <w:webHidden/>
        </w:rPr>
        <w:t>10-1</w:t>
      </w:r>
      <w:r>
        <w:rPr>
          <w:noProof/>
          <w:webHidden/>
        </w:rPr>
        <w:fldChar w:fldCharType="end"/>
      </w:r>
    </w:p>
    <w:p w14:paraId="7165ACC4" w14:textId="01552FFF" w:rsidR="007935AD" w:rsidRDefault="003964F2" w:rsidP="003964F2">
      <w:pPr>
        <w:pStyle w:val="BodyText"/>
        <w:rPr>
          <w:noProof/>
        </w:rPr>
      </w:pPr>
      <w:r>
        <w:rPr>
          <w:noProof/>
        </w:rPr>
        <w:fldChar w:fldCharType="end"/>
      </w:r>
    </w:p>
    <w:p w14:paraId="64A1CB37" w14:textId="77777777" w:rsidR="007935AD" w:rsidRDefault="007935AD" w:rsidP="000A14DC">
      <w:pPr>
        <w:rPr>
          <w:b/>
          <w:bCs/>
          <w:noProof/>
        </w:rPr>
        <w:sectPr w:rsidR="007935AD" w:rsidSect="00CC1747">
          <w:headerReference w:type="default" r:id="rId17"/>
          <w:footerReference w:type="default" r:id="rId18"/>
          <w:type w:val="continuous"/>
          <w:pgSz w:w="11906" w:h="16838"/>
          <w:pgMar w:top="1134" w:right="1134" w:bottom="851" w:left="1418" w:header="567" w:footer="284" w:gutter="0"/>
          <w:cols w:space="284"/>
          <w:docGrid w:linePitch="360"/>
        </w:sectPr>
      </w:pPr>
    </w:p>
    <w:p w14:paraId="2DFDD8EB" w14:textId="43D0EAD8" w:rsidR="003B18BF" w:rsidRDefault="00463B95" w:rsidP="00463B95">
      <w:pPr>
        <w:pStyle w:val="Heading1"/>
      </w:pPr>
      <w:bookmarkStart w:id="49" w:name="BodyContent"/>
      <w:bookmarkStart w:id="50" w:name="_Toc239776178"/>
      <w:r>
        <w:lastRenderedPageBreak/>
        <w:t>Climate</w:t>
      </w:r>
      <w:bookmarkEnd w:id="50"/>
    </w:p>
    <w:p w14:paraId="7E778456" w14:textId="51148C5A" w:rsidR="00336BAB" w:rsidRDefault="00CD62E2" w:rsidP="00DD621C">
      <w:pPr>
        <w:pStyle w:val="Heading2"/>
      </w:pPr>
      <w:bookmarkStart w:id="51" w:name="_Toc239776179"/>
      <w:r>
        <w:t>Introduction</w:t>
      </w:r>
      <w:bookmarkEnd w:id="51"/>
    </w:p>
    <w:p w14:paraId="42491413" w14:textId="4387F107" w:rsidR="009B3544" w:rsidRDefault="009B3544" w:rsidP="009B3544">
      <w:pPr>
        <w:pStyle w:val="BodyText"/>
      </w:pPr>
      <w:r w:rsidRPr="009B3544">
        <w:t xml:space="preserve">This chapter of the Environmental Impact Assessment Report (EIAR) identifies, describes and assesses the </w:t>
      </w:r>
      <w:r w:rsidR="005A4B9B">
        <w:t>likely</w:t>
      </w:r>
      <w:r w:rsidRPr="009B3544">
        <w:t xml:space="preserve"> significant effects of the Proposed Development on </w:t>
      </w:r>
      <w:r w:rsidR="00381739">
        <w:t>c</w:t>
      </w:r>
      <w:r w:rsidRPr="009B3544">
        <w:t>limate</w:t>
      </w:r>
      <w:r w:rsidR="00003941">
        <w:t xml:space="preserve"> </w:t>
      </w:r>
      <w:r w:rsidR="00BC77D8">
        <w:t>as well as</w:t>
      </w:r>
      <w:r w:rsidR="00003941">
        <w:t xml:space="preserve"> the </w:t>
      </w:r>
      <w:r w:rsidR="00BC77D8">
        <w:t xml:space="preserve">potential </w:t>
      </w:r>
      <w:r w:rsidR="00003941">
        <w:t>effects of climate change on the Proposed Development</w:t>
      </w:r>
      <w:r>
        <w:t>.</w:t>
      </w:r>
    </w:p>
    <w:p w14:paraId="28A3D012" w14:textId="51368537" w:rsidR="009B3544" w:rsidRDefault="009B3544" w:rsidP="009B3544">
      <w:pPr>
        <w:pStyle w:val="BodyText"/>
      </w:pPr>
      <w:r>
        <w:t>In line with European Union (</w:t>
      </w:r>
      <w:r w:rsidRPr="00933059">
        <w:t>Planning and Development) (Environmental Impact Assessment) Regulations 2018 (S.I. No. 296 of 2018)</w:t>
      </w:r>
      <w:r w:rsidR="00933059" w:rsidRPr="00933059">
        <w:t xml:space="preserve"> (European Union, 2018)</w:t>
      </w:r>
      <w:r>
        <w:t xml:space="preserve"> and the Institute of Sustainability and Environmental Professionals (ISEP) </w:t>
      </w:r>
      <w:r w:rsidR="00C32E05">
        <w:t>(</w:t>
      </w:r>
      <w:r w:rsidR="00A37C7B" w:rsidRPr="00A37C7B">
        <w:t>formerly known</w:t>
      </w:r>
      <w:r w:rsidDel="00A37C7B">
        <w:t xml:space="preserve"> </w:t>
      </w:r>
      <w:r>
        <w:t>as the Institute of Environmental Management and Assessment (IEMA)</w:t>
      </w:r>
      <w:r w:rsidR="00C32E05">
        <w:t>)</w:t>
      </w:r>
      <w:r>
        <w:t xml:space="preserve"> </w:t>
      </w:r>
      <w:r w:rsidRPr="00F86D80">
        <w:t>Guidance on Assessing Greenhouse Gas Emissions (ISEP, 2022)</w:t>
      </w:r>
      <w:r w:rsidR="00A65F00">
        <w:t xml:space="preserve">, </w:t>
      </w:r>
      <w:r w:rsidR="00AC6B40">
        <w:t xml:space="preserve">ISEP </w:t>
      </w:r>
      <w:r w:rsidR="00DF058C">
        <w:t xml:space="preserve">Supplementary </w:t>
      </w:r>
      <w:r w:rsidR="00AC6B40">
        <w:t xml:space="preserve">GHG Assessment </w:t>
      </w:r>
      <w:r w:rsidR="00DF058C">
        <w:t>Guidance</w:t>
      </w:r>
      <w:r w:rsidRPr="00F86D80">
        <w:t xml:space="preserve"> </w:t>
      </w:r>
      <w:r w:rsidR="00AC6B40">
        <w:t xml:space="preserve">(ISEP, 2026) </w:t>
      </w:r>
      <w:r w:rsidRPr="00F86D80">
        <w:t>and Climate Change Resilience and Adaptation (ISEP, 2020), consideration</w:t>
      </w:r>
      <w:r w:rsidRPr="009B3544">
        <w:t xml:space="preserve"> is given to the following aspects of climate change assessment</w:t>
      </w:r>
      <w:r>
        <w:t>:</w:t>
      </w:r>
    </w:p>
    <w:p w14:paraId="2F721078" w14:textId="33A1697F" w:rsidR="009B3544" w:rsidRDefault="009B3544" w:rsidP="008928B6">
      <w:pPr>
        <w:pStyle w:val="BulletPoint1"/>
      </w:pPr>
      <w:r>
        <w:t xml:space="preserve">Lifecycle </w:t>
      </w:r>
      <w:r w:rsidR="00AB710E">
        <w:t>G</w:t>
      </w:r>
      <w:r w:rsidR="004B02F7">
        <w:t xml:space="preserve">reenhouse </w:t>
      </w:r>
      <w:r w:rsidR="00AB710E">
        <w:t>G</w:t>
      </w:r>
      <w:r w:rsidR="004B02F7">
        <w:t>as (</w:t>
      </w:r>
      <w:r>
        <w:t>GHG</w:t>
      </w:r>
      <w:r w:rsidR="004B02F7">
        <w:t>)</w:t>
      </w:r>
      <w:r>
        <w:t xml:space="preserve"> Assessment: </w:t>
      </w:r>
      <w:r w:rsidR="00AB710E">
        <w:t xml:space="preserve">an </w:t>
      </w:r>
      <w:r>
        <w:t xml:space="preserve">assessment of the GHG emissions arising over the life of the Proposed Development </w:t>
      </w:r>
      <w:r w:rsidR="00AB710E">
        <w:t xml:space="preserve">and the potential impacts </w:t>
      </w:r>
      <w:r>
        <w:t>on the climate;</w:t>
      </w:r>
    </w:p>
    <w:p w14:paraId="45EE86F9" w14:textId="72E9E3E7" w:rsidR="009B3544" w:rsidRDefault="009B3544" w:rsidP="008928B6">
      <w:pPr>
        <w:pStyle w:val="BulletPoint1"/>
      </w:pPr>
      <w:r>
        <w:t>Climate Change Risk</w:t>
      </w:r>
      <w:r w:rsidR="00BF451F">
        <w:t xml:space="preserve"> Assessment</w:t>
      </w:r>
      <w:r>
        <w:t xml:space="preserve"> (CCR</w:t>
      </w:r>
      <w:r w:rsidR="00BF451F">
        <w:t>A</w:t>
      </w:r>
      <w:r>
        <w:t xml:space="preserve">): </w:t>
      </w:r>
      <w:r w:rsidR="00AB710E">
        <w:t xml:space="preserve">an </w:t>
      </w:r>
      <w:r>
        <w:t>assessment of the vulnerability and risk of the Proposed Development to the projected impacts of climate change; and</w:t>
      </w:r>
    </w:p>
    <w:p w14:paraId="6ABCE991" w14:textId="272EF277" w:rsidR="009B3544" w:rsidRDefault="009B3544" w:rsidP="008928B6">
      <w:pPr>
        <w:pStyle w:val="BulletPoint1"/>
      </w:pPr>
      <w:r>
        <w:t xml:space="preserve">In-combination </w:t>
      </w:r>
      <w:r w:rsidR="00AB710E">
        <w:t>C</w:t>
      </w:r>
      <w:r>
        <w:t xml:space="preserve">limate </w:t>
      </w:r>
      <w:r w:rsidR="00AB710E">
        <w:t>C</w:t>
      </w:r>
      <w:r>
        <w:t xml:space="preserve">hange </w:t>
      </w:r>
      <w:r w:rsidR="00AB710E">
        <w:t>I</w:t>
      </w:r>
      <w:r>
        <w:t>mpact (ICCI)</w:t>
      </w:r>
      <w:r w:rsidR="009736EB">
        <w:t xml:space="preserve"> Assessment</w:t>
      </w:r>
      <w:r>
        <w:t xml:space="preserve">: </w:t>
      </w:r>
      <w:r w:rsidR="00AB710E">
        <w:t xml:space="preserve">an </w:t>
      </w:r>
      <w:r>
        <w:t>assessment of the resilience of receptors in the surrounding environment to the combined impact of future climate conditions and the Proposed Development.</w:t>
      </w:r>
    </w:p>
    <w:p w14:paraId="183F37C3" w14:textId="24284B06" w:rsidR="009B3544" w:rsidRDefault="009B3544" w:rsidP="009B3544">
      <w:pPr>
        <w:pStyle w:val="BodyText"/>
      </w:pPr>
      <w:r>
        <w:t xml:space="preserve">The GHG </w:t>
      </w:r>
      <w:r w:rsidR="00AB710E">
        <w:t>A</w:t>
      </w:r>
      <w:r>
        <w:t>ssessment</w:t>
      </w:r>
      <w:r w:rsidR="00244EB8">
        <w:t xml:space="preserve"> is</w:t>
      </w:r>
      <w:r>
        <w:t xml:space="preserve"> an estimation of GHG emissions </w:t>
      </w:r>
      <w:r w:rsidR="00FE5934">
        <w:t xml:space="preserve">resulting </w:t>
      </w:r>
      <w:r>
        <w:t>f</w:t>
      </w:r>
      <w:r w:rsidR="00FE5934">
        <w:t>rom</w:t>
      </w:r>
      <w:r>
        <w:t xml:space="preserve"> the construction</w:t>
      </w:r>
      <w:r w:rsidR="00AC0692">
        <w:t xml:space="preserve"> and</w:t>
      </w:r>
      <w:r>
        <w:t xml:space="preserve"> operation of the Proposed Development. </w:t>
      </w:r>
    </w:p>
    <w:p w14:paraId="56308252" w14:textId="115ACDE5" w:rsidR="00497D17" w:rsidRDefault="009B3544" w:rsidP="009B3544">
      <w:pPr>
        <w:pStyle w:val="BodyText"/>
      </w:pPr>
      <w:r>
        <w:t>The CCRA consider</w:t>
      </w:r>
      <w:r w:rsidR="00244EB8">
        <w:t>s</w:t>
      </w:r>
      <w:r>
        <w:t xml:space="preserve"> the vulnerability of the Proposed Development to potential impacts </w:t>
      </w:r>
      <w:r w:rsidR="006229AC">
        <w:t>resulting from climate change.</w:t>
      </w:r>
      <w:r>
        <w:t xml:space="preserve"> The ICCI assessment consider</w:t>
      </w:r>
      <w:r w:rsidR="00AB5445">
        <w:t>s</w:t>
      </w:r>
      <w:r>
        <w:t xml:space="preserve"> the </w:t>
      </w:r>
      <w:r w:rsidR="006229AC">
        <w:t xml:space="preserve">combined impact </w:t>
      </w:r>
      <w:r w:rsidR="007B5E25">
        <w:t xml:space="preserve">of climate change and the Proposed Development on other surrounding environmental </w:t>
      </w:r>
      <w:r w:rsidR="00EF306B">
        <w:t>receptors, as identified by the relevant technical discipline</w:t>
      </w:r>
      <w:r w:rsidR="00AB5445">
        <w:t>s reported within this EIAR</w:t>
      </w:r>
      <w:r w:rsidR="00EF306B">
        <w:t xml:space="preserve">. </w:t>
      </w:r>
      <w:r>
        <w:t>The CCR</w:t>
      </w:r>
      <w:r w:rsidR="00BF451F">
        <w:t>A</w:t>
      </w:r>
      <w:r>
        <w:t xml:space="preserve"> and ICCI assessment</w:t>
      </w:r>
      <w:r w:rsidR="00AB5445">
        <w:t>s</w:t>
      </w:r>
      <w:r>
        <w:t xml:space="preserve"> assess the climate change impacts </w:t>
      </w:r>
      <w:r w:rsidR="00EF306B">
        <w:t>during the</w:t>
      </w:r>
      <w:r>
        <w:t xml:space="preserve"> construction and operation</w:t>
      </w:r>
      <w:r w:rsidR="00EF306B">
        <w:t>al</w:t>
      </w:r>
      <w:r>
        <w:t xml:space="preserve"> phase</w:t>
      </w:r>
      <w:r w:rsidR="00EF306B">
        <w:t>s</w:t>
      </w:r>
      <w:r>
        <w:t xml:space="preserve"> of the Proposed Development.</w:t>
      </w:r>
    </w:p>
    <w:p w14:paraId="7548367C" w14:textId="01DE1A84" w:rsidR="00CC3F40" w:rsidRDefault="00CC3F40" w:rsidP="009B3544">
      <w:pPr>
        <w:pStyle w:val="BodyText"/>
      </w:pPr>
      <w:r>
        <w:t xml:space="preserve">Decommissioning has been scoped out of the GHG assessment, </w:t>
      </w:r>
      <w:r w:rsidRPr="00632478">
        <w:t xml:space="preserve">CCRA and </w:t>
      </w:r>
      <w:r w:rsidR="00810DB4">
        <w:t xml:space="preserve">the </w:t>
      </w:r>
      <w:r w:rsidRPr="00632478">
        <w:t>ICCI Assessment,</w:t>
      </w:r>
      <w:r>
        <w:t xml:space="preserve"> as the Proposed Development is expected to remain occupied and in-use after the end of the stated design life, consistent with the wider EIAR.</w:t>
      </w:r>
    </w:p>
    <w:p w14:paraId="31D52C05" w14:textId="3A7BA18A" w:rsidR="00497D17" w:rsidRDefault="00497D17" w:rsidP="00DD621C">
      <w:pPr>
        <w:pStyle w:val="Heading2"/>
      </w:pPr>
      <w:bookmarkStart w:id="52" w:name="_Toc239776180"/>
      <w:r>
        <w:t>Legislation, Policy and Guidance</w:t>
      </w:r>
      <w:bookmarkEnd w:id="52"/>
    </w:p>
    <w:p w14:paraId="2D499526" w14:textId="49E1FFE0" w:rsidR="009B3544" w:rsidRDefault="009B3544" w:rsidP="009B3544">
      <w:pPr>
        <w:pStyle w:val="BodyText"/>
      </w:pPr>
      <w:r>
        <w:t xml:space="preserve">This section summarises the legislation, policy and guidance which have informed the scope and methodology used for </w:t>
      </w:r>
      <w:r w:rsidR="00C91832">
        <w:t>assessment</w:t>
      </w:r>
      <w:r w:rsidR="00810DB4">
        <w:t xml:space="preserve">s reported in this chapter. </w:t>
      </w:r>
      <w:r>
        <w:t xml:space="preserve">More general sources of guidance applicable to the </w:t>
      </w:r>
      <w:r w:rsidR="000F5C34" w:rsidRPr="009B3544">
        <w:t>Environmental Impact Assessment</w:t>
      </w:r>
      <w:r w:rsidR="000F5C34">
        <w:t xml:space="preserve"> (</w:t>
      </w:r>
      <w:r w:rsidR="00810DB4">
        <w:t>EIA</w:t>
      </w:r>
      <w:r w:rsidR="000F5C34">
        <w:t>)</w:t>
      </w:r>
      <w:r w:rsidR="00810DB4">
        <w:t xml:space="preserve"> </w:t>
      </w:r>
      <w:r>
        <w:t xml:space="preserve">methodology can be </w:t>
      </w:r>
      <w:r w:rsidRPr="00A7414A">
        <w:t>found in Chapter</w:t>
      </w:r>
      <w:r w:rsidR="00D414FD" w:rsidRPr="00A7414A">
        <w:t xml:space="preserve"> </w:t>
      </w:r>
      <w:r w:rsidR="00810DB4">
        <w:t>0</w:t>
      </w:r>
      <w:r w:rsidR="00D414FD" w:rsidRPr="00A7414A">
        <w:t>1</w:t>
      </w:r>
      <w:r w:rsidRPr="00A7414A">
        <w:t xml:space="preserve">: </w:t>
      </w:r>
      <w:r w:rsidR="00224561" w:rsidRPr="00A7414A">
        <w:t xml:space="preserve">Introduction &amp; </w:t>
      </w:r>
      <w:r w:rsidRPr="00A7414A">
        <w:t>Methodology.</w:t>
      </w:r>
      <w:r>
        <w:t xml:space="preserve"> </w:t>
      </w:r>
    </w:p>
    <w:p w14:paraId="2B815951" w14:textId="7CE9B5BE" w:rsidR="00D2797C" w:rsidRDefault="009B3544" w:rsidP="009B3544">
      <w:pPr>
        <w:pStyle w:val="BodyText"/>
      </w:pPr>
      <w:r>
        <w:t>In line with the relevant legislation, policy and guidance, th</w:t>
      </w:r>
      <w:r w:rsidR="005130E5">
        <w:t>e GHG A</w:t>
      </w:r>
      <w:r>
        <w:t>ssessment evaluates the GHG impact of the Proposed Development in the context of Ireland's carbon budgets to provide context and scale in relation to Ireland's trajectory towards net zero. The resilience of the Proposed Development to projected climate change impacts is also reviewed</w:t>
      </w:r>
      <w:r w:rsidR="005130E5">
        <w:t xml:space="preserve"> in the CCRA</w:t>
      </w:r>
      <w:r>
        <w:t>.</w:t>
      </w:r>
    </w:p>
    <w:p w14:paraId="427AF78D" w14:textId="7E43BAB6" w:rsidR="00DC7936" w:rsidRDefault="00D123B9" w:rsidP="00DD621C">
      <w:pPr>
        <w:pStyle w:val="Heading3"/>
      </w:pPr>
      <w:bookmarkStart w:id="53" w:name="_Toc239776181"/>
      <w:r>
        <w:t xml:space="preserve">International Agreements and </w:t>
      </w:r>
      <w:r w:rsidR="000F5C34">
        <w:t>Relevant</w:t>
      </w:r>
      <w:r>
        <w:t xml:space="preserve"> </w:t>
      </w:r>
      <w:r w:rsidR="00DC7936">
        <w:t>Legislation</w:t>
      </w:r>
      <w:bookmarkEnd w:id="53"/>
      <w:r w:rsidR="00584334">
        <w:t xml:space="preserve"> </w:t>
      </w:r>
    </w:p>
    <w:p w14:paraId="60EF83A3" w14:textId="77777777" w:rsidR="00584334" w:rsidRDefault="00584334" w:rsidP="00584334">
      <w:pPr>
        <w:pStyle w:val="Heading5"/>
        <w:rPr>
          <w:lang w:val="en-IE"/>
        </w:rPr>
      </w:pPr>
      <w:r>
        <w:rPr>
          <w:lang w:val="en-IE"/>
        </w:rPr>
        <w:t xml:space="preserve">Kyoto Protocol </w:t>
      </w:r>
    </w:p>
    <w:p w14:paraId="79CD2AD2" w14:textId="77777777" w:rsidR="00584334" w:rsidRPr="008A49D6" w:rsidRDefault="00584334" w:rsidP="008928B6">
      <w:pPr>
        <w:pStyle w:val="ListBullet"/>
        <w:numPr>
          <w:ilvl w:val="2"/>
          <w:numId w:val="0"/>
        </w:numPr>
        <w:tabs>
          <w:tab w:val="num" w:pos="1275"/>
        </w:tabs>
      </w:pPr>
      <w:r w:rsidRPr="008A49D6">
        <w:t>The Kyoto Protocol (UNFCCC, 1997) enforces the UN Framework Convention on Climate Change by requiring industrialised countries and transition economies to meet specific GHG emission reduction targets. It mandates that only developed nations are legally bound to reduce emissions, reflecting the principle of ‘common but differentiated responsibility’, which holds these countries more accountable due to their historical contributions to high atmospheric GHG levels. Annex B of the Protocol outlines binding reduction targets for 37 industrialised nations and the EU.</w:t>
      </w:r>
    </w:p>
    <w:p w14:paraId="3BDFFDA5" w14:textId="40D656CF" w:rsidR="009B3544" w:rsidRDefault="009B3544" w:rsidP="009B3544">
      <w:pPr>
        <w:pStyle w:val="Heading5"/>
      </w:pPr>
      <w:r w:rsidRPr="009B3544">
        <w:lastRenderedPageBreak/>
        <w:t>Paris Agreement</w:t>
      </w:r>
    </w:p>
    <w:p w14:paraId="4E99D957" w14:textId="22DDF023" w:rsidR="009B3544" w:rsidRPr="009B3544" w:rsidRDefault="009B3544" w:rsidP="009B3544">
      <w:pPr>
        <w:pStyle w:val="ListBullet"/>
        <w:numPr>
          <w:ilvl w:val="2"/>
          <w:numId w:val="0"/>
        </w:numPr>
        <w:tabs>
          <w:tab w:val="num" w:pos="1275"/>
        </w:tabs>
      </w:pPr>
      <w:r w:rsidRPr="009B3544">
        <w:t>The Paris Agreement</w:t>
      </w:r>
      <w:r w:rsidR="004969B6">
        <w:t xml:space="preserve"> (UNFCCC, 2015)</w:t>
      </w:r>
      <w:r w:rsidRPr="009B3544">
        <w:t xml:space="preserve"> is a legally binding international treaty within the United Nations Framework Convention on Climate Change (UNFCCC) dealing with GHG emissions mitigation, adaptation and finance starting in the year 2020. It requires all signatories to declare their Nationally Determined Contributions (NDC) towards balancing anthropogenic sources and sinks of GHGs in the second half of this century with the objective of keeping global warming to well below 2°C and to pursue efforts to limit global warming to 1.5°C.</w:t>
      </w:r>
    </w:p>
    <w:p w14:paraId="2A85CBC7" w14:textId="77777777" w:rsidR="009B3544" w:rsidRPr="009B3544" w:rsidRDefault="009B3544" w:rsidP="009B3544">
      <w:pPr>
        <w:pStyle w:val="Heading5"/>
        <w:rPr>
          <w:lang w:val="en-IE"/>
        </w:rPr>
      </w:pPr>
      <w:r w:rsidRPr="009B3544">
        <w:rPr>
          <w:lang w:val="en-IE"/>
        </w:rPr>
        <w:t>European Climate Law</w:t>
      </w:r>
    </w:p>
    <w:p w14:paraId="69E74D62" w14:textId="2CEE31AF" w:rsidR="009B3544" w:rsidRPr="009B3544" w:rsidRDefault="009B3544" w:rsidP="009B3544">
      <w:pPr>
        <w:pStyle w:val="BodyText"/>
        <w:rPr>
          <w:lang w:val="en-IE"/>
        </w:rPr>
      </w:pPr>
      <w:r w:rsidRPr="009B3544">
        <w:rPr>
          <w:lang w:val="en-IE"/>
        </w:rPr>
        <w:t xml:space="preserve">The European Climate Law </w:t>
      </w:r>
      <w:r w:rsidR="008640BE">
        <w:rPr>
          <w:lang w:val="en-IE"/>
        </w:rPr>
        <w:t xml:space="preserve">(European </w:t>
      </w:r>
      <w:r w:rsidR="00322C89">
        <w:rPr>
          <w:lang w:val="en-IE"/>
        </w:rPr>
        <w:t>Commission, 2021</w:t>
      </w:r>
      <w:r w:rsidR="009C22D5">
        <w:rPr>
          <w:lang w:val="en-IE"/>
        </w:rPr>
        <w:t>a</w:t>
      </w:r>
      <w:r w:rsidR="00322C89">
        <w:rPr>
          <w:lang w:val="en-IE"/>
        </w:rPr>
        <w:t xml:space="preserve">) </w:t>
      </w:r>
      <w:r w:rsidRPr="009B3544">
        <w:rPr>
          <w:lang w:val="en-IE"/>
        </w:rPr>
        <w:t xml:space="preserve">writes into law the goal set out in the European Green Deal for Europe's economy and society to become climate-neutral by 2050. The law also sets the intermediate target of reducing net </w:t>
      </w:r>
      <w:r w:rsidR="00925928">
        <w:rPr>
          <w:lang w:val="en-IE"/>
        </w:rPr>
        <w:t>GHG</w:t>
      </w:r>
      <w:r w:rsidRPr="009B3544">
        <w:rPr>
          <w:lang w:val="en-IE"/>
        </w:rPr>
        <w:t xml:space="preserve"> emissions by at least 55% by 2030, compared to 1990 levels.</w:t>
      </w:r>
    </w:p>
    <w:p w14:paraId="69909C5D" w14:textId="77777777" w:rsidR="009B3544" w:rsidRPr="009B3544" w:rsidRDefault="009B3544" w:rsidP="009B3544">
      <w:pPr>
        <w:pStyle w:val="Heading5"/>
        <w:rPr>
          <w:lang w:val="en-IE"/>
        </w:rPr>
      </w:pPr>
      <w:r w:rsidRPr="009B3544">
        <w:rPr>
          <w:lang w:val="en-IE"/>
        </w:rPr>
        <w:t>The European Green Deal</w:t>
      </w:r>
    </w:p>
    <w:p w14:paraId="6BCB8DF9" w14:textId="48F4E38F" w:rsidR="009B3544" w:rsidRPr="009B3544" w:rsidRDefault="009B3544" w:rsidP="009B3544">
      <w:pPr>
        <w:pStyle w:val="BodyText"/>
        <w:rPr>
          <w:lang w:val="en-IE"/>
        </w:rPr>
      </w:pPr>
      <w:r w:rsidRPr="009B3544">
        <w:rPr>
          <w:lang w:val="en-IE"/>
        </w:rPr>
        <w:t>The European Green Deal</w:t>
      </w:r>
      <w:r w:rsidR="005E3481">
        <w:rPr>
          <w:lang w:val="en-IE"/>
        </w:rPr>
        <w:t xml:space="preserve"> (European Commission, 2019)</w:t>
      </w:r>
      <w:r w:rsidRPr="009B3544">
        <w:rPr>
          <w:lang w:val="en-IE"/>
        </w:rPr>
        <w:t xml:space="preserve"> is a package of policy initiatives which aims to set the EU on the path to a green transition, with the ultimate goal of reaching climate neutrality by 2050. It supports the transformation of the EU into a fair and prosperous society with a modern and competitive economy.</w:t>
      </w:r>
    </w:p>
    <w:p w14:paraId="34A945A0" w14:textId="23FED013" w:rsidR="003D6B3C" w:rsidRDefault="0019669C" w:rsidP="003D6B3C">
      <w:pPr>
        <w:pStyle w:val="Heading5"/>
        <w:rPr>
          <w:lang w:val="en-IE"/>
        </w:rPr>
      </w:pPr>
      <w:r w:rsidRPr="00261FBC">
        <w:rPr>
          <w:lang w:val="en-IE"/>
        </w:rPr>
        <w:t xml:space="preserve">European Union </w:t>
      </w:r>
      <w:r>
        <w:rPr>
          <w:lang w:val="en-IE"/>
        </w:rPr>
        <w:t>(</w:t>
      </w:r>
      <w:r w:rsidR="003D6B3C" w:rsidRPr="009B3544">
        <w:rPr>
          <w:lang w:val="en-IE"/>
        </w:rPr>
        <w:t>EU</w:t>
      </w:r>
      <w:r>
        <w:rPr>
          <w:lang w:val="en-IE"/>
        </w:rPr>
        <w:t>)</w:t>
      </w:r>
      <w:r w:rsidR="003D6B3C" w:rsidRPr="009B3544">
        <w:rPr>
          <w:lang w:val="en-IE"/>
        </w:rPr>
        <w:t xml:space="preserve"> </w:t>
      </w:r>
      <w:r w:rsidR="003D6B3C">
        <w:rPr>
          <w:lang w:val="en-IE"/>
        </w:rPr>
        <w:t>Adaptation Strategy</w:t>
      </w:r>
    </w:p>
    <w:p w14:paraId="33727342" w14:textId="64B51C66" w:rsidR="003D6B3C" w:rsidRDefault="00261FBC" w:rsidP="009B3544">
      <w:pPr>
        <w:pStyle w:val="BodyText"/>
        <w:rPr>
          <w:lang w:val="en-IE"/>
        </w:rPr>
      </w:pPr>
      <w:r w:rsidRPr="00261FBC">
        <w:rPr>
          <w:lang w:val="en-IE"/>
        </w:rPr>
        <w:t xml:space="preserve">The European Commission adopted its new EU strategy on adaptation to climate change </w:t>
      </w:r>
      <w:r w:rsidR="00BF06A2">
        <w:rPr>
          <w:lang w:val="en-IE"/>
        </w:rPr>
        <w:t xml:space="preserve">(European Commission, 2021b) </w:t>
      </w:r>
      <w:r w:rsidRPr="00261FBC">
        <w:rPr>
          <w:lang w:val="en-IE"/>
        </w:rPr>
        <w:t>on 24 February 2021. The new strategy sets out how the European Union can adapt to the impacts of climate change and become climate resilient by 2050. The Strategy has four principal objectives: to make adaptation smarter, swifter and more systemic, and to step up international action on adaptation to climate change.</w:t>
      </w:r>
    </w:p>
    <w:p w14:paraId="77DA68FC" w14:textId="77777777" w:rsidR="003B038F" w:rsidRPr="009B3544" w:rsidRDefault="003B038F" w:rsidP="003B038F">
      <w:pPr>
        <w:pStyle w:val="Heading5"/>
        <w:rPr>
          <w:lang w:val="en-IE"/>
        </w:rPr>
      </w:pPr>
      <w:r w:rsidRPr="009B3544">
        <w:rPr>
          <w:lang w:val="en-IE"/>
        </w:rPr>
        <w:t>EU Fit for 55</w:t>
      </w:r>
    </w:p>
    <w:p w14:paraId="10FA7413" w14:textId="7F4887D5" w:rsidR="003B038F" w:rsidRPr="009B3544" w:rsidRDefault="003B038F" w:rsidP="003B038F">
      <w:pPr>
        <w:pStyle w:val="BodyText"/>
        <w:rPr>
          <w:lang w:val="en-IE"/>
        </w:rPr>
      </w:pPr>
      <w:r w:rsidRPr="009B3544">
        <w:rPr>
          <w:lang w:val="en-IE"/>
        </w:rPr>
        <w:t xml:space="preserve">On July 14, 2021, the European Commission adopted a package of legislative proposals </w:t>
      </w:r>
      <w:r w:rsidR="00A75BC2">
        <w:rPr>
          <w:lang w:val="en-IE"/>
        </w:rPr>
        <w:t>‘</w:t>
      </w:r>
      <w:r w:rsidRPr="009B3544">
        <w:rPr>
          <w:lang w:val="en-IE"/>
        </w:rPr>
        <w:t>Fit for 55</w:t>
      </w:r>
      <w:r w:rsidR="00A75BC2">
        <w:rPr>
          <w:lang w:val="en-IE"/>
        </w:rPr>
        <w:t>’</w:t>
      </w:r>
      <w:r w:rsidRPr="009B3544">
        <w:rPr>
          <w:lang w:val="en-IE"/>
        </w:rPr>
        <w:t xml:space="preserve"> </w:t>
      </w:r>
      <w:r>
        <w:rPr>
          <w:lang w:val="en-IE"/>
        </w:rPr>
        <w:t>(European Commission, 2021c)</w:t>
      </w:r>
      <w:r w:rsidRPr="009B3544">
        <w:rPr>
          <w:lang w:val="en-IE"/>
        </w:rPr>
        <w:t xml:space="preserve"> as part of the European Green Deal, which aims to strengthen the EU's position as a global climate leader. The package aims to modernise existing legislation in line with the EU's 2030 climate target and introduce new policy measures to help bring about the transformative changes needed in the economy, society and industry to achieve climate neutrality by 2050 and to support it, reduce net emissions by at least 55% (compared to 1990) by 2030.</w:t>
      </w:r>
    </w:p>
    <w:p w14:paraId="5EA6C63B" w14:textId="77777777" w:rsidR="003B038F" w:rsidRDefault="003B038F" w:rsidP="003B038F">
      <w:pPr>
        <w:pStyle w:val="Heading5"/>
        <w:rPr>
          <w:lang w:val="en-IE"/>
        </w:rPr>
      </w:pPr>
      <w:r w:rsidRPr="00DB46C9">
        <w:rPr>
          <w:lang w:val="en-IE"/>
        </w:rPr>
        <w:t>Directive (EU) 2024/1275 of the European Parliament and of the Council of 24 April 2024 on the energy performance of buildings (recast)</w:t>
      </w:r>
    </w:p>
    <w:p w14:paraId="3F0FAB90" w14:textId="77777777" w:rsidR="003B038F" w:rsidRPr="00DB46C9" w:rsidRDefault="003B038F" w:rsidP="003B038F">
      <w:pPr>
        <w:pStyle w:val="BodyText"/>
        <w:rPr>
          <w:lang w:val="en-IE"/>
        </w:rPr>
      </w:pPr>
      <w:r>
        <w:rPr>
          <w:lang w:val="en-IE"/>
        </w:rPr>
        <w:t xml:space="preserve">The EU Directive on the Energy Performance Of Buildings (European Parliament, 2024) </w:t>
      </w:r>
      <w:r w:rsidRPr="00472CB3">
        <w:rPr>
          <w:lang w:val="en-IE"/>
        </w:rPr>
        <w:t>adopted in May 2024, enhances the energy performance requirements for new buildings. It requires all new residential and non-residential buildings to be zero-emission buildings as of 1 January 2028 for buildings owned by public bodies and 1 January 2030 for all other new buildings, with the possibility for specific exemptions. In the revised directive, a zero-emission building has no on-site carbon emissions from fossil fuels and a very high energy performance. The new rules will therefore align the energy performance of buildings with the EU’s climate neutrality goal for 2050 and the energy efficiency first principle.</w:t>
      </w:r>
    </w:p>
    <w:p w14:paraId="45FF7BDA" w14:textId="77777777" w:rsidR="0042645E" w:rsidRPr="00705D7E" w:rsidRDefault="0042645E" w:rsidP="0042645E">
      <w:pPr>
        <w:pStyle w:val="Heading5"/>
        <w:rPr>
          <w:lang w:val="en-IE"/>
        </w:rPr>
      </w:pPr>
      <w:r w:rsidRPr="00705D7E">
        <w:rPr>
          <w:lang w:val="en-IE"/>
        </w:rPr>
        <w:t xml:space="preserve">Climate Action and Low Carbon Development </w:t>
      </w:r>
      <w:r>
        <w:rPr>
          <w:lang w:val="en-IE"/>
        </w:rPr>
        <w:t xml:space="preserve">(Amendment) </w:t>
      </w:r>
      <w:r w:rsidRPr="00705D7E">
        <w:rPr>
          <w:lang w:val="en-IE"/>
        </w:rPr>
        <w:t>Act 2021</w:t>
      </w:r>
    </w:p>
    <w:p w14:paraId="753F3156" w14:textId="77777777" w:rsidR="0042645E" w:rsidRPr="009B3544" w:rsidRDefault="0042645E" w:rsidP="0042645E">
      <w:pPr>
        <w:pStyle w:val="BodyText"/>
        <w:rPr>
          <w:lang w:val="en-IE"/>
        </w:rPr>
      </w:pPr>
      <w:r w:rsidRPr="00705D7E">
        <w:rPr>
          <w:lang w:val="en-IE"/>
        </w:rPr>
        <w:t xml:space="preserve">The Climate Action and Low Carbon Development (Amendment) Act 2021 </w:t>
      </w:r>
      <w:r>
        <w:rPr>
          <w:lang w:val="en-IE"/>
        </w:rPr>
        <w:t xml:space="preserve">(Government of Ireland, 2021) </w:t>
      </w:r>
      <w:r w:rsidRPr="00705D7E">
        <w:rPr>
          <w:lang w:val="en-IE"/>
        </w:rPr>
        <w:t xml:space="preserve">supports Ireland’s transition to </w:t>
      </w:r>
      <w:r>
        <w:rPr>
          <w:lang w:val="en-IE"/>
        </w:rPr>
        <w:t>n</w:t>
      </w:r>
      <w:r w:rsidRPr="00705D7E">
        <w:rPr>
          <w:lang w:val="en-IE"/>
        </w:rPr>
        <w:t xml:space="preserve">et </w:t>
      </w:r>
      <w:r>
        <w:rPr>
          <w:lang w:val="en-IE"/>
        </w:rPr>
        <w:t>z</w:t>
      </w:r>
      <w:r w:rsidRPr="00705D7E">
        <w:rPr>
          <w:lang w:val="en-IE"/>
        </w:rPr>
        <w:t xml:space="preserve">ero and achieving its goal of a climate neutral economy by no later than 2050. It established a legally binding framework with clear targets and commitments set into law, and </w:t>
      </w:r>
      <w:r>
        <w:rPr>
          <w:lang w:val="en-IE"/>
        </w:rPr>
        <w:t>results in the</w:t>
      </w:r>
      <w:r w:rsidRPr="00705D7E">
        <w:rPr>
          <w:lang w:val="en-IE"/>
        </w:rPr>
        <w:t xml:space="preserve"> necessary structures and processes </w:t>
      </w:r>
      <w:r>
        <w:rPr>
          <w:lang w:val="en-IE"/>
        </w:rPr>
        <w:t>being</w:t>
      </w:r>
      <w:r w:rsidRPr="00705D7E">
        <w:rPr>
          <w:lang w:val="en-IE"/>
        </w:rPr>
        <w:t xml:space="preserve"> embedded on a statutory basis </w:t>
      </w:r>
      <w:r>
        <w:rPr>
          <w:lang w:val="en-IE"/>
        </w:rPr>
        <w:t>for</w:t>
      </w:r>
      <w:r w:rsidRPr="00705D7E">
        <w:rPr>
          <w:lang w:val="en-IE"/>
        </w:rPr>
        <w:t xml:space="preserve"> Ireland </w:t>
      </w:r>
      <w:r>
        <w:rPr>
          <w:lang w:val="en-IE"/>
        </w:rPr>
        <w:t xml:space="preserve">to </w:t>
      </w:r>
      <w:r w:rsidRPr="00705D7E">
        <w:rPr>
          <w:lang w:val="en-IE"/>
        </w:rPr>
        <w:t>achieve its national, EU and international climate goals and obligations in the near and long term.</w:t>
      </w:r>
      <w:r>
        <w:rPr>
          <w:lang w:val="en-IE"/>
        </w:rPr>
        <w:t xml:space="preserve"> Section 15 of this Act describes how GHG emissions should be reported in relation to Ireland’s national carbon budgets.</w:t>
      </w:r>
    </w:p>
    <w:p w14:paraId="30B7E7D7" w14:textId="6FF483C4" w:rsidR="00DC7936" w:rsidRDefault="00643066" w:rsidP="00DC7936">
      <w:pPr>
        <w:pStyle w:val="Heading3"/>
      </w:pPr>
      <w:bookmarkStart w:id="54" w:name="_Toc239752966"/>
      <w:bookmarkStart w:id="55" w:name="_Toc239776182"/>
      <w:bookmarkEnd w:id="54"/>
      <w:r>
        <w:t xml:space="preserve">National </w:t>
      </w:r>
      <w:r w:rsidR="00DC7936">
        <w:t>Policy</w:t>
      </w:r>
      <w:bookmarkEnd w:id="55"/>
    </w:p>
    <w:p w14:paraId="0617D839" w14:textId="2DE19EEA" w:rsidR="009B3544" w:rsidRDefault="009B3544" w:rsidP="009B3544">
      <w:pPr>
        <w:pStyle w:val="Heading5"/>
        <w:rPr>
          <w:lang w:val="en-IE"/>
        </w:rPr>
      </w:pPr>
      <w:r w:rsidRPr="009B3544">
        <w:rPr>
          <w:lang w:val="en-IE"/>
        </w:rPr>
        <w:t>Ireland’s Climate Action Plan 202</w:t>
      </w:r>
      <w:r w:rsidR="00655523">
        <w:rPr>
          <w:lang w:val="en-IE"/>
        </w:rPr>
        <w:t>5</w:t>
      </w:r>
    </w:p>
    <w:p w14:paraId="696BF92D" w14:textId="0E1B062C" w:rsidR="00997338" w:rsidRDefault="00F359E6" w:rsidP="008928B6">
      <w:pPr>
        <w:pStyle w:val="BodyText"/>
      </w:pPr>
      <w:r w:rsidRPr="00F359E6">
        <w:rPr>
          <w:lang w:val="en-IE"/>
        </w:rPr>
        <w:t xml:space="preserve">The Climate Action Plan (CAP) 2025 is the third annual update to Ireland’s Climate Action Plan 2019. This plan is the second to be prepared under the Climate Action and Low Carbon Development (Amendment) Act 2021. It builds on the introduction of carbon budgets and sectoral emissions ceilings in Climate Action Plan 2024 and sets a course for Ireland’s targets to halve emissions by 2030 and reach net-zero no later than 2050. These national targets align with the legally binding economy-wide carbon budgets and sectoral </w:t>
      </w:r>
      <w:r w:rsidRPr="00F359E6">
        <w:rPr>
          <w:lang w:val="en-IE"/>
        </w:rPr>
        <w:lastRenderedPageBreak/>
        <w:t xml:space="preserve">emissions ceilings that were agreed by Government in July 2022 alongside Ireland’s obligations under EU and international treaties, most notably the Paris Agreement (2015) and the European Green Deal (2020). </w:t>
      </w:r>
    </w:p>
    <w:p w14:paraId="68CF86BA" w14:textId="2051C50D" w:rsidR="00CE64D4" w:rsidRDefault="00CE64D4" w:rsidP="00CE64D4">
      <w:pPr>
        <w:pStyle w:val="Heading3"/>
      </w:pPr>
      <w:bookmarkStart w:id="56" w:name="_Toc239776183"/>
      <w:r>
        <w:t>Local Policy</w:t>
      </w:r>
      <w:bookmarkEnd w:id="56"/>
    </w:p>
    <w:p w14:paraId="067AB9CF" w14:textId="77777777" w:rsidR="005737BC" w:rsidRPr="005737BC" w:rsidRDefault="00CE64D4" w:rsidP="005737BC">
      <w:pPr>
        <w:pStyle w:val="Heading5"/>
      </w:pPr>
      <w:r>
        <w:rPr>
          <w:lang w:val="en-IE"/>
        </w:rPr>
        <w:t xml:space="preserve">South Dublin County Council (SDCC) </w:t>
      </w:r>
      <w:r w:rsidR="005737BC" w:rsidRPr="005737BC">
        <w:t>Climate Action Plan 2024-2029</w:t>
      </w:r>
    </w:p>
    <w:p w14:paraId="6FD1D8ED" w14:textId="7DE32ECE" w:rsidR="00F359E6" w:rsidRDefault="00A42E45" w:rsidP="00F359E6">
      <w:pPr>
        <w:pStyle w:val="BodyText"/>
        <w:rPr>
          <w:lang w:val="en-IE"/>
        </w:rPr>
      </w:pPr>
      <w:r w:rsidRPr="00A42E45">
        <w:rPr>
          <w:lang w:val="en-IE"/>
        </w:rPr>
        <w:t xml:space="preserve">The </w:t>
      </w:r>
      <w:r w:rsidR="000457B0">
        <w:rPr>
          <w:lang w:val="en-IE"/>
        </w:rPr>
        <w:t>SDCC</w:t>
      </w:r>
      <w:r w:rsidRPr="00A42E45">
        <w:rPr>
          <w:lang w:val="en-IE"/>
        </w:rPr>
        <w:t xml:space="preserve"> Climate Action Plan 2024-2029 was </w:t>
      </w:r>
      <w:r w:rsidR="00195CF6" w:rsidRPr="00195CF6">
        <w:rPr>
          <w:lang w:val="en-IE"/>
        </w:rPr>
        <w:t xml:space="preserve">approved on 12 February 2024 and </w:t>
      </w:r>
      <w:r w:rsidR="0048785A" w:rsidRPr="0048785A">
        <w:rPr>
          <w:lang w:val="en-IE"/>
        </w:rPr>
        <w:t>published</w:t>
      </w:r>
      <w:r w:rsidRPr="00A42E45">
        <w:rPr>
          <w:lang w:val="en-IE"/>
        </w:rPr>
        <w:t xml:space="preserve"> </w:t>
      </w:r>
      <w:r w:rsidR="00195CF6" w:rsidRPr="00195CF6">
        <w:rPr>
          <w:lang w:val="en-IE"/>
        </w:rPr>
        <w:t xml:space="preserve">on 7 </w:t>
      </w:r>
      <w:r w:rsidR="0048785A" w:rsidRPr="0048785A">
        <w:rPr>
          <w:lang w:val="en-IE"/>
        </w:rPr>
        <w:t xml:space="preserve">March </w:t>
      </w:r>
      <w:r w:rsidRPr="00A42E45">
        <w:rPr>
          <w:lang w:val="en-IE"/>
        </w:rPr>
        <w:t>2024</w:t>
      </w:r>
      <w:r w:rsidR="0048785A" w:rsidRPr="0048785A">
        <w:rPr>
          <w:lang w:val="en-IE"/>
        </w:rPr>
        <w:t>.</w:t>
      </w:r>
      <w:r w:rsidRPr="00A42E45">
        <w:rPr>
          <w:lang w:val="en-IE"/>
        </w:rPr>
        <w:t xml:space="preserve"> </w:t>
      </w:r>
      <w:r w:rsidR="00195CF6" w:rsidRPr="00195CF6">
        <w:rPr>
          <w:lang w:val="en-IE"/>
        </w:rPr>
        <w:t xml:space="preserve">It </w:t>
      </w:r>
      <w:r w:rsidRPr="00A42E45">
        <w:rPr>
          <w:lang w:val="en-IE"/>
        </w:rPr>
        <w:t xml:space="preserve">sets out </w:t>
      </w:r>
      <w:r w:rsidR="0048785A" w:rsidRPr="0048785A">
        <w:rPr>
          <w:lang w:val="en-IE"/>
        </w:rPr>
        <w:t xml:space="preserve">mitigation, adaptation and other climate action measures </w:t>
      </w:r>
      <w:r w:rsidR="00195CF6" w:rsidRPr="00195CF6">
        <w:rPr>
          <w:lang w:val="en-IE"/>
        </w:rPr>
        <w:t>under</w:t>
      </w:r>
      <w:r w:rsidR="00A9619A" w:rsidRPr="00A9619A">
        <w:rPr>
          <w:lang w:val="en-IE"/>
        </w:rPr>
        <w:t xml:space="preserve"> the Climate Action and Low Carbon Development (Amendment) Act 2021</w:t>
      </w:r>
      <w:r w:rsidR="00195CF6" w:rsidRPr="00195CF6">
        <w:rPr>
          <w:lang w:val="en-IE"/>
        </w:rPr>
        <w:t>, supporting</w:t>
      </w:r>
      <w:r w:rsidR="00A9619A" w:rsidRPr="00A9619A">
        <w:rPr>
          <w:lang w:val="en-IE"/>
        </w:rPr>
        <w:t xml:space="preserve"> the National Climate Objective of </w:t>
      </w:r>
      <w:r w:rsidR="00195CF6" w:rsidRPr="00195CF6">
        <w:rPr>
          <w:lang w:val="en-IE"/>
        </w:rPr>
        <w:t>a</w:t>
      </w:r>
      <w:r w:rsidR="00A9619A" w:rsidRPr="00A9619A">
        <w:rPr>
          <w:lang w:val="en-IE"/>
        </w:rPr>
        <w:t xml:space="preserve"> climate-neutral economy by 2050. </w:t>
      </w:r>
      <w:r w:rsidR="00195CF6" w:rsidRPr="00195CF6">
        <w:rPr>
          <w:lang w:val="en-IE"/>
        </w:rPr>
        <w:t xml:space="preserve">The Plan centres on four targets: </w:t>
      </w:r>
      <w:r w:rsidR="00CD7278" w:rsidRPr="00CD7278">
        <w:rPr>
          <w:lang w:val="en-IE"/>
        </w:rPr>
        <w:t>50% improvement in the Council’s energy efficiency by 2030;</w:t>
      </w:r>
      <w:r w:rsidR="00CD7278">
        <w:rPr>
          <w:lang w:val="en-IE"/>
        </w:rPr>
        <w:t xml:space="preserve"> </w:t>
      </w:r>
      <w:r w:rsidR="00CD7278" w:rsidRPr="00CD7278">
        <w:rPr>
          <w:lang w:val="en-IE"/>
        </w:rPr>
        <w:t>51% reduction in the Council’s GHG emissions by 2030;</w:t>
      </w:r>
      <w:r w:rsidR="00CD7278">
        <w:rPr>
          <w:lang w:val="en-IE"/>
        </w:rPr>
        <w:t xml:space="preserve"> </w:t>
      </w:r>
      <w:r w:rsidR="00472860">
        <w:rPr>
          <w:lang w:val="en-IE"/>
        </w:rPr>
        <w:t>t</w:t>
      </w:r>
      <w:r w:rsidR="00CD7278" w:rsidRPr="00CD7278">
        <w:rPr>
          <w:lang w:val="en-IE"/>
        </w:rPr>
        <w:t>o make Dublin a climate resilient region, by reducing the impacts of future climate change-related events; and</w:t>
      </w:r>
      <w:r w:rsidR="00472860">
        <w:rPr>
          <w:lang w:val="en-IE"/>
        </w:rPr>
        <w:t xml:space="preserve"> t</w:t>
      </w:r>
      <w:r w:rsidR="00CD7278" w:rsidRPr="00CD7278">
        <w:rPr>
          <w:lang w:val="en-IE"/>
        </w:rPr>
        <w:t>o actively engage and inform our communities on climate action</w:t>
      </w:r>
      <w:r w:rsidR="00F359E6" w:rsidRPr="00F359E6">
        <w:rPr>
          <w:lang w:val="en-IE"/>
        </w:rPr>
        <w:t>.</w:t>
      </w:r>
    </w:p>
    <w:p w14:paraId="4F70F47D" w14:textId="20B1FD0B" w:rsidR="00DC7936" w:rsidRDefault="00DC7936" w:rsidP="00DC7936">
      <w:pPr>
        <w:pStyle w:val="Heading3"/>
      </w:pPr>
      <w:bookmarkStart w:id="57" w:name="_Toc239752969"/>
      <w:bookmarkStart w:id="58" w:name="_Toc239752970"/>
      <w:bookmarkStart w:id="59" w:name="_Toc239776184"/>
      <w:bookmarkEnd w:id="57"/>
      <w:bookmarkEnd w:id="58"/>
      <w:r>
        <w:t>Guidance</w:t>
      </w:r>
      <w:bookmarkEnd w:id="59"/>
    </w:p>
    <w:p w14:paraId="0C0FAF68" w14:textId="04B5E665" w:rsidR="008F7B47" w:rsidRPr="008F7B47" w:rsidRDefault="008F7B47" w:rsidP="008F7B47">
      <w:pPr>
        <w:pStyle w:val="Heading5"/>
        <w:rPr>
          <w:lang w:val="en-IE"/>
        </w:rPr>
      </w:pPr>
      <w:r w:rsidRPr="008F7B47">
        <w:rPr>
          <w:lang w:val="en-IE"/>
        </w:rPr>
        <w:t xml:space="preserve">UK DEFRA </w:t>
      </w:r>
      <w:r w:rsidR="00897BCF">
        <w:rPr>
          <w:lang w:val="en-IE"/>
        </w:rPr>
        <w:t xml:space="preserve">&amp; </w:t>
      </w:r>
      <w:r w:rsidRPr="008F7B47">
        <w:rPr>
          <w:lang w:val="en-IE"/>
        </w:rPr>
        <w:t>DESNZ Guidance</w:t>
      </w:r>
    </w:p>
    <w:p w14:paraId="50C8CEEB" w14:textId="52D52974" w:rsidR="008F7B47" w:rsidRPr="008F7B47" w:rsidRDefault="008F7B47" w:rsidP="008F7B47">
      <w:pPr>
        <w:pStyle w:val="BodyText"/>
        <w:rPr>
          <w:lang w:val="en-IE"/>
        </w:rPr>
      </w:pPr>
      <w:r w:rsidRPr="008F7B47">
        <w:rPr>
          <w:lang w:val="en-IE"/>
        </w:rPr>
        <w:t xml:space="preserve">The UK Department for Environment, Food and Rural Affairs (DEFRA) and </w:t>
      </w:r>
      <w:r w:rsidR="002302AF">
        <w:rPr>
          <w:lang w:val="en-IE"/>
        </w:rPr>
        <w:t xml:space="preserve">the UK </w:t>
      </w:r>
      <w:r w:rsidRPr="008F7B47">
        <w:rPr>
          <w:lang w:val="en-IE"/>
        </w:rPr>
        <w:t xml:space="preserve">Department for Energy Security and Net Zero (DESNZ) Greenhouse Gas Reporting: Conversion Factors </w:t>
      </w:r>
      <w:r w:rsidR="00FE2E6F" w:rsidRPr="008F7B47">
        <w:rPr>
          <w:lang w:val="en-IE"/>
        </w:rPr>
        <w:t>202</w:t>
      </w:r>
      <w:r w:rsidR="00FE2E6F">
        <w:rPr>
          <w:lang w:val="en-IE"/>
        </w:rPr>
        <w:t>5</w:t>
      </w:r>
      <w:r w:rsidR="00FE2E6F" w:rsidRPr="008F7B47">
        <w:rPr>
          <w:lang w:val="en-IE"/>
        </w:rPr>
        <w:t xml:space="preserve"> </w:t>
      </w:r>
      <w:r w:rsidR="00E836AB">
        <w:rPr>
          <w:lang w:val="en-IE"/>
        </w:rPr>
        <w:t xml:space="preserve">(DESNZ, 2025) </w:t>
      </w:r>
      <w:r w:rsidRPr="008F7B47">
        <w:rPr>
          <w:lang w:val="en-IE"/>
        </w:rPr>
        <w:t>provides a comprehensive set of factors for converting various activities and emissions into equivalent GHG emissions. These conversion factors allow organizations to calculate and report their GHG emissions accurately and consistently, covering sectors such as energy, transport, waste management and agriculture. The document includes updated emission factors for different fuels</w:t>
      </w:r>
      <w:r w:rsidR="008B1C2B">
        <w:rPr>
          <w:lang w:val="en-IE"/>
        </w:rPr>
        <w:t xml:space="preserve">, </w:t>
      </w:r>
      <w:r w:rsidRPr="008F7B47">
        <w:rPr>
          <w:lang w:val="en-IE"/>
        </w:rPr>
        <w:t>energy use and waste disposal methods, enabling businesses and policymakers to assess their environmental impact and develop effective strategies for reducing GHG emissions.</w:t>
      </w:r>
    </w:p>
    <w:p w14:paraId="42B6F8AB" w14:textId="3FD10285" w:rsidR="008F7B47" w:rsidRPr="008F7B47" w:rsidRDefault="008F7B47" w:rsidP="008F7B47">
      <w:pPr>
        <w:pStyle w:val="BodyText"/>
        <w:rPr>
          <w:lang w:val="en-IE"/>
        </w:rPr>
      </w:pPr>
      <w:r w:rsidRPr="008F7B47">
        <w:rPr>
          <w:lang w:val="en-IE"/>
        </w:rPr>
        <w:t xml:space="preserve">This UK guidance has been used </w:t>
      </w:r>
      <w:r w:rsidR="007F1D4A">
        <w:rPr>
          <w:lang w:val="en-IE"/>
        </w:rPr>
        <w:t>where</w:t>
      </w:r>
      <w:r w:rsidRPr="008F7B47">
        <w:rPr>
          <w:lang w:val="en-IE"/>
        </w:rPr>
        <w:t xml:space="preserve"> relevant</w:t>
      </w:r>
      <w:r w:rsidR="0059499D">
        <w:rPr>
          <w:lang w:val="en-IE"/>
        </w:rPr>
        <w:t xml:space="preserve"> national</w:t>
      </w:r>
      <w:r w:rsidR="007F1D4A">
        <w:rPr>
          <w:lang w:val="en-IE"/>
        </w:rPr>
        <w:t>-specific</w:t>
      </w:r>
      <w:r w:rsidRPr="008F7B47">
        <w:rPr>
          <w:lang w:val="en-IE"/>
        </w:rPr>
        <w:t xml:space="preserve"> GHG emission factor data </w:t>
      </w:r>
      <w:r w:rsidR="007F1D4A">
        <w:rPr>
          <w:lang w:val="en-IE"/>
        </w:rPr>
        <w:t>are not available for</w:t>
      </w:r>
      <w:r w:rsidRPr="008F7B47">
        <w:rPr>
          <w:lang w:val="en-IE"/>
        </w:rPr>
        <w:t xml:space="preserve"> Ireland. Furthermore, The DEFRA/DESNZ Conversion Factors are appropriate to use in Ireland in the absence of Irish-specific emission factors </w:t>
      </w:r>
      <w:r w:rsidR="007F1D4A">
        <w:rPr>
          <w:lang w:val="en-IE"/>
        </w:rPr>
        <w:t>as</w:t>
      </w:r>
      <w:r w:rsidR="007F1D4A" w:rsidRPr="008F7B47">
        <w:rPr>
          <w:lang w:val="en-IE"/>
        </w:rPr>
        <w:t xml:space="preserve"> </w:t>
      </w:r>
      <w:r w:rsidRPr="008F7B47">
        <w:rPr>
          <w:lang w:val="en-IE"/>
        </w:rPr>
        <w:t>they provide a standardized and widely accepted framework for calculating and reporting GHG emissions, ensuring consistency and comparability across different sectors and allowing for a meaningful assessment of environmental impact.</w:t>
      </w:r>
    </w:p>
    <w:p w14:paraId="006E9629" w14:textId="77777777" w:rsidR="008F7B47" w:rsidRPr="008F7B47" w:rsidRDefault="008F7B47" w:rsidP="008F7B47">
      <w:pPr>
        <w:pStyle w:val="Heading5"/>
        <w:rPr>
          <w:lang w:val="en-IE"/>
        </w:rPr>
      </w:pPr>
      <w:r w:rsidRPr="008F7B47">
        <w:rPr>
          <w:lang w:val="en-IE"/>
        </w:rPr>
        <w:t xml:space="preserve">EU Commission Notice (2021/C 373/01) </w:t>
      </w:r>
    </w:p>
    <w:p w14:paraId="7EDD1CA2" w14:textId="7D64F2F7" w:rsidR="008F7B47" w:rsidRDefault="008F7B47" w:rsidP="008F7B47">
      <w:pPr>
        <w:pStyle w:val="BodyText"/>
        <w:rPr>
          <w:lang w:val="en-IE"/>
        </w:rPr>
      </w:pPr>
      <w:r w:rsidRPr="13F86E48">
        <w:t>The EU Commission Guidance (2021/C 373/01)</w:t>
      </w:r>
      <w:r w:rsidR="0009383E" w:rsidRPr="13F86E48">
        <w:t xml:space="preserve"> (European Commission, 2021d)</w:t>
      </w:r>
      <w:r w:rsidRPr="13F86E48">
        <w:t xml:space="preserve"> provides technical guidance on the climate proofing of infrastructure covering the period 2021-2027. ‘Climate proofing’ is defined within the guidance notice as “</w:t>
      </w:r>
      <w:r w:rsidRPr="008928B6">
        <w:rPr>
          <w:i/>
        </w:rPr>
        <w:t>a process that integrates climate change mitigation and adaptation measures into the development of infrastructure projects</w:t>
      </w:r>
      <w:r w:rsidRPr="13F86E48">
        <w:t>”.</w:t>
      </w:r>
      <w:r w:rsidR="007048F1" w:rsidRPr="13F86E48">
        <w:t xml:space="preserve"> </w:t>
      </w:r>
      <w:r w:rsidRPr="008F7B47">
        <w:rPr>
          <w:lang w:val="en-IE"/>
        </w:rPr>
        <w:t>Climate change mitigation (i.e. GHG emissions reduction) and adaptation (i.e. adapting to projected changes in climate) form the two pillars of climate proofing described within the guidance notice.</w:t>
      </w:r>
    </w:p>
    <w:p w14:paraId="38623EA7" w14:textId="3CDF9737" w:rsidR="00D52F2C" w:rsidRPr="008F7B47" w:rsidRDefault="00857E88" w:rsidP="00D52F2C">
      <w:pPr>
        <w:pStyle w:val="Heading5"/>
        <w:rPr>
          <w:lang w:val="en-IE"/>
        </w:rPr>
      </w:pPr>
      <w:r w:rsidRPr="00857E88">
        <w:rPr>
          <w:lang w:val="en-IE"/>
        </w:rPr>
        <w:t>Publicly Available Standard (PAS) 2080:2023 Carbon Management in Buildings and Infrastructure</w:t>
      </w:r>
      <w:r w:rsidR="00D52F2C" w:rsidRPr="008F7B47">
        <w:rPr>
          <w:lang w:val="en-IE"/>
        </w:rPr>
        <w:t xml:space="preserve"> </w:t>
      </w:r>
    </w:p>
    <w:p w14:paraId="23175CEA" w14:textId="0DD3E5D0" w:rsidR="00D52F2C" w:rsidRDefault="00E40573" w:rsidP="00D52F2C">
      <w:pPr>
        <w:pStyle w:val="BodyText"/>
        <w:rPr>
          <w:lang w:val="en-IE"/>
        </w:rPr>
      </w:pPr>
      <w:r w:rsidRPr="00E40573">
        <w:rPr>
          <w:lang w:val="en-IE"/>
        </w:rPr>
        <w:t xml:space="preserve">PAS </w:t>
      </w:r>
      <w:r w:rsidRPr="005C6596">
        <w:rPr>
          <w:lang w:val="en-IE"/>
        </w:rPr>
        <w:t>2080:2023 (</w:t>
      </w:r>
      <w:r w:rsidR="005C6596" w:rsidRPr="00A7414A">
        <w:rPr>
          <w:lang w:val="en-IE"/>
        </w:rPr>
        <w:t>BSI, 2023</w:t>
      </w:r>
      <w:r w:rsidRPr="005C6596">
        <w:rPr>
          <w:lang w:val="en-IE"/>
        </w:rPr>
        <w:t>) provides guidance on how to manage carbon emissions and promote sustainability in infrastructure projects. The standard outlines a framework for the management of GHG emissions throughout the project lifecycle</w:t>
      </w:r>
      <w:r w:rsidRPr="00E40573">
        <w:rPr>
          <w:lang w:val="en-IE"/>
        </w:rPr>
        <w:t>, from planning and design to construction and operation</w:t>
      </w:r>
      <w:r w:rsidR="00D52F2C" w:rsidRPr="008F7B47">
        <w:rPr>
          <w:lang w:val="en-IE"/>
        </w:rPr>
        <w:t>.</w:t>
      </w:r>
    </w:p>
    <w:p w14:paraId="029261D6" w14:textId="6FBEA7B5" w:rsidR="00D52F2C" w:rsidRPr="008F7B47" w:rsidRDefault="00AC3C4C" w:rsidP="00D52F2C">
      <w:pPr>
        <w:pStyle w:val="Heading5"/>
        <w:rPr>
          <w:lang w:val="en-IE"/>
        </w:rPr>
      </w:pPr>
      <w:r w:rsidRPr="00AC3C4C">
        <w:rPr>
          <w:lang w:val="en-IE"/>
        </w:rPr>
        <w:t>University of Bath Inventory of Carbon and Energy</w:t>
      </w:r>
      <w:r w:rsidR="00D52F2C" w:rsidRPr="008F7B47">
        <w:rPr>
          <w:lang w:val="en-IE"/>
        </w:rPr>
        <w:t xml:space="preserve"> </w:t>
      </w:r>
    </w:p>
    <w:p w14:paraId="2BF21BD5" w14:textId="24C9D775" w:rsidR="00D52F2C" w:rsidRDefault="00520C5D" w:rsidP="008F7B47">
      <w:pPr>
        <w:pStyle w:val="BodyText"/>
        <w:rPr>
          <w:lang w:val="en-IE"/>
        </w:rPr>
      </w:pPr>
      <w:r w:rsidRPr="00520C5D">
        <w:rPr>
          <w:lang w:val="en-IE"/>
        </w:rPr>
        <w:t>The University of Bath's Inventory of Carbon and Energy (ICE) database</w:t>
      </w:r>
      <w:r w:rsidR="00FF14CD">
        <w:rPr>
          <w:lang w:val="en-IE"/>
        </w:rPr>
        <w:t xml:space="preserve"> (ICE, 2025)</w:t>
      </w:r>
      <w:r w:rsidRPr="00520C5D">
        <w:rPr>
          <w:lang w:val="en-IE"/>
        </w:rPr>
        <w:t xml:space="preserve">, developed in collaboration with Circular Ecology, provides a comprehensive resource on the environmental impacts of producing, using, and disposing of various goods and services, particularly construction materials. The ICE database, which focuses on the cradle-to-gate lifecycle stages (A1-A3), offers average carbon factors derived from thousands of data points. It allows users to obtain embodied carbon values for major building materials, including lower-carbon alternatives like </w:t>
      </w:r>
      <w:r w:rsidR="00ED43EC">
        <w:rPr>
          <w:lang w:val="en-IE"/>
        </w:rPr>
        <w:t>Pulverised Fuel Ash (</w:t>
      </w:r>
      <w:r w:rsidRPr="00520C5D">
        <w:rPr>
          <w:lang w:val="en-IE"/>
        </w:rPr>
        <w:t>PFA</w:t>
      </w:r>
      <w:r w:rsidR="00ED43EC">
        <w:rPr>
          <w:lang w:val="en-IE"/>
        </w:rPr>
        <w:t xml:space="preserve">) </w:t>
      </w:r>
      <w:r w:rsidRPr="00520C5D">
        <w:rPr>
          <w:lang w:val="en-IE"/>
        </w:rPr>
        <w:t xml:space="preserve">and </w:t>
      </w:r>
      <w:r w:rsidR="00DF5CC3">
        <w:rPr>
          <w:lang w:val="en-IE"/>
        </w:rPr>
        <w:t xml:space="preserve">Ground </w:t>
      </w:r>
      <w:r w:rsidR="00ED43EC">
        <w:rPr>
          <w:lang w:val="en-IE"/>
        </w:rPr>
        <w:t xml:space="preserve">Granulated </w:t>
      </w:r>
      <w:r w:rsidR="00944AC3">
        <w:rPr>
          <w:lang w:val="en-IE"/>
        </w:rPr>
        <w:t>Blast Furnace Slag (</w:t>
      </w:r>
      <w:r w:rsidRPr="00520C5D">
        <w:rPr>
          <w:lang w:val="en-IE"/>
        </w:rPr>
        <w:t>GGBS</w:t>
      </w:r>
      <w:r w:rsidR="00944AC3">
        <w:rPr>
          <w:lang w:val="en-IE"/>
        </w:rPr>
        <w:t>)</w:t>
      </w:r>
      <w:r w:rsidRPr="00520C5D">
        <w:rPr>
          <w:lang w:val="en-IE"/>
        </w:rPr>
        <w:t xml:space="preserve"> mixtures</w:t>
      </w:r>
      <w:r w:rsidR="00D52F2C" w:rsidRPr="008F7B47">
        <w:rPr>
          <w:lang w:val="en-IE"/>
        </w:rPr>
        <w:t>.</w:t>
      </w:r>
    </w:p>
    <w:p w14:paraId="2F0AD80B" w14:textId="77777777" w:rsidR="00DB6CA9" w:rsidRDefault="007A23C3" w:rsidP="007A23C3">
      <w:pPr>
        <w:pStyle w:val="BodyText"/>
        <w:rPr>
          <w:rFonts w:asciiTheme="majorHAnsi" w:eastAsiaTheme="majorEastAsia" w:hAnsiTheme="majorHAnsi" w:cstheme="majorBidi"/>
          <w:b/>
          <w:color w:val="008768" w:themeColor="accent1"/>
          <w:lang w:val="en-IE"/>
        </w:rPr>
      </w:pPr>
      <w:r w:rsidRPr="00614039">
        <w:rPr>
          <w:rFonts w:asciiTheme="majorHAnsi" w:eastAsiaTheme="majorEastAsia" w:hAnsiTheme="majorHAnsi" w:cstheme="majorBidi"/>
          <w:b/>
          <w:color w:val="008768" w:themeColor="accent1"/>
          <w:lang w:val="en-IE"/>
        </w:rPr>
        <w:t xml:space="preserve">Royal </w:t>
      </w:r>
      <w:r w:rsidR="00614039" w:rsidRPr="00614039">
        <w:rPr>
          <w:rFonts w:asciiTheme="majorHAnsi" w:eastAsiaTheme="majorEastAsia" w:hAnsiTheme="majorHAnsi" w:cstheme="majorBidi"/>
          <w:b/>
          <w:color w:val="008768" w:themeColor="accent1"/>
          <w:lang w:val="en-IE"/>
        </w:rPr>
        <w:t>Institution</w:t>
      </w:r>
      <w:r w:rsidRPr="00614039">
        <w:rPr>
          <w:rFonts w:asciiTheme="majorHAnsi" w:eastAsiaTheme="majorEastAsia" w:hAnsiTheme="majorHAnsi" w:cstheme="majorBidi"/>
          <w:b/>
          <w:color w:val="008768" w:themeColor="accent1"/>
          <w:lang w:val="en-IE"/>
        </w:rPr>
        <w:t xml:space="preserve"> of Chartered Surveyors (RICS) Professional </w:t>
      </w:r>
      <w:r w:rsidR="0094579F" w:rsidRPr="00614039">
        <w:rPr>
          <w:rFonts w:asciiTheme="majorHAnsi" w:eastAsiaTheme="majorEastAsia" w:hAnsiTheme="majorHAnsi" w:cstheme="majorBidi"/>
          <w:b/>
          <w:color w:val="008768" w:themeColor="accent1"/>
          <w:lang w:val="en-IE"/>
        </w:rPr>
        <w:t>Standard</w:t>
      </w:r>
      <w:r w:rsidR="00614039" w:rsidRPr="00614039">
        <w:rPr>
          <w:rFonts w:asciiTheme="majorHAnsi" w:eastAsiaTheme="majorEastAsia" w:hAnsiTheme="majorHAnsi" w:cstheme="majorBidi"/>
          <w:b/>
          <w:color w:val="008768" w:themeColor="accent1"/>
          <w:lang w:val="en-IE"/>
        </w:rPr>
        <w:t>:</w:t>
      </w:r>
      <w:r w:rsidRPr="00614039">
        <w:rPr>
          <w:rFonts w:asciiTheme="majorHAnsi" w:eastAsiaTheme="majorEastAsia" w:hAnsiTheme="majorHAnsi" w:cstheme="majorBidi"/>
          <w:b/>
          <w:color w:val="008768" w:themeColor="accent1"/>
          <w:lang w:val="en-IE"/>
        </w:rPr>
        <w:t xml:space="preserve"> Whole Life Carbon Assessment</w:t>
      </w:r>
      <w:r w:rsidR="00614039" w:rsidRPr="00614039">
        <w:rPr>
          <w:rFonts w:asciiTheme="majorHAnsi" w:eastAsiaTheme="majorEastAsia" w:hAnsiTheme="majorHAnsi" w:cstheme="majorBidi"/>
          <w:b/>
          <w:color w:val="008768" w:themeColor="accent1"/>
          <w:lang w:val="en-IE"/>
        </w:rPr>
        <w:t xml:space="preserve"> for the Built Environment (2nd edition, 2023)</w:t>
      </w:r>
    </w:p>
    <w:p w14:paraId="58C8E588" w14:textId="6C775C31" w:rsidR="00E42B8F" w:rsidRPr="00E42B8F" w:rsidRDefault="00E42B8F" w:rsidP="00E42B8F">
      <w:pPr>
        <w:pStyle w:val="BodyText"/>
        <w:rPr>
          <w:lang w:val="en-IE"/>
        </w:rPr>
      </w:pPr>
      <w:r w:rsidRPr="00E42B8F">
        <w:rPr>
          <w:lang w:val="en-IE"/>
        </w:rPr>
        <w:t xml:space="preserve">The RICS </w:t>
      </w:r>
      <w:r w:rsidR="00E72E60">
        <w:rPr>
          <w:lang w:val="en-IE"/>
        </w:rPr>
        <w:t>WLCA</w:t>
      </w:r>
      <w:r w:rsidRPr="00E42B8F">
        <w:rPr>
          <w:lang w:val="en-IE"/>
        </w:rPr>
        <w:t xml:space="preserve"> Standard</w:t>
      </w:r>
      <w:r w:rsidR="00E72E60">
        <w:rPr>
          <w:lang w:val="en-IE"/>
        </w:rPr>
        <w:t xml:space="preserve"> (RICS, 2023)</w:t>
      </w:r>
      <w:r w:rsidRPr="00E42B8F">
        <w:rPr>
          <w:lang w:val="en-IE"/>
        </w:rPr>
        <w:t xml:space="preserve"> provides a consistent life cycle GHG assessment implementation plan and reporting structure for built projects, in accordance with BS EN 15978: 2011 Sustainability of construction works Assessment of environmental performance of buildings Calculation method.</w:t>
      </w:r>
    </w:p>
    <w:p w14:paraId="24B92C07" w14:textId="77777777" w:rsidR="00886B21" w:rsidRPr="008F7B47" w:rsidRDefault="00886B21" w:rsidP="00886B21">
      <w:pPr>
        <w:pStyle w:val="Heading5"/>
        <w:rPr>
          <w:lang w:val="en-IE"/>
        </w:rPr>
      </w:pPr>
      <w:r>
        <w:rPr>
          <w:lang w:val="en-IE"/>
        </w:rPr>
        <w:lastRenderedPageBreak/>
        <w:t>ISEP</w:t>
      </w:r>
      <w:r w:rsidRPr="008F7B47">
        <w:rPr>
          <w:lang w:val="en-IE"/>
        </w:rPr>
        <w:t xml:space="preserve"> </w:t>
      </w:r>
      <w:r>
        <w:rPr>
          <w:lang w:val="en-IE"/>
        </w:rPr>
        <w:t xml:space="preserve">Guide: </w:t>
      </w:r>
      <w:r w:rsidRPr="00020A1B">
        <w:rPr>
          <w:lang w:val="en-IE"/>
        </w:rPr>
        <w:t>Assessing Greenhouse Gas Emissions and Evaluating their Significance</w:t>
      </w:r>
    </w:p>
    <w:p w14:paraId="74843D71" w14:textId="2C51C96C" w:rsidR="00EE1F59" w:rsidRPr="00EE1F59" w:rsidRDefault="00EE1F59" w:rsidP="00026F6E">
      <w:pPr>
        <w:pStyle w:val="BodyText"/>
        <w:rPr>
          <w:lang w:val="en-IE"/>
        </w:rPr>
      </w:pPr>
      <w:r w:rsidRPr="00026F6E">
        <w:rPr>
          <w:lang w:val="en-IE"/>
        </w:rPr>
        <w:t>The ISEP</w:t>
      </w:r>
      <w:r w:rsidRPr="00EE1F59">
        <w:rPr>
          <w:lang w:val="en-IE"/>
        </w:rPr>
        <w:t xml:space="preserve"> guidance</w:t>
      </w:r>
      <w:r w:rsidR="006338F0" w:rsidRPr="00026F6E">
        <w:rPr>
          <w:lang w:val="en-IE"/>
        </w:rPr>
        <w:t xml:space="preserve"> (ISEP, 2022</w:t>
      </w:r>
      <w:r w:rsidR="00804E3C">
        <w:rPr>
          <w:lang w:val="en-IE"/>
        </w:rPr>
        <w:t xml:space="preserve"> and 2026 Edition</w:t>
      </w:r>
      <w:r w:rsidR="006338F0" w:rsidRPr="00026F6E">
        <w:rPr>
          <w:lang w:val="en-IE"/>
        </w:rPr>
        <w:t>)</w:t>
      </w:r>
      <w:r w:rsidRPr="00EE1F59">
        <w:rPr>
          <w:lang w:val="en-IE"/>
        </w:rPr>
        <w:t xml:space="preserve"> provides a methodology for GHG emissions assessment, mitigation and reporting within statutory and non-statutory EIA, including the establishment of baseline emissions and the evaluation of their significance.</w:t>
      </w:r>
    </w:p>
    <w:p w14:paraId="5B8539CB" w14:textId="77777777" w:rsidR="00886B21" w:rsidRPr="00834CAA" w:rsidRDefault="00886B21" w:rsidP="00886B21">
      <w:pPr>
        <w:pStyle w:val="Heading5"/>
        <w:rPr>
          <w:lang w:val="en-IE"/>
        </w:rPr>
      </w:pPr>
      <w:r w:rsidRPr="008928B6">
        <w:rPr>
          <w:lang w:val="en-IE"/>
        </w:rPr>
        <w:t>ISEP EIA Guide to: Climate Change Resilience and Adaptation</w:t>
      </w:r>
    </w:p>
    <w:p w14:paraId="67472512" w14:textId="2ECEB93E" w:rsidR="00886B21" w:rsidRDefault="00026F6E" w:rsidP="008F7B47">
      <w:pPr>
        <w:pStyle w:val="BodyText"/>
        <w:rPr>
          <w:lang w:val="en-IE"/>
        </w:rPr>
      </w:pPr>
      <w:r w:rsidRPr="00026F6E">
        <w:rPr>
          <w:lang w:val="en-IE"/>
        </w:rPr>
        <w:t>This ISEP guidance (ISEP,</w:t>
      </w:r>
      <w:r w:rsidR="00FE45CD">
        <w:rPr>
          <w:lang w:val="en-IE"/>
        </w:rPr>
        <w:t xml:space="preserve"> </w:t>
      </w:r>
      <w:r w:rsidRPr="00026F6E">
        <w:rPr>
          <w:lang w:val="en-IE"/>
        </w:rPr>
        <w:t>2020) provides a framework for assessing climate change resilience and adaptation within EIA, covering the identification of climate risks and vulnerabilities and the evaluation of their significance.</w:t>
      </w:r>
    </w:p>
    <w:p w14:paraId="3D65CE0E" w14:textId="5E5F531D" w:rsidR="00911729" w:rsidRDefault="00911729" w:rsidP="00F425BB">
      <w:pPr>
        <w:pStyle w:val="Heading2"/>
      </w:pPr>
      <w:bookmarkStart w:id="60" w:name="_Toc239776185"/>
      <w:r>
        <w:t>Methodology</w:t>
      </w:r>
      <w:bookmarkEnd w:id="60"/>
    </w:p>
    <w:p w14:paraId="59E39704" w14:textId="40ED81F9" w:rsidR="00911729" w:rsidRDefault="008F7B47" w:rsidP="008F7B47">
      <w:pPr>
        <w:pStyle w:val="Heading3"/>
      </w:pPr>
      <w:bookmarkStart w:id="61" w:name="_Toc239752973"/>
      <w:bookmarkStart w:id="62" w:name="_Toc239752974"/>
      <w:bookmarkStart w:id="63" w:name="_Ref239682683"/>
      <w:bookmarkStart w:id="64" w:name="_Toc239776186"/>
      <w:bookmarkEnd w:id="61"/>
      <w:bookmarkEnd w:id="62"/>
      <w:r w:rsidRPr="008F7B47">
        <w:t>Lifecycle GHG Impact Assessment</w:t>
      </w:r>
      <w:bookmarkEnd w:id="63"/>
      <w:bookmarkEnd w:id="64"/>
    </w:p>
    <w:p w14:paraId="144BA234" w14:textId="7D8C354B" w:rsidR="008F7B47" w:rsidRDefault="008F7B47" w:rsidP="008F7B47">
      <w:pPr>
        <w:pStyle w:val="BodyText"/>
        <w:rPr>
          <w:lang w:val="en-IE"/>
        </w:rPr>
      </w:pPr>
      <w:r w:rsidRPr="008F7B47">
        <w:rPr>
          <w:lang w:val="en-IE"/>
        </w:rPr>
        <w:t xml:space="preserve">This </w:t>
      </w:r>
      <w:r w:rsidR="00C76466">
        <w:rPr>
          <w:lang w:val="en-IE"/>
        </w:rPr>
        <w:t>section</w:t>
      </w:r>
      <w:r w:rsidRPr="008F7B47">
        <w:rPr>
          <w:lang w:val="en-IE"/>
        </w:rPr>
        <w:t xml:space="preserve"> presents the methodology used to quantify the GHG emissions </w:t>
      </w:r>
      <w:r w:rsidR="00894B60">
        <w:rPr>
          <w:lang w:val="en-IE"/>
        </w:rPr>
        <w:t>resulting from the construction and operation of</w:t>
      </w:r>
      <w:r w:rsidRPr="008F7B47">
        <w:rPr>
          <w:lang w:val="en-IE"/>
        </w:rPr>
        <w:t xml:space="preserve"> the Proposed Development,</w:t>
      </w:r>
      <w:r w:rsidR="00AF6896">
        <w:rPr>
          <w:lang w:val="en-IE"/>
        </w:rPr>
        <w:t xml:space="preserve"> and</w:t>
      </w:r>
      <w:r w:rsidRPr="008F7B47">
        <w:rPr>
          <w:lang w:val="en-IE"/>
        </w:rPr>
        <w:t xml:space="preserve"> the method for determining the significance of these GHG emissions. The methodology presented is in accordance with best practice for GHG accounting.</w:t>
      </w:r>
    </w:p>
    <w:p w14:paraId="2D789724" w14:textId="0BC5AFAA" w:rsidR="00E657E0" w:rsidRDefault="00811A33" w:rsidP="008C5A7C">
      <w:pPr>
        <w:pStyle w:val="Heading4"/>
        <w:rPr>
          <w:lang w:val="en-IE"/>
        </w:rPr>
      </w:pPr>
      <w:r>
        <w:rPr>
          <w:lang w:val="en-IE"/>
        </w:rPr>
        <w:t>Assessment Methodology</w:t>
      </w:r>
    </w:p>
    <w:p w14:paraId="16835ECF" w14:textId="359E0414" w:rsidR="00002F83" w:rsidRPr="00B43503" w:rsidRDefault="00002F83" w:rsidP="00002F83">
      <w:pPr>
        <w:pStyle w:val="BodyText"/>
        <w:rPr>
          <w:lang w:val="en-IE"/>
        </w:rPr>
      </w:pPr>
      <w:r w:rsidRPr="00B43503">
        <w:rPr>
          <w:lang w:val="en-IE"/>
        </w:rPr>
        <w:t xml:space="preserve">To identify the magnitude of GHG impact over the lifecycle of the Proposed Development, GHG emissions </w:t>
      </w:r>
      <w:r w:rsidR="008044EE">
        <w:rPr>
          <w:lang w:val="en-IE"/>
        </w:rPr>
        <w:t>have been</w:t>
      </w:r>
      <w:r w:rsidR="008044EE" w:rsidRPr="00B43503">
        <w:rPr>
          <w:lang w:val="en-IE"/>
        </w:rPr>
        <w:t xml:space="preserve"> </w:t>
      </w:r>
      <w:r w:rsidRPr="00B43503">
        <w:rPr>
          <w:lang w:val="en-IE"/>
        </w:rPr>
        <w:t xml:space="preserve">calculated in line with the PAS 2080:2023 Guidance </w:t>
      </w:r>
      <w:r w:rsidR="008526C9">
        <w:rPr>
          <w:lang w:val="en-IE"/>
        </w:rPr>
        <w:t xml:space="preserve">(BSI, 2023) </w:t>
      </w:r>
      <w:r w:rsidR="00370C2B">
        <w:rPr>
          <w:lang w:val="en-IE"/>
        </w:rPr>
        <w:t>and ISEP guidance</w:t>
      </w:r>
      <w:r w:rsidR="00BD5C1E">
        <w:rPr>
          <w:lang w:val="en-IE"/>
        </w:rPr>
        <w:t xml:space="preserve"> (ISEP, 2020) (ISEP, 2022)</w:t>
      </w:r>
      <w:r w:rsidRPr="00B43503">
        <w:rPr>
          <w:lang w:val="en-IE"/>
        </w:rPr>
        <w:t>. GHG emissions from construction activities, embodied carbon in materials, and the operation of the Proposed Development have been quantified using a calculation-based methodology</w:t>
      </w:r>
      <w:r w:rsidR="00370C2B">
        <w:rPr>
          <w:lang w:val="en-IE"/>
        </w:rPr>
        <w:t>:</w:t>
      </w:r>
      <w:r w:rsidRPr="00B43503">
        <w:rPr>
          <w:lang w:val="en-IE"/>
        </w:rPr>
        <w:t xml:space="preserve"> </w:t>
      </w:r>
    </w:p>
    <w:p w14:paraId="48D8E62B" w14:textId="77777777" w:rsidR="00002F83" w:rsidRPr="00D816F0" w:rsidRDefault="00002F83" w:rsidP="00002F83">
      <w:pPr>
        <w:pStyle w:val="BodyText"/>
        <w:jc w:val="center"/>
        <w:rPr>
          <w:i/>
          <w:iCs/>
        </w:rPr>
      </w:pPr>
      <w:r w:rsidRPr="00D816F0">
        <w:rPr>
          <w:i/>
          <w:iCs/>
        </w:rPr>
        <w:t>Activity data x GHG emissions factor = GHG emissions value</w:t>
      </w:r>
    </w:p>
    <w:p w14:paraId="4402D796" w14:textId="2DF3D9E9" w:rsidR="00002F83" w:rsidRDefault="00002F83" w:rsidP="00002F83">
      <w:pPr>
        <w:pStyle w:val="BodyText"/>
      </w:pPr>
      <w:r>
        <w:t xml:space="preserve">Activity data is a quantifiable measure of activity, such as operating hours or volumes of fuels used. Emission factors convert the activity data into GHG emissions. Specific activity data </w:t>
      </w:r>
      <w:r w:rsidR="003C7A7A">
        <w:t>for the Proposed Development are not currently available</w:t>
      </w:r>
      <w:r>
        <w:t>. Where specific data was not available, a mix of assumptions and industry benchmarks have been used to fill data gaps. Where this was not possible, then a qualitative approach to assessing the GHG impacts was followed, in line with the ISEP GHG Guidance</w:t>
      </w:r>
      <w:r w:rsidR="00523692">
        <w:t xml:space="preserve"> (ISEP, 2022)</w:t>
      </w:r>
      <w:r>
        <w:t xml:space="preserve">. </w:t>
      </w:r>
    </w:p>
    <w:p w14:paraId="3C1578C6" w14:textId="066B317A" w:rsidR="00002F83" w:rsidRDefault="00002F83" w:rsidP="00002F83">
      <w:pPr>
        <w:pStyle w:val="BodyText"/>
      </w:pPr>
      <w:r>
        <w:t xml:space="preserve">To calculate </w:t>
      </w:r>
      <w:r w:rsidR="00037701">
        <w:t xml:space="preserve">the </w:t>
      </w:r>
      <w:r>
        <w:t xml:space="preserve">lifecycle GHG emissions impact of the Proposed Development, GHG emissions </w:t>
      </w:r>
      <w:r w:rsidR="00037701">
        <w:t xml:space="preserve">have been </w:t>
      </w:r>
      <w:r>
        <w:t>reported in tonnes of carbon dioxide equivalent (tCO</w:t>
      </w:r>
      <w:r w:rsidRPr="00CA0B93">
        <w:rPr>
          <w:vertAlign w:val="subscript"/>
        </w:rPr>
        <w:t>2</w:t>
      </w:r>
      <w:r>
        <w:t xml:space="preserve">e). Where appropriate GHG emissions factors allow, the following seven Kyoto Protocol GHGs </w:t>
      </w:r>
      <w:r w:rsidR="00190BDE">
        <w:t xml:space="preserve">have been </w:t>
      </w:r>
      <w:r>
        <w:t>collectively accounted for under tCO</w:t>
      </w:r>
      <w:r w:rsidRPr="00CA0B93">
        <w:rPr>
          <w:vertAlign w:val="subscript"/>
        </w:rPr>
        <w:t>2</w:t>
      </w:r>
      <w:r>
        <w:t>e in line with the GHG Protocol:</w:t>
      </w:r>
    </w:p>
    <w:p w14:paraId="1EC71142" w14:textId="12597171" w:rsidR="00002F83" w:rsidRDefault="00002F83" w:rsidP="008928B6">
      <w:pPr>
        <w:pStyle w:val="BulletPoint1"/>
      </w:pPr>
      <w:r>
        <w:t>Carbon dioxide (CO</w:t>
      </w:r>
      <w:r w:rsidRPr="00CA0B93">
        <w:rPr>
          <w:vertAlign w:val="subscript"/>
        </w:rPr>
        <w:t>2</w:t>
      </w:r>
      <w:r>
        <w:t>)</w:t>
      </w:r>
      <w:r w:rsidR="00190BDE">
        <w:t>;</w:t>
      </w:r>
      <w:r>
        <w:t xml:space="preserve"> </w:t>
      </w:r>
    </w:p>
    <w:p w14:paraId="55EDD5D6" w14:textId="43776800" w:rsidR="00002F83" w:rsidRDefault="00002F83" w:rsidP="008928B6">
      <w:pPr>
        <w:pStyle w:val="BulletPoint1"/>
      </w:pPr>
      <w:r>
        <w:t>Methane (CH</w:t>
      </w:r>
      <w:r w:rsidRPr="00CA0B93">
        <w:rPr>
          <w:vertAlign w:val="subscript"/>
        </w:rPr>
        <w:t>4</w:t>
      </w:r>
      <w:r>
        <w:t>)</w:t>
      </w:r>
      <w:r w:rsidR="00190BDE">
        <w:t>;</w:t>
      </w:r>
      <w:r>
        <w:t xml:space="preserve"> </w:t>
      </w:r>
    </w:p>
    <w:p w14:paraId="203149D0" w14:textId="716452ED" w:rsidR="00002F83" w:rsidRDefault="00002F83" w:rsidP="008928B6">
      <w:pPr>
        <w:pStyle w:val="BulletPoint1"/>
      </w:pPr>
      <w:r>
        <w:t>Nitrous oxide (N</w:t>
      </w:r>
      <w:r w:rsidRPr="00CA0B93">
        <w:rPr>
          <w:vertAlign w:val="subscript"/>
        </w:rPr>
        <w:t>2</w:t>
      </w:r>
      <w:r>
        <w:t>O)</w:t>
      </w:r>
      <w:r w:rsidR="00190BDE">
        <w:t>;</w:t>
      </w:r>
      <w:r>
        <w:t xml:space="preserve"> </w:t>
      </w:r>
    </w:p>
    <w:p w14:paraId="1DE96697" w14:textId="48FF4224" w:rsidR="00002F83" w:rsidRDefault="00002F83" w:rsidP="008928B6">
      <w:pPr>
        <w:pStyle w:val="BulletPoint1"/>
      </w:pPr>
      <w:r>
        <w:t>Sulphur hexafluoride (SF</w:t>
      </w:r>
      <w:r w:rsidRPr="00CA0B93">
        <w:rPr>
          <w:vertAlign w:val="subscript"/>
        </w:rPr>
        <w:t>6</w:t>
      </w:r>
      <w:r>
        <w:t>)</w:t>
      </w:r>
      <w:r w:rsidR="00190BDE">
        <w:t>;</w:t>
      </w:r>
      <w:r>
        <w:t xml:space="preserve"> </w:t>
      </w:r>
    </w:p>
    <w:p w14:paraId="1E1160E9" w14:textId="5955BE15" w:rsidR="00002F83" w:rsidRDefault="00002F83" w:rsidP="008928B6">
      <w:pPr>
        <w:pStyle w:val="BulletPoint1"/>
      </w:pPr>
      <w:r>
        <w:t>Hydrofluorocarbons (HFCs)</w:t>
      </w:r>
      <w:r w:rsidR="00190BDE">
        <w:t>;</w:t>
      </w:r>
    </w:p>
    <w:p w14:paraId="1BBF8B03" w14:textId="3AD306F6" w:rsidR="00002F83" w:rsidRDefault="00002F83" w:rsidP="008928B6">
      <w:pPr>
        <w:pStyle w:val="BulletPoint1"/>
      </w:pPr>
      <w:r>
        <w:t>Perfluorocarbons (PFCs)</w:t>
      </w:r>
      <w:r w:rsidR="00190BDE">
        <w:t>; and</w:t>
      </w:r>
      <w:r>
        <w:t xml:space="preserve"> </w:t>
      </w:r>
    </w:p>
    <w:p w14:paraId="1E44A6B1" w14:textId="276D6C79" w:rsidR="00002F83" w:rsidRDefault="00002F83" w:rsidP="008928B6">
      <w:pPr>
        <w:pStyle w:val="BulletPoint1"/>
      </w:pPr>
      <w:r>
        <w:t>Nitrogen Trifluoride (NF</w:t>
      </w:r>
      <w:r w:rsidRPr="00CA0B93">
        <w:rPr>
          <w:vertAlign w:val="subscript"/>
        </w:rPr>
        <w:t>3</w:t>
      </w:r>
      <w:r>
        <w:t>)</w:t>
      </w:r>
      <w:r w:rsidR="00190BDE">
        <w:t>.</w:t>
      </w:r>
    </w:p>
    <w:p w14:paraId="2389F8A4" w14:textId="4969FE46" w:rsidR="003406C7" w:rsidRDefault="00272269" w:rsidP="00002F83">
      <w:pPr>
        <w:pStyle w:val="BodyText"/>
      </w:pPr>
      <w:r>
        <w:t xml:space="preserve">Estimates of material quantities </w:t>
      </w:r>
      <w:r w:rsidR="00133EEF">
        <w:t xml:space="preserve">required for the construction of the Proposed Development </w:t>
      </w:r>
      <w:r w:rsidR="00B40742">
        <w:t xml:space="preserve">were </w:t>
      </w:r>
      <w:r w:rsidR="00133EEF">
        <w:t xml:space="preserve">not available at the time of </w:t>
      </w:r>
      <w:r w:rsidR="00B40742">
        <w:t xml:space="preserve">writing </w:t>
      </w:r>
      <w:r w:rsidR="001579B2">
        <w:t>this assessment. In their absence, be</w:t>
      </w:r>
      <w:r w:rsidR="00100550">
        <w:t>nchmarked carbon intensity factors published by</w:t>
      </w:r>
      <w:r w:rsidR="00AC6954">
        <w:t xml:space="preserve"> the Future Homes </w:t>
      </w:r>
      <w:r w:rsidR="00AC6954" w:rsidRPr="00B3288B">
        <w:t xml:space="preserve">Hub </w:t>
      </w:r>
      <w:r w:rsidR="00AC6954" w:rsidRPr="00A7414A">
        <w:t>(FHH, 2025)</w:t>
      </w:r>
      <w:r w:rsidR="00B9618B" w:rsidRPr="00B3288B">
        <w:t xml:space="preserve"> have</w:t>
      </w:r>
      <w:r w:rsidR="00B9618B">
        <w:t xml:space="preserve"> been utilised to estimate emissions </w:t>
      </w:r>
      <w:r w:rsidR="00A75E56">
        <w:t xml:space="preserve">for the residential areas of the Proposed Development </w:t>
      </w:r>
      <w:r w:rsidR="00C96E3E">
        <w:t>on a ‘per m</w:t>
      </w:r>
      <w:r w:rsidR="00C96E3E">
        <w:rPr>
          <w:vertAlign w:val="superscript"/>
        </w:rPr>
        <w:t>2</w:t>
      </w:r>
      <w:r w:rsidR="00C811BD">
        <w:t>’ basis</w:t>
      </w:r>
      <w:r w:rsidR="00735635">
        <w:t xml:space="preserve"> during construction and operation</w:t>
      </w:r>
      <w:r w:rsidR="00C811BD">
        <w:t>.</w:t>
      </w:r>
    </w:p>
    <w:p w14:paraId="512BDEFE" w14:textId="511EAA23" w:rsidR="00BF6E12" w:rsidRDefault="0039564C" w:rsidP="00002F83">
      <w:pPr>
        <w:pStyle w:val="BodyText"/>
      </w:pPr>
      <w:r>
        <w:t>Additional</w:t>
      </w:r>
      <w:r w:rsidR="00CC0425">
        <w:t>ly, the calculation</w:t>
      </w:r>
      <w:r w:rsidR="00543AAA">
        <w:t xml:space="preserve">-based methodology described above was used to account for </w:t>
      </w:r>
      <w:r w:rsidR="009C4A7D">
        <w:t xml:space="preserve">any additional </w:t>
      </w:r>
      <w:r w:rsidR="00543AAA">
        <w:t>emissions</w:t>
      </w:r>
      <w:r w:rsidR="00695FD9">
        <w:t xml:space="preserve"> resulting from the construction of non-residential assets,</w:t>
      </w:r>
      <w:r w:rsidR="00D8657A">
        <w:t xml:space="preserve"> including </w:t>
      </w:r>
      <w:r w:rsidR="008E60A0">
        <w:t xml:space="preserve">infrastructure related </w:t>
      </w:r>
      <w:r w:rsidR="0077073F">
        <w:t xml:space="preserve">to the </w:t>
      </w:r>
      <w:r w:rsidR="00D8657A">
        <w:t xml:space="preserve">new roads </w:t>
      </w:r>
      <w:r w:rsidR="0077073F">
        <w:t>and the substation.</w:t>
      </w:r>
      <w:r w:rsidR="00543AAA">
        <w:t xml:space="preserve"> </w:t>
      </w:r>
    </w:p>
    <w:p w14:paraId="3E954133" w14:textId="024CAAAF" w:rsidR="00220B1C" w:rsidRPr="00C96E3E" w:rsidRDefault="00220B1C" w:rsidP="00002F83">
      <w:pPr>
        <w:pStyle w:val="BodyText"/>
      </w:pPr>
      <w:r>
        <w:t>For o</w:t>
      </w:r>
      <w:r w:rsidR="00BF6E12">
        <w:t>perational</w:t>
      </w:r>
      <w:r>
        <w:t xml:space="preserve"> GHG emissions source</w:t>
      </w:r>
      <w:r w:rsidR="00243E92">
        <w:t>s</w:t>
      </w:r>
      <w:r w:rsidR="006D3E06">
        <w:t>,</w:t>
      </w:r>
      <w:r w:rsidR="00090A7D">
        <w:t xml:space="preserve"> </w:t>
      </w:r>
      <w:r w:rsidR="00E7472F">
        <w:t>benchmarked</w:t>
      </w:r>
      <w:r w:rsidR="00DA2A15">
        <w:t xml:space="preserve"> </w:t>
      </w:r>
      <w:r w:rsidR="00E7472F">
        <w:t xml:space="preserve">carbon intensity factors from Future Homes Hub </w:t>
      </w:r>
      <w:r w:rsidR="00DA2A15">
        <w:t xml:space="preserve">(FHH, 2025) have also been utilised for operational energy </w:t>
      </w:r>
      <w:r w:rsidR="008579F7" w:rsidRPr="009A4752">
        <w:t>calculations.</w:t>
      </w:r>
      <w:r w:rsidRPr="009A4752">
        <w:t xml:space="preserve"> DEFRA/DESNZ emissions factors (DESNZ, 2025) </w:t>
      </w:r>
      <w:r w:rsidR="00677E86">
        <w:t>have been</w:t>
      </w:r>
      <w:r w:rsidR="00677E86" w:rsidRPr="009A4752">
        <w:t xml:space="preserve"> </w:t>
      </w:r>
      <w:r w:rsidR="00953094" w:rsidRPr="009A4752">
        <w:t>utilised</w:t>
      </w:r>
      <w:r w:rsidRPr="009A4752">
        <w:t xml:space="preserve"> </w:t>
      </w:r>
      <w:r w:rsidR="008579F7" w:rsidRPr="009A4752">
        <w:t xml:space="preserve">for the estimation of </w:t>
      </w:r>
      <w:r w:rsidR="009A4752" w:rsidRPr="009A4752">
        <w:t>user utilisation emissions (</w:t>
      </w:r>
      <w:r w:rsidR="009A4752">
        <w:t>B8)</w:t>
      </w:r>
      <w:r>
        <w:t>.</w:t>
      </w:r>
    </w:p>
    <w:p w14:paraId="1A45CD16" w14:textId="1D55B53C" w:rsidR="00002F83" w:rsidRDefault="00076D78" w:rsidP="00002F83">
      <w:pPr>
        <w:pStyle w:val="BodyText"/>
      </w:pPr>
      <w:r w:rsidRPr="008928B6">
        <w:lastRenderedPageBreak/>
        <w:fldChar w:fldCharType="begin"/>
      </w:r>
      <w:r w:rsidRPr="008928B6">
        <w:instrText xml:space="preserve"> REF _Ref222145425 \h </w:instrText>
      </w:r>
      <w:r w:rsidR="00746AEE" w:rsidRPr="008928B6">
        <w:instrText xml:space="preserve"> \* MERGEFORMAT </w:instrText>
      </w:r>
      <w:r w:rsidRPr="008928B6">
        <w:fldChar w:fldCharType="separate"/>
      </w:r>
      <w:r w:rsidR="00D83C6F">
        <w:t>Table 10</w:t>
      </w:r>
      <w:r w:rsidR="00D83C6F">
        <w:noBreakHyphen/>
        <w:t>1</w:t>
      </w:r>
      <w:r w:rsidRPr="008928B6">
        <w:fldChar w:fldCharType="end"/>
      </w:r>
      <w:r w:rsidR="00914F98" w:rsidRPr="008928B6">
        <w:t xml:space="preserve"> </w:t>
      </w:r>
      <w:r w:rsidR="00002F83">
        <w:t>summarises the key anticipated GHG emissions sources associated to the Proposed Development by lifecycle stage, in line with PAS 2080:2023</w:t>
      </w:r>
      <w:r w:rsidR="007718E2">
        <w:t xml:space="preserve"> (BSI, 2023)</w:t>
      </w:r>
      <w:r w:rsidR="00002F83">
        <w:t>.</w:t>
      </w:r>
    </w:p>
    <w:p w14:paraId="02D9727A" w14:textId="523CBA97" w:rsidR="00002F83" w:rsidRPr="001712FE" w:rsidRDefault="005B1B3B" w:rsidP="005B1B3B">
      <w:pPr>
        <w:pStyle w:val="Caption"/>
        <w:rPr>
          <w:b w:val="0"/>
          <w:bCs w:val="0"/>
        </w:rPr>
      </w:pPr>
      <w:bookmarkStart w:id="65" w:name="_Ref222145425"/>
      <w:bookmarkStart w:id="66" w:name="_Toc216107524"/>
      <w:bookmarkStart w:id="67" w:name="_Ref222145418"/>
      <w:bookmarkStart w:id="68" w:name="_Toc238199676"/>
      <w:r>
        <w:t xml:space="preserve">Table </w:t>
      </w:r>
      <w:r>
        <w:fldChar w:fldCharType="begin"/>
      </w:r>
      <w:r>
        <w:instrText>STYLEREF 1 \s</w:instrText>
      </w:r>
      <w:r>
        <w:fldChar w:fldCharType="separate"/>
      </w:r>
      <w:r w:rsidR="00D83C6F">
        <w:rPr>
          <w:noProof/>
        </w:rPr>
        <w:t>10</w:t>
      </w:r>
      <w:r>
        <w:fldChar w:fldCharType="end"/>
      </w:r>
      <w:r w:rsidR="00BE5583">
        <w:noBreakHyphen/>
      </w:r>
      <w:r>
        <w:fldChar w:fldCharType="begin"/>
      </w:r>
      <w:r>
        <w:instrText>SEQ Table \* ARABIC \s 1</w:instrText>
      </w:r>
      <w:r>
        <w:fldChar w:fldCharType="separate"/>
      </w:r>
      <w:r w:rsidR="00D83C6F">
        <w:rPr>
          <w:noProof/>
        </w:rPr>
        <w:t>1</w:t>
      </w:r>
      <w:r>
        <w:fldChar w:fldCharType="end"/>
      </w:r>
      <w:bookmarkEnd w:id="65"/>
      <w:r w:rsidR="00361852">
        <w:t>:</w:t>
      </w:r>
      <w:r w:rsidR="002645F0">
        <w:t xml:space="preserve"> </w:t>
      </w:r>
      <w:r w:rsidR="00002F83" w:rsidRPr="00F17093">
        <w:t xml:space="preserve">Potential GHG </w:t>
      </w:r>
      <w:r w:rsidR="00002F83">
        <w:t>E</w:t>
      </w:r>
      <w:r w:rsidR="00002F83" w:rsidRPr="00F17093">
        <w:t xml:space="preserve">missions </w:t>
      </w:r>
      <w:r w:rsidR="00677E86">
        <w:t>A</w:t>
      </w:r>
      <w:r w:rsidR="00002F83" w:rsidRPr="00F17093">
        <w:t>rising from the Proposed Development</w:t>
      </w:r>
      <w:bookmarkEnd w:id="66"/>
      <w:bookmarkEnd w:id="67"/>
      <w:bookmarkEnd w:id="68"/>
    </w:p>
    <w:tbl>
      <w:tblPr>
        <w:tblStyle w:val="AECOMtable"/>
        <w:tblW w:w="5000" w:type="pct"/>
        <w:tblInd w:w="-1" w:type="dxa"/>
        <w:tblLayout w:type="fixed"/>
        <w:tblLook w:val="04A0" w:firstRow="1" w:lastRow="0" w:firstColumn="1" w:lastColumn="0" w:noHBand="0" w:noVBand="1"/>
      </w:tblPr>
      <w:tblGrid>
        <w:gridCol w:w="1618"/>
        <w:gridCol w:w="1175"/>
        <w:gridCol w:w="881"/>
        <w:gridCol w:w="2645"/>
        <w:gridCol w:w="3035"/>
      </w:tblGrid>
      <w:tr w:rsidR="00002F83" w:rsidRPr="00CE4840" w14:paraId="59516DEE" w14:textId="77777777">
        <w:trPr>
          <w:cnfStyle w:val="100000000000" w:firstRow="1" w:lastRow="0" w:firstColumn="0" w:lastColumn="0" w:oddVBand="0" w:evenVBand="0" w:oddHBand="0" w:evenHBand="0" w:firstRowFirstColumn="0" w:firstRowLastColumn="0" w:lastRowFirstColumn="0" w:lastRowLastColumn="0"/>
          <w:trHeight w:val="318"/>
          <w:tblHeader/>
        </w:trPr>
        <w:tc>
          <w:tcPr>
            <w:tcW w:w="1561" w:type="dxa"/>
          </w:tcPr>
          <w:p w14:paraId="6B096F9C" w14:textId="77777777" w:rsidR="00002F83" w:rsidRPr="00CE4840" w:rsidRDefault="00002F83">
            <w:pPr>
              <w:pStyle w:val="Tabletext"/>
              <w:jc w:val="left"/>
            </w:pPr>
            <w:r>
              <w:t>Life Cycle Stage</w:t>
            </w:r>
          </w:p>
        </w:tc>
        <w:tc>
          <w:tcPr>
            <w:tcW w:w="1134" w:type="dxa"/>
          </w:tcPr>
          <w:p w14:paraId="640BA3D7" w14:textId="77777777" w:rsidR="00002F83" w:rsidRPr="00CE4840" w:rsidRDefault="00002F83">
            <w:pPr>
              <w:pStyle w:val="Tabletext"/>
              <w:jc w:val="left"/>
            </w:pPr>
            <w:r>
              <w:t>PAS 2080:2023 Module</w:t>
            </w:r>
          </w:p>
        </w:tc>
        <w:tc>
          <w:tcPr>
            <w:tcW w:w="850" w:type="dxa"/>
          </w:tcPr>
          <w:p w14:paraId="2D995CBA" w14:textId="77777777" w:rsidR="00002F83" w:rsidRPr="00CE4840" w:rsidRDefault="00002F83">
            <w:pPr>
              <w:pStyle w:val="Tabletext"/>
              <w:jc w:val="left"/>
            </w:pPr>
            <w:r>
              <w:t>Scoped In/ Out</w:t>
            </w:r>
          </w:p>
        </w:tc>
        <w:tc>
          <w:tcPr>
            <w:tcW w:w="2552" w:type="dxa"/>
          </w:tcPr>
          <w:p w14:paraId="6F871B71" w14:textId="77777777" w:rsidR="00002F83" w:rsidRPr="00CE4840" w:rsidRDefault="00002F83">
            <w:pPr>
              <w:pStyle w:val="Tabletext"/>
              <w:jc w:val="left"/>
            </w:pPr>
            <w:r>
              <w:t>Activity</w:t>
            </w:r>
          </w:p>
        </w:tc>
        <w:tc>
          <w:tcPr>
            <w:tcW w:w="2929" w:type="dxa"/>
          </w:tcPr>
          <w:p w14:paraId="2D34B005" w14:textId="77777777" w:rsidR="00002F83" w:rsidRPr="00CE4840" w:rsidRDefault="00002F83">
            <w:pPr>
              <w:pStyle w:val="Tabletext"/>
              <w:jc w:val="left"/>
            </w:pPr>
            <w:r>
              <w:t>Primary Emission Sources</w:t>
            </w:r>
          </w:p>
        </w:tc>
      </w:tr>
      <w:tr w:rsidR="00002F83" w:rsidRPr="00CE4840" w14:paraId="24EC4081" w14:textId="77777777">
        <w:trPr>
          <w:trHeight w:val="245"/>
        </w:trPr>
        <w:tc>
          <w:tcPr>
            <w:tcW w:w="1561" w:type="dxa"/>
            <w:vMerge w:val="restart"/>
          </w:tcPr>
          <w:p w14:paraId="23F3338E" w14:textId="77777777" w:rsidR="00002F83" w:rsidRPr="00CE4840" w:rsidRDefault="00002F83">
            <w:pPr>
              <w:pStyle w:val="Tabletext"/>
              <w:jc w:val="left"/>
            </w:pPr>
            <w:r>
              <w:t>Product stage</w:t>
            </w:r>
          </w:p>
        </w:tc>
        <w:tc>
          <w:tcPr>
            <w:tcW w:w="1134" w:type="dxa"/>
            <w:vMerge w:val="restart"/>
          </w:tcPr>
          <w:p w14:paraId="440D9E3C" w14:textId="77777777" w:rsidR="00002F83" w:rsidRPr="00CE4840" w:rsidRDefault="00002F83">
            <w:pPr>
              <w:pStyle w:val="Tabletext"/>
              <w:jc w:val="left"/>
            </w:pPr>
            <w:r>
              <w:t>A1-3</w:t>
            </w:r>
          </w:p>
        </w:tc>
        <w:tc>
          <w:tcPr>
            <w:tcW w:w="850" w:type="dxa"/>
            <w:vMerge w:val="restart"/>
          </w:tcPr>
          <w:p w14:paraId="597C40DB" w14:textId="77777777" w:rsidR="00002F83" w:rsidRPr="00CE4840" w:rsidRDefault="00002F83">
            <w:pPr>
              <w:pStyle w:val="Tabletext"/>
              <w:jc w:val="left"/>
            </w:pPr>
            <w:r>
              <w:t>In</w:t>
            </w:r>
          </w:p>
        </w:tc>
        <w:tc>
          <w:tcPr>
            <w:tcW w:w="2552" w:type="dxa"/>
          </w:tcPr>
          <w:p w14:paraId="0ED10254" w14:textId="77777777" w:rsidR="00002F83" w:rsidRPr="00CE4840" w:rsidRDefault="00002F83">
            <w:pPr>
              <w:pStyle w:val="Tabletext"/>
              <w:jc w:val="left"/>
            </w:pPr>
            <w:r w:rsidRPr="0095234F">
              <w:t>Raw material extraction and manufacturing of products are required to build the equipment for the Proposed Development.</w:t>
            </w:r>
          </w:p>
        </w:tc>
        <w:tc>
          <w:tcPr>
            <w:tcW w:w="2929" w:type="dxa"/>
          </w:tcPr>
          <w:p w14:paraId="03531228" w14:textId="77777777" w:rsidR="00002F83" w:rsidRPr="00CE4840" w:rsidRDefault="00002F83">
            <w:pPr>
              <w:pStyle w:val="Tabletext"/>
            </w:pPr>
            <w:r w:rsidRPr="00B622E6">
              <w:t>Embodied GHG emissions from energy use in the extraction of materials and manufacture of components and equipment.</w:t>
            </w:r>
          </w:p>
        </w:tc>
      </w:tr>
      <w:tr w:rsidR="00002F83" w:rsidRPr="00CE4840" w14:paraId="487593BB" w14:textId="77777777">
        <w:trPr>
          <w:trHeight w:val="245"/>
        </w:trPr>
        <w:tc>
          <w:tcPr>
            <w:tcW w:w="1561" w:type="dxa"/>
            <w:vMerge/>
          </w:tcPr>
          <w:p w14:paraId="167362A5" w14:textId="77777777" w:rsidR="00002F83" w:rsidRDefault="00002F83">
            <w:pPr>
              <w:pStyle w:val="Tabletext"/>
              <w:jc w:val="left"/>
            </w:pPr>
          </w:p>
        </w:tc>
        <w:tc>
          <w:tcPr>
            <w:tcW w:w="1134" w:type="dxa"/>
            <w:vMerge/>
          </w:tcPr>
          <w:p w14:paraId="639C0CE3" w14:textId="77777777" w:rsidR="00002F83" w:rsidRDefault="00002F83">
            <w:pPr>
              <w:pStyle w:val="Tabletext"/>
              <w:jc w:val="left"/>
            </w:pPr>
          </w:p>
        </w:tc>
        <w:tc>
          <w:tcPr>
            <w:tcW w:w="850" w:type="dxa"/>
            <w:vMerge/>
          </w:tcPr>
          <w:p w14:paraId="74A73C19" w14:textId="77777777" w:rsidR="00002F83" w:rsidRDefault="00002F83">
            <w:pPr>
              <w:pStyle w:val="Tabletext"/>
              <w:jc w:val="left"/>
            </w:pPr>
          </w:p>
        </w:tc>
        <w:tc>
          <w:tcPr>
            <w:tcW w:w="2552" w:type="dxa"/>
          </w:tcPr>
          <w:p w14:paraId="4EB990E7" w14:textId="7ECF037A" w:rsidR="00002F83" w:rsidRDefault="00002F83">
            <w:pPr>
              <w:pStyle w:val="Tabletext"/>
              <w:jc w:val="left"/>
            </w:pPr>
            <w:r>
              <w:t>T</w:t>
            </w:r>
            <w:r w:rsidRPr="00B622E6">
              <w:t>ransportation of materials for such processes/manufacturing (where available).</w:t>
            </w:r>
          </w:p>
        </w:tc>
        <w:tc>
          <w:tcPr>
            <w:tcW w:w="2929" w:type="dxa"/>
          </w:tcPr>
          <w:p w14:paraId="3FF8D7A4" w14:textId="77777777" w:rsidR="00002F83" w:rsidRDefault="00002F83">
            <w:pPr>
              <w:pStyle w:val="Tabletext"/>
            </w:pPr>
            <w:r w:rsidRPr="00B622E6">
              <w:t>GHG emissions from the transportation of products and materials during their processing and manufacture. Due to the nature of the equipment, this could require shipment of certain aspects over significant distances.</w:t>
            </w:r>
          </w:p>
        </w:tc>
      </w:tr>
      <w:tr w:rsidR="00002F83" w:rsidRPr="00CE4840" w14:paraId="72A703AB" w14:textId="77777777">
        <w:trPr>
          <w:trHeight w:val="245"/>
        </w:trPr>
        <w:tc>
          <w:tcPr>
            <w:tcW w:w="1561" w:type="dxa"/>
            <w:vMerge w:val="restart"/>
          </w:tcPr>
          <w:p w14:paraId="61B14F03" w14:textId="77777777" w:rsidR="00002F83" w:rsidRDefault="00002F83">
            <w:pPr>
              <w:pStyle w:val="Tabletext"/>
              <w:jc w:val="left"/>
            </w:pPr>
            <w:r>
              <w:t>Construction process stage</w:t>
            </w:r>
          </w:p>
        </w:tc>
        <w:tc>
          <w:tcPr>
            <w:tcW w:w="1134" w:type="dxa"/>
          </w:tcPr>
          <w:p w14:paraId="6A311D60" w14:textId="77777777" w:rsidR="00002F83" w:rsidRDefault="00002F83">
            <w:pPr>
              <w:pStyle w:val="Tabletext"/>
              <w:jc w:val="left"/>
            </w:pPr>
            <w:r>
              <w:t>A4</w:t>
            </w:r>
          </w:p>
        </w:tc>
        <w:tc>
          <w:tcPr>
            <w:tcW w:w="850" w:type="dxa"/>
          </w:tcPr>
          <w:p w14:paraId="7940CC4E" w14:textId="77777777" w:rsidR="00002F83" w:rsidRDefault="00002F83">
            <w:pPr>
              <w:pStyle w:val="Tabletext"/>
              <w:jc w:val="left"/>
            </w:pPr>
            <w:r>
              <w:t>In</w:t>
            </w:r>
          </w:p>
        </w:tc>
        <w:tc>
          <w:tcPr>
            <w:tcW w:w="2552" w:type="dxa"/>
          </w:tcPr>
          <w:p w14:paraId="45EAC3C6" w14:textId="77777777" w:rsidR="00002F83" w:rsidRDefault="00002F83">
            <w:pPr>
              <w:pStyle w:val="Tabletext"/>
              <w:jc w:val="left"/>
            </w:pPr>
            <w:r>
              <w:t xml:space="preserve">Transportation of construction materials to the Proposed Development. </w:t>
            </w:r>
          </w:p>
          <w:p w14:paraId="5A654B16" w14:textId="77777777" w:rsidR="00002F83" w:rsidRDefault="00002F83">
            <w:pPr>
              <w:pStyle w:val="Tabletext"/>
              <w:jc w:val="left"/>
            </w:pPr>
            <w:r>
              <w:t xml:space="preserve">Due to the nature of equipment required, this could require shipment of certain aspects over significant distances. </w:t>
            </w:r>
          </w:p>
        </w:tc>
        <w:tc>
          <w:tcPr>
            <w:tcW w:w="2929" w:type="dxa"/>
          </w:tcPr>
          <w:p w14:paraId="7AFE61C2" w14:textId="77777777" w:rsidR="00002F83" w:rsidRDefault="00002F83">
            <w:pPr>
              <w:pStyle w:val="Tabletext"/>
            </w:pPr>
            <w:r>
              <w:t xml:space="preserve">Transport of construction materials is included under the construction process stage, where these are not included in embodied GHG emissions. </w:t>
            </w:r>
          </w:p>
          <w:p w14:paraId="0BF9365B" w14:textId="77777777" w:rsidR="00002F83" w:rsidRDefault="00002F83">
            <w:pPr>
              <w:pStyle w:val="Tabletext"/>
            </w:pPr>
            <w:r>
              <w:t>Fuel consumption from transport of materials to site (where these are not included in embodied GHG emissions).</w:t>
            </w:r>
          </w:p>
        </w:tc>
      </w:tr>
      <w:tr w:rsidR="00002F83" w:rsidRPr="00CE4840" w14:paraId="5A5CD8D3" w14:textId="77777777">
        <w:trPr>
          <w:trHeight w:val="245"/>
        </w:trPr>
        <w:tc>
          <w:tcPr>
            <w:tcW w:w="1561" w:type="dxa"/>
            <w:vMerge/>
          </w:tcPr>
          <w:p w14:paraId="0C44A352" w14:textId="77777777" w:rsidR="00002F83" w:rsidRDefault="00002F83">
            <w:pPr>
              <w:pStyle w:val="Tabletext"/>
              <w:jc w:val="left"/>
            </w:pPr>
          </w:p>
        </w:tc>
        <w:tc>
          <w:tcPr>
            <w:tcW w:w="1134" w:type="dxa"/>
            <w:vMerge w:val="restart"/>
          </w:tcPr>
          <w:p w14:paraId="403A3F5B" w14:textId="77777777" w:rsidR="00002F83" w:rsidRDefault="00002F83">
            <w:pPr>
              <w:pStyle w:val="Tabletext"/>
              <w:jc w:val="left"/>
            </w:pPr>
            <w:r>
              <w:t>A5</w:t>
            </w:r>
          </w:p>
        </w:tc>
        <w:tc>
          <w:tcPr>
            <w:tcW w:w="850" w:type="dxa"/>
            <w:vMerge w:val="restart"/>
          </w:tcPr>
          <w:p w14:paraId="159D533D" w14:textId="77777777" w:rsidR="00002F83" w:rsidRDefault="00002F83">
            <w:pPr>
              <w:pStyle w:val="Tabletext"/>
              <w:jc w:val="left"/>
            </w:pPr>
            <w:r>
              <w:t>In</w:t>
            </w:r>
          </w:p>
        </w:tc>
        <w:tc>
          <w:tcPr>
            <w:tcW w:w="2552" w:type="dxa"/>
          </w:tcPr>
          <w:p w14:paraId="4F8F0215" w14:textId="77777777" w:rsidR="00002F83" w:rsidRDefault="00002F83">
            <w:pPr>
              <w:pStyle w:val="Tabletext"/>
              <w:jc w:val="left"/>
            </w:pPr>
            <w:r w:rsidRPr="00BF259E">
              <w:t>On-site construction activity.</w:t>
            </w:r>
          </w:p>
        </w:tc>
        <w:tc>
          <w:tcPr>
            <w:tcW w:w="2929" w:type="dxa"/>
          </w:tcPr>
          <w:p w14:paraId="3C4FBEF0" w14:textId="77777777" w:rsidR="00002F83" w:rsidRDefault="00002F83">
            <w:pPr>
              <w:pStyle w:val="Tabletext"/>
            </w:pPr>
            <w:r w:rsidRPr="00545886">
              <w:t>GHG emissions arising from energy (electricity, fuel, etc.) consumption for plant and vehicles, and generators on site.</w:t>
            </w:r>
          </w:p>
        </w:tc>
      </w:tr>
      <w:tr w:rsidR="00002F83" w:rsidRPr="00CE4840" w14:paraId="42319B95" w14:textId="77777777">
        <w:trPr>
          <w:trHeight w:val="245"/>
        </w:trPr>
        <w:tc>
          <w:tcPr>
            <w:tcW w:w="1561" w:type="dxa"/>
            <w:vMerge/>
          </w:tcPr>
          <w:p w14:paraId="36F6F61D" w14:textId="77777777" w:rsidR="00002F83" w:rsidRDefault="00002F83">
            <w:pPr>
              <w:pStyle w:val="Tabletext"/>
              <w:jc w:val="left"/>
            </w:pPr>
          </w:p>
        </w:tc>
        <w:tc>
          <w:tcPr>
            <w:tcW w:w="1134" w:type="dxa"/>
            <w:vMerge/>
          </w:tcPr>
          <w:p w14:paraId="3B4C79BF" w14:textId="77777777" w:rsidR="00002F83" w:rsidRDefault="00002F83">
            <w:pPr>
              <w:pStyle w:val="Tabletext"/>
              <w:jc w:val="left"/>
            </w:pPr>
          </w:p>
        </w:tc>
        <w:tc>
          <w:tcPr>
            <w:tcW w:w="850" w:type="dxa"/>
            <w:vMerge/>
          </w:tcPr>
          <w:p w14:paraId="7FE76B9A" w14:textId="77777777" w:rsidR="00002F83" w:rsidRDefault="00002F83">
            <w:pPr>
              <w:pStyle w:val="Tabletext"/>
              <w:jc w:val="left"/>
            </w:pPr>
          </w:p>
        </w:tc>
        <w:tc>
          <w:tcPr>
            <w:tcW w:w="2552" w:type="dxa"/>
          </w:tcPr>
          <w:p w14:paraId="6C17DD44" w14:textId="77777777" w:rsidR="00002F83" w:rsidRDefault="00002F83">
            <w:pPr>
              <w:pStyle w:val="Tabletext"/>
              <w:jc w:val="left"/>
            </w:pPr>
            <w:r w:rsidRPr="00BF259E">
              <w:t>Transport of construction workers.</w:t>
            </w:r>
          </w:p>
        </w:tc>
        <w:tc>
          <w:tcPr>
            <w:tcW w:w="2929" w:type="dxa"/>
          </w:tcPr>
          <w:p w14:paraId="6A907050" w14:textId="77777777" w:rsidR="00002F83" w:rsidRDefault="00002F83">
            <w:pPr>
              <w:pStyle w:val="Tabletext"/>
            </w:pPr>
            <w:r w:rsidRPr="00545886">
              <w:t>GHG emissions from fuel use for worker commuting.</w:t>
            </w:r>
          </w:p>
        </w:tc>
      </w:tr>
      <w:tr w:rsidR="00002F83" w:rsidRPr="00CE4840" w14:paraId="3CA70F6F" w14:textId="77777777">
        <w:trPr>
          <w:trHeight w:val="245"/>
        </w:trPr>
        <w:tc>
          <w:tcPr>
            <w:tcW w:w="1561" w:type="dxa"/>
            <w:vMerge/>
          </w:tcPr>
          <w:p w14:paraId="042A79E6" w14:textId="77777777" w:rsidR="00002F83" w:rsidRDefault="00002F83">
            <w:pPr>
              <w:pStyle w:val="Tabletext"/>
              <w:jc w:val="left"/>
            </w:pPr>
          </w:p>
        </w:tc>
        <w:tc>
          <w:tcPr>
            <w:tcW w:w="1134" w:type="dxa"/>
            <w:vMerge/>
          </w:tcPr>
          <w:p w14:paraId="6C932D11" w14:textId="77777777" w:rsidR="00002F83" w:rsidRDefault="00002F83">
            <w:pPr>
              <w:pStyle w:val="Tabletext"/>
              <w:jc w:val="left"/>
            </w:pPr>
          </w:p>
        </w:tc>
        <w:tc>
          <w:tcPr>
            <w:tcW w:w="850" w:type="dxa"/>
            <w:vMerge/>
          </w:tcPr>
          <w:p w14:paraId="6534CE13" w14:textId="77777777" w:rsidR="00002F83" w:rsidRDefault="00002F83">
            <w:pPr>
              <w:pStyle w:val="Tabletext"/>
              <w:jc w:val="left"/>
            </w:pPr>
          </w:p>
        </w:tc>
        <w:tc>
          <w:tcPr>
            <w:tcW w:w="2552" w:type="dxa"/>
          </w:tcPr>
          <w:p w14:paraId="35D29422" w14:textId="77777777" w:rsidR="00002F83" w:rsidRDefault="00002F83">
            <w:pPr>
              <w:pStyle w:val="Tabletext"/>
              <w:jc w:val="left"/>
            </w:pPr>
            <w:r w:rsidRPr="00BF259E">
              <w:t>Disposal of any waste generated during the construction processes.</w:t>
            </w:r>
            <w:r>
              <w:t xml:space="preserve"> </w:t>
            </w:r>
          </w:p>
        </w:tc>
        <w:tc>
          <w:tcPr>
            <w:tcW w:w="2929" w:type="dxa"/>
          </w:tcPr>
          <w:p w14:paraId="6A899F09" w14:textId="77777777" w:rsidR="00002F83" w:rsidRDefault="00002F83">
            <w:pPr>
              <w:pStyle w:val="Tabletext"/>
              <w:tabs>
                <w:tab w:val="left" w:pos="1956"/>
              </w:tabs>
              <w:jc w:val="left"/>
            </w:pPr>
            <w:r w:rsidRPr="00545886">
              <w:t>GHG emissions from disposal of waste.</w:t>
            </w:r>
          </w:p>
        </w:tc>
      </w:tr>
      <w:tr w:rsidR="00002F83" w:rsidRPr="00CE4840" w14:paraId="5F9F1F26" w14:textId="77777777">
        <w:trPr>
          <w:trHeight w:val="245"/>
        </w:trPr>
        <w:tc>
          <w:tcPr>
            <w:tcW w:w="1561" w:type="dxa"/>
            <w:vMerge/>
          </w:tcPr>
          <w:p w14:paraId="7007F621" w14:textId="77777777" w:rsidR="00002F83" w:rsidRDefault="00002F83">
            <w:pPr>
              <w:pStyle w:val="Tabletext"/>
              <w:jc w:val="left"/>
            </w:pPr>
          </w:p>
        </w:tc>
        <w:tc>
          <w:tcPr>
            <w:tcW w:w="1134" w:type="dxa"/>
            <w:vMerge/>
          </w:tcPr>
          <w:p w14:paraId="7C7A43E6" w14:textId="77777777" w:rsidR="00002F83" w:rsidRDefault="00002F83">
            <w:pPr>
              <w:pStyle w:val="Tabletext"/>
              <w:jc w:val="left"/>
            </w:pPr>
          </w:p>
        </w:tc>
        <w:tc>
          <w:tcPr>
            <w:tcW w:w="850" w:type="dxa"/>
            <w:vMerge/>
          </w:tcPr>
          <w:p w14:paraId="798BCEC1" w14:textId="77777777" w:rsidR="00002F83" w:rsidRDefault="00002F83">
            <w:pPr>
              <w:pStyle w:val="Tabletext"/>
              <w:jc w:val="left"/>
            </w:pPr>
          </w:p>
        </w:tc>
        <w:tc>
          <w:tcPr>
            <w:tcW w:w="2552" w:type="dxa"/>
          </w:tcPr>
          <w:p w14:paraId="0387BA3A" w14:textId="77777777" w:rsidR="00002F83" w:rsidRDefault="00002F83">
            <w:pPr>
              <w:pStyle w:val="Tabletext"/>
              <w:jc w:val="left"/>
            </w:pPr>
            <w:r w:rsidRPr="00BF259E">
              <w:t>Land Clearance/Enabling Works</w:t>
            </w:r>
            <w:r>
              <w:t>.</w:t>
            </w:r>
          </w:p>
        </w:tc>
        <w:tc>
          <w:tcPr>
            <w:tcW w:w="2929" w:type="dxa"/>
          </w:tcPr>
          <w:p w14:paraId="08FFFD25" w14:textId="37BBF96A" w:rsidR="00002F83" w:rsidRDefault="00002F83">
            <w:pPr>
              <w:pStyle w:val="Tabletext"/>
              <w:jc w:val="left"/>
            </w:pPr>
            <w:r w:rsidRPr="00545886">
              <w:t xml:space="preserve">GHG emissions associated </w:t>
            </w:r>
            <w:r w:rsidR="00BB10B3">
              <w:t>with</w:t>
            </w:r>
            <w:r w:rsidRPr="00545886">
              <w:t xml:space="preserve"> land disturbance.</w:t>
            </w:r>
          </w:p>
        </w:tc>
      </w:tr>
      <w:tr w:rsidR="00002F83" w:rsidRPr="00CE4840" w14:paraId="136DCBDE" w14:textId="77777777">
        <w:trPr>
          <w:trHeight w:val="245"/>
        </w:trPr>
        <w:tc>
          <w:tcPr>
            <w:tcW w:w="1561" w:type="dxa"/>
            <w:vMerge w:val="restart"/>
          </w:tcPr>
          <w:p w14:paraId="767AE32C" w14:textId="77777777" w:rsidR="00002F83" w:rsidRDefault="00002F83">
            <w:pPr>
              <w:pStyle w:val="Tabletext"/>
              <w:jc w:val="left"/>
            </w:pPr>
            <w:r>
              <w:t>Operation stage</w:t>
            </w:r>
          </w:p>
        </w:tc>
        <w:tc>
          <w:tcPr>
            <w:tcW w:w="1134" w:type="dxa"/>
            <w:vMerge w:val="restart"/>
          </w:tcPr>
          <w:p w14:paraId="6369FE2D" w14:textId="77777777" w:rsidR="00002F83" w:rsidRDefault="00002F83">
            <w:pPr>
              <w:pStyle w:val="Tabletext"/>
              <w:jc w:val="left"/>
            </w:pPr>
            <w:r>
              <w:t>B1-8</w:t>
            </w:r>
          </w:p>
        </w:tc>
        <w:tc>
          <w:tcPr>
            <w:tcW w:w="850" w:type="dxa"/>
            <w:vMerge w:val="restart"/>
          </w:tcPr>
          <w:p w14:paraId="7448F377" w14:textId="77777777" w:rsidR="00002F83" w:rsidRDefault="00002F83">
            <w:pPr>
              <w:pStyle w:val="Tabletext"/>
              <w:jc w:val="left"/>
            </w:pPr>
            <w:r>
              <w:t>In</w:t>
            </w:r>
          </w:p>
        </w:tc>
        <w:tc>
          <w:tcPr>
            <w:tcW w:w="2552" w:type="dxa"/>
          </w:tcPr>
          <w:p w14:paraId="2DB10462" w14:textId="77777777" w:rsidR="00002F83" w:rsidRDefault="00002F83">
            <w:pPr>
              <w:pStyle w:val="Tabletext"/>
              <w:jc w:val="left"/>
            </w:pPr>
            <w:r>
              <w:t>Operation of the Proposed Development.</w:t>
            </w:r>
          </w:p>
        </w:tc>
        <w:tc>
          <w:tcPr>
            <w:tcW w:w="2929" w:type="dxa"/>
          </w:tcPr>
          <w:p w14:paraId="7B01E9A8" w14:textId="0C78B1AE" w:rsidR="00002F83" w:rsidRDefault="00002F83">
            <w:pPr>
              <w:pStyle w:val="Tabletext"/>
              <w:jc w:val="left"/>
            </w:pPr>
            <w:r>
              <w:t xml:space="preserve">GHG emissions from energy </w:t>
            </w:r>
            <w:r w:rsidR="008040F8">
              <w:t xml:space="preserve">and gas </w:t>
            </w:r>
            <w:r>
              <w:t xml:space="preserve">consumption, water use and the treatment of wastewater. </w:t>
            </w:r>
          </w:p>
        </w:tc>
      </w:tr>
      <w:tr w:rsidR="00002F83" w:rsidRPr="00CE4840" w14:paraId="2709B4EA" w14:textId="77777777">
        <w:trPr>
          <w:trHeight w:val="245"/>
        </w:trPr>
        <w:tc>
          <w:tcPr>
            <w:tcW w:w="1561" w:type="dxa"/>
            <w:vMerge/>
          </w:tcPr>
          <w:p w14:paraId="7632C49C" w14:textId="77777777" w:rsidR="00002F83" w:rsidRDefault="00002F83">
            <w:pPr>
              <w:pStyle w:val="Tabletext"/>
              <w:jc w:val="left"/>
            </w:pPr>
          </w:p>
        </w:tc>
        <w:tc>
          <w:tcPr>
            <w:tcW w:w="1134" w:type="dxa"/>
            <w:vMerge/>
          </w:tcPr>
          <w:p w14:paraId="14AD8105" w14:textId="77777777" w:rsidR="00002F83" w:rsidRDefault="00002F83">
            <w:pPr>
              <w:pStyle w:val="Tabletext"/>
              <w:jc w:val="left"/>
            </w:pPr>
          </w:p>
        </w:tc>
        <w:tc>
          <w:tcPr>
            <w:tcW w:w="850" w:type="dxa"/>
            <w:vMerge/>
          </w:tcPr>
          <w:p w14:paraId="5F3B6977" w14:textId="77777777" w:rsidR="00002F83" w:rsidRDefault="00002F83">
            <w:pPr>
              <w:pStyle w:val="Tabletext"/>
              <w:jc w:val="left"/>
            </w:pPr>
          </w:p>
        </w:tc>
        <w:tc>
          <w:tcPr>
            <w:tcW w:w="2552" w:type="dxa"/>
          </w:tcPr>
          <w:p w14:paraId="0549F378" w14:textId="77777777" w:rsidR="00002F83" w:rsidRDefault="00002F83">
            <w:pPr>
              <w:pStyle w:val="Tabletext"/>
              <w:jc w:val="left"/>
            </w:pPr>
            <w:r>
              <w:t xml:space="preserve">Maintenance of the Proposed Development. </w:t>
            </w:r>
          </w:p>
          <w:p w14:paraId="010DF207" w14:textId="77777777" w:rsidR="00002F83" w:rsidRDefault="00002F83">
            <w:pPr>
              <w:pStyle w:val="Tabletext"/>
              <w:jc w:val="left"/>
            </w:pPr>
          </w:p>
        </w:tc>
        <w:tc>
          <w:tcPr>
            <w:tcW w:w="2929" w:type="dxa"/>
          </w:tcPr>
          <w:p w14:paraId="0F0AA933" w14:textId="77777777" w:rsidR="00002F83" w:rsidRDefault="00002F83">
            <w:pPr>
              <w:pStyle w:val="Tabletext"/>
              <w:jc w:val="left"/>
            </w:pPr>
            <w:r>
              <w:t xml:space="preserve">GHG emissions arising from energy consumption, material use and waste generation from the Proposed Development’s maintenance. </w:t>
            </w:r>
          </w:p>
        </w:tc>
      </w:tr>
      <w:tr w:rsidR="00002F83" w:rsidRPr="00CE4840" w14:paraId="5E34AD2F" w14:textId="77777777">
        <w:trPr>
          <w:trHeight w:val="245"/>
        </w:trPr>
        <w:tc>
          <w:tcPr>
            <w:tcW w:w="1561" w:type="dxa"/>
            <w:vMerge/>
            <w:tcBorders>
              <w:bottom w:val="single" w:sz="4" w:space="0" w:color="auto"/>
            </w:tcBorders>
          </w:tcPr>
          <w:p w14:paraId="3A6E3A81" w14:textId="77777777" w:rsidR="00002F83" w:rsidRDefault="00002F83">
            <w:pPr>
              <w:pStyle w:val="Tabletext"/>
              <w:jc w:val="left"/>
            </w:pPr>
          </w:p>
        </w:tc>
        <w:tc>
          <w:tcPr>
            <w:tcW w:w="1134" w:type="dxa"/>
            <w:vMerge/>
            <w:tcBorders>
              <w:bottom w:val="single" w:sz="4" w:space="0" w:color="auto"/>
            </w:tcBorders>
          </w:tcPr>
          <w:p w14:paraId="31C73F9E" w14:textId="77777777" w:rsidR="00002F83" w:rsidRDefault="00002F83">
            <w:pPr>
              <w:pStyle w:val="Tabletext"/>
              <w:jc w:val="left"/>
            </w:pPr>
          </w:p>
        </w:tc>
        <w:tc>
          <w:tcPr>
            <w:tcW w:w="850" w:type="dxa"/>
            <w:vMerge/>
            <w:tcBorders>
              <w:bottom w:val="single" w:sz="4" w:space="0" w:color="auto"/>
            </w:tcBorders>
          </w:tcPr>
          <w:p w14:paraId="43E05CFA" w14:textId="77777777" w:rsidR="00002F83" w:rsidRDefault="00002F83">
            <w:pPr>
              <w:pStyle w:val="Tabletext"/>
              <w:jc w:val="left"/>
            </w:pPr>
          </w:p>
        </w:tc>
        <w:tc>
          <w:tcPr>
            <w:tcW w:w="2552" w:type="dxa"/>
            <w:tcBorders>
              <w:bottom w:val="single" w:sz="4" w:space="0" w:color="auto"/>
            </w:tcBorders>
          </w:tcPr>
          <w:p w14:paraId="115BAEBA" w14:textId="77777777" w:rsidR="00002F83" w:rsidRPr="007A75F6" w:rsidRDefault="00002F83">
            <w:pPr>
              <w:pStyle w:val="Tabletext"/>
              <w:jc w:val="left"/>
            </w:pPr>
            <w:r w:rsidRPr="007A75F6">
              <w:t xml:space="preserve">User emissions. </w:t>
            </w:r>
          </w:p>
          <w:p w14:paraId="054AC920" w14:textId="77777777" w:rsidR="00002F83" w:rsidRPr="007A75F6" w:rsidRDefault="00002F83">
            <w:pPr>
              <w:pStyle w:val="Tabletext"/>
              <w:jc w:val="left"/>
            </w:pPr>
          </w:p>
        </w:tc>
        <w:tc>
          <w:tcPr>
            <w:tcW w:w="2929" w:type="dxa"/>
            <w:tcBorders>
              <w:bottom w:val="single" w:sz="4" w:space="0" w:color="auto"/>
            </w:tcBorders>
          </w:tcPr>
          <w:p w14:paraId="211282E7" w14:textId="1464943D" w:rsidR="00002F83" w:rsidRPr="007A75F6" w:rsidRDefault="00002F83">
            <w:pPr>
              <w:pStyle w:val="Tabletext"/>
              <w:jc w:val="left"/>
            </w:pPr>
            <w:r w:rsidRPr="00A7414A">
              <w:t xml:space="preserve">GHG emissions arising from </w:t>
            </w:r>
            <w:r w:rsidR="00E25C32">
              <w:t>resident commuting and travel</w:t>
            </w:r>
            <w:r w:rsidRPr="00A7414A">
              <w:t>.</w:t>
            </w:r>
          </w:p>
        </w:tc>
      </w:tr>
      <w:tr w:rsidR="00002F83" w:rsidRPr="00CE4840" w14:paraId="4D3E3AD8" w14:textId="77777777">
        <w:trPr>
          <w:trHeight w:val="245"/>
        </w:trPr>
        <w:tc>
          <w:tcPr>
            <w:tcW w:w="1561" w:type="dxa"/>
            <w:tcBorders>
              <w:top w:val="single" w:sz="4" w:space="0" w:color="auto"/>
              <w:bottom w:val="single" w:sz="4" w:space="0" w:color="auto"/>
            </w:tcBorders>
          </w:tcPr>
          <w:p w14:paraId="25E4D90A" w14:textId="77777777" w:rsidR="00002F83" w:rsidRDefault="00002F83">
            <w:pPr>
              <w:pStyle w:val="Tabletext"/>
              <w:jc w:val="left"/>
            </w:pPr>
            <w:r>
              <w:t>Decommissioning stage</w:t>
            </w:r>
          </w:p>
        </w:tc>
        <w:tc>
          <w:tcPr>
            <w:tcW w:w="1134" w:type="dxa"/>
            <w:tcBorders>
              <w:top w:val="single" w:sz="4" w:space="0" w:color="auto"/>
              <w:bottom w:val="single" w:sz="4" w:space="0" w:color="auto"/>
            </w:tcBorders>
          </w:tcPr>
          <w:p w14:paraId="57671CDD" w14:textId="77777777" w:rsidR="00002F83" w:rsidRDefault="00002F83">
            <w:pPr>
              <w:pStyle w:val="Tabletext"/>
              <w:jc w:val="left"/>
            </w:pPr>
            <w:r>
              <w:t>C1-4</w:t>
            </w:r>
          </w:p>
        </w:tc>
        <w:tc>
          <w:tcPr>
            <w:tcW w:w="850" w:type="dxa"/>
            <w:tcBorders>
              <w:top w:val="single" w:sz="4" w:space="0" w:color="auto"/>
              <w:bottom w:val="single" w:sz="4" w:space="0" w:color="auto"/>
            </w:tcBorders>
          </w:tcPr>
          <w:p w14:paraId="29CB2806" w14:textId="77777777" w:rsidR="00002F83" w:rsidRDefault="00002F83">
            <w:pPr>
              <w:pStyle w:val="Tabletext"/>
              <w:jc w:val="left"/>
            </w:pPr>
            <w:r>
              <w:t>Out</w:t>
            </w:r>
          </w:p>
        </w:tc>
        <w:tc>
          <w:tcPr>
            <w:tcW w:w="2552" w:type="dxa"/>
            <w:tcBorders>
              <w:top w:val="single" w:sz="4" w:space="0" w:color="auto"/>
              <w:bottom w:val="single" w:sz="4" w:space="0" w:color="auto"/>
            </w:tcBorders>
          </w:tcPr>
          <w:p w14:paraId="71CB2A92" w14:textId="77777777" w:rsidR="00002F83" w:rsidRDefault="00002F83">
            <w:pPr>
              <w:pStyle w:val="Tabletext"/>
              <w:jc w:val="left"/>
            </w:pPr>
            <w:r>
              <w:t xml:space="preserve">On-site decommissioning activity. </w:t>
            </w:r>
          </w:p>
        </w:tc>
        <w:tc>
          <w:tcPr>
            <w:tcW w:w="2929" w:type="dxa"/>
            <w:tcBorders>
              <w:top w:val="single" w:sz="4" w:space="0" w:color="auto"/>
              <w:bottom w:val="single" w:sz="4" w:space="0" w:color="auto"/>
            </w:tcBorders>
          </w:tcPr>
          <w:p w14:paraId="21393B61" w14:textId="77777777" w:rsidR="00365617" w:rsidRDefault="00002F83">
            <w:pPr>
              <w:pStyle w:val="Tabletext"/>
              <w:jc w:val="left"/>
            </w:pPr>
            <w:r>
              <w:t>Energy (electricity, fuel) consumption from plant, vehicles, and generators.</w:t>
            </w:r>
          </w:p>
          <w:p w14:paraId="1A2D0C51" w14:textId="74FC6F02" w:rsidR="00002F83" w:rsidRDefault="00365617">
            <w:pPr>
              <w:pStyle w:val="Tabletext"/>
              <w:jc w:val="left"/>
            </w:pPr>
            <w:r>
              <w:t>Disposal of waste material</w:t>
            </w:r>
            <w:r w:rsidR="00002F83">
              <w:t xml:space="preserve"> </w:t>
            </w:r>
          </w:p>
        </w:tc>
      </w:tr>
    </w:tbl>
    <w:p w14:paraId="07B7EF4F" w14:textId="63E68398" w:rsidR="00DC7936" w:rsidRDefault="00DC7936" w:rsidP="008C5A7C">
      <w:pPr>
        <w:pStyle w:val="Heading4"/>
        <w:rPr>
          <w:lang w:val="en-IE"/>
        </w:rPr>
      </w:pPr>
      <w:r w:rsidRPr="00C06017">
        <w:rPr>
          <w:lang w:val="en-IE"/>
        </w:rPr>
        <w:t>Study Area</w:t>
      </w:r>
    </w:p>
    <w:p w14:paraId="14165962" w14:textId="77777777" w:rsidR="003538D4" w:rsidRPr="003538D4" w:rsidRDefault="003538D4" w:rsidP="003538D4">
      <w:pPr>
        <w:pStyle w:val="BodyText"/>
        <w:rPr>
          <w:lang w:val="en-IE"/>
        </w:rPr>
      </w:pPr>
      <w:r w:rsidRPr="003538D4">
        <w:rPr>
          <w:lang w:val="en-IE"/>
        </w:rPr>
        <w:t xml:space="preserve">The study area for the Lifecycle GHG Assessment includes: </w:t>
      </w:r>
    </w:p>
    <w:p w14:paraId="386FC8F0" w14:textId="66C5613E" w:rsidR="003538D4" w:rsidRPr="003538D4" w:rsidRDefault="003538D4" w:rsidP="008928B6">
      <w:pPr>
        <w:pStyle w:val="BulletPoint1"/>
        <w:rPr>
          <w:lang w:val="en-IE"/>
        </w:rPr>
      </w:pPr>
      <w:r w:rsidRPr="003538D4">
        <w:rPr>
          <w:lang w:val="en-IE"/>
        </w:rPr>
        <w:t xml:space="preserve">Direct GHG emissions arising through the construction and operation works within the Site as described in Chapter </w:t>
      </w:r>
      <w:r w:rsidR="00C64374">
        <w:rPr>
          <w:lang w:val="en-IE"/>
        </w:rPr>
        <w:t>0</w:t>
      </w:r>
      <w:r w:rsidR="00700D0B">
        <w:rPr>
          <w:lang w:val="en-IE"/>
        </w:rPr>
        <w:t>2</w:t>
      </w:r>
      <w:r w:rsidR="001B4DDD">
        <w:rPr>
          <w:lang w:val="en-IE"/>
        </w:rPr>
        <w:t>:</w:t>
      </w:r>
      <w:r w:rsidRPr="003538D4">
        <w:rPr>
          <w:lang w:val="en-IE"/>
        </w:rPr>
        <w:t xml:space="preserve"> </w:t>
      </w:r>
      <w:r w:rsidR="00700D0B">
        <w:rPr>
          <w:lang w:val="en-IE"/>
        </w:rPr>
        <w:t>Description of</w:t>
      </w:r>
      <w:r w:rsidR="00700D0B" w:rsidRPr="003538D4">
        <w:rPr>
          <w:lang w:val="en-IE"/>
        </w:rPr>
        <w:t xml:space="preserve"> </w:t>
      </w:r>
      <w:r w:rsidRPr="003538D4">
        <w:rPr>
          <w:lang w:val="en-IE"/>
        </w:rPr>
        <w:t>Development</w:t>
      </w:r>
      <w:r w:rsidR="00C64374">
        <w:rPr>
          <w:lang w:val="en-IE"/>
        </w:rPr>
        <w:t>;</w:t>
      </w:r>
    </w:p>
    <w:p w14:paraId="24CF14C3" w14:textId="53E0DCE2" w:rsidR="00C06017" w:rsidRDefault="003538D4" w:rsidP="008928B6">
      <w:pPr>
        <w:pStyle w:val="BulletPoint1"/>
        <w:rPr>
          <w:lang w:val="en-IE"/>
        </w:rPr>
      </w:pPr>
      <w:r w:rsidRPr="003538D4">
        <w:rPr>
          <w:lang w:val="en-IE"/>
        </w:rPr>
        <w:lastRenderedPageBreak/>
        <w:t>Indirect GHG emissions occurring off</w:t>
      </w:r>
      <w:r w:rsidR="00C64374">
        <w:rPr>
          <w:lang w:val="en-IE"/>
        </w:rPr>
        <w:t>-</w:t>
      </w:r>
      <w:r w:rsidRPr="003538D4">
        <w:rPr>
          <w:lang w:val="en-IE"/>
        </w:rPr>
        <w:t>site, encompassing embodied carbon in materials, transportation, upstream activities (such as well-to-tank processes), as well as the processing and disposal of waste.</w:t>
      </w:r>
    </w:p>
    <w:p w14:paraId="4AA8CE66" w14:textId="1C982BE6" w:rsidR="008C5A7C" w:rsidRDefault="007B559F" w:rsidP="008C5A7C">
      <w:pPr>
        <w:pStyle w:val="Heading4"/>
        <w:rPr>
          <w:lang w:val="en-IE"/>
        </w:rPr>
      </w:pPr>
      <w:r>
        <w:rPr>
          <w:lang w:val="en-IE"/>
        </w:rPr>
        <w:t>Significance Criteria</w:t>
      </w:r>
    </w:p>
    <w:p w14:paraId="2F8006E4" w14:textId="53B22EFD" w:rsidR="007B559F" w:rsidRPr="007B559F" w:rsidRDefault="00E40338" w:rsidP="00E40338">
      <w:pPr>
        <w:pStyle w:val="BodyText"/>
        <w:rPr>
          <w:lang w:val="en-IE"/>
        </w:rPr>
      </w:pPr>
      <w:r w:rsidRPr="00E40338">
        <w:rPr>
          <w:lang w:val="en-IE"/>
        </w:rPr>
        <w:t xml:space="preserve">The ISEP </w:t>
      </w:r>
      <w:r w:rsidR="00BC46DE">
        <w:rPr>
          <w:lang w:val="en-IE"/>
        </w:rPr>
        <w:t xml:space="preserve">(2022) </w:t>
      </w:r>
      <w:r w:rsidRPr="00E40338">
        <w:rPr>
          <w:lang w:val="en-IE"/>
        </w:rPr>
        <w:t>Guidance</w:t>
      </w:r>
      <w:r w:rsidR="008B5CB4">
        <w:rPr>
          <w:lang w:val="en-IE"/>
        </w:rPr>
        <w:t xml:space="preserve"> and the </w:t>
      </w:r>
      <w:r w:rsidR="00512542">
        <w:rPr>
          <w:lang w:val="en-IE"/>
        </w:rPr>
        <w:t xml:space="preserve">supplementary guidance (ISEP, </w:t>
      </w:r>
      <w:r w:rsidR="008B5CB4">
        <w:rPr>
          <w:lang w:val="en-IE"/>
        </w:rPr>
        <w:t>2026</w:t>
      </w:r>
      <w:r w:rsidR="00512542">
        <w:rPr>
          <w:lang w:val="en-IE"/>
        </w:rPr>
        <w:t>)</w:t>
      </w:r>
      <w:r w:rsidRPr="00E40338">
        <w:rPr>
          <w:lang w:val="en-IE"/>
        </w:rPr>
        <w:t xml:space="preserve"> is considered best practice and </w:t>
      </w:r>
      <w:r w:rsidR="00C64374">
        <w:rPr>
          <w:lang w:val="en-IE"/>
        </w:rPr>
        <w:t xml:space="preserve">has been </w:t>
      </w:r>
      <w:r w:rsidRPr="00E40338">
        <w:rPr>
          <w:lang w:val="en-IE"/>
        </w:rPr>
        <w:t xml:space="preserve">used in the assessment. </w:t>
      </w:r>
      <w:r w:rsidR="00C64374">
        <w:rPr>
          <w:lang w:val="en-IE"/>
        </w:rPr>
        <w:t>This guidance</w:t>
      </w:r>
      <w:r w:rsidRPr="00E40338">
        <w:rPr>
          <w:lang w:val="en-IE"/>
        </w:rPr>
        <w:t xml:space="preserve"> states that the crux of assessing significance is "</w:t>
      </w:r>
      <w:r w:rsidRPr="008928B6">
        <w:rPr>
          <w:i/>
          <w:lang w:val="en-IE"/>
        </w:rPr>
        <w:t>not whether a project emits GHG emissions, nor even the magnitude of GHG emissions alone, but whether it contributes to reducing GHG emissions relative to a comparable baseline consistent with a trajectory towards net zero by 2050</w:t>
      </w:r>
      <w:r w:rsidRPr="00E40338">
        <w:rPr>
          <w:lang w:val="en-IE"/>
        </w:rPr>
        <w:t xml:space="preserve">". The trajectory of GHG emissions associated with the Proposed Development has therefore been factored into the assessment criteria. </w:t>
      </w:r>
      <w:r w:rsidR="008B0D65" w:rsidRPr="008928B6">
        <w:rPr>
          <w:lang w:val="en-IE"/>
        </w:rPr>
        <w:fldChar w:fldCharType="begin"/>
      </w:r>
      <w:r w:rsidR="008B0D65" w:rsidRPr="008928B6">
        <w:rPr>
          <w:lang w:val="en-IE"/>
        </w:rPr>
        <w:instrText xml:space="preserve"> REF _Ref231282902 \h  \* MERGEFORMAT </w:instrText>
      </w:r>
      <w:r w:rsidR="008B0D65" w:rsidRPr="00511353">
        <w:rPr>
          <w:lang w:val="en-IE"/>
        </w:rPr>
      </w:r>
      <w:r w:rsidR="008B0D65" w:rsidRPr="008928B6">
        <w:rPr>
          <w:lang w:val="en-IE"/>
        </w:rPr>
        <w:fldChar w:fldCharType="separate"/>
      </w:r>
      <w:r w:rsidR="00D83C6F" w:rsidRPr="005049F3">
        <w:rPr>
          <w:lang w:val="en-IE"/>
        </w:rPr>
        <w:t>Table 10-2</w:t>
      </w:r>
      <w:r w:rsidR="008B0D65" w:rsidRPr="008928B6">
        <w:rPr>
          <w:lang w:val="en-IE"/>
        </w:rPr>
        <w:fldChar w:fldCharType="end"/>
      </w:r>
      <w:r w:rsidR="008B0D65">
        <w:rPr>
          <w:lang w:val="en-IE"/>
        </w:rPr>
        <w:t xml:space="preserve"> </w:t>
      </w:r>
      <w:r w:rsidRPr="00E40338">
        <w:rPr>
          <w:lang w:val="en-IE"/>
        </w:rPr>
        <w:t xml:space="preserve">states the significance criteria that </w:t>
      </w:r>
      <w:r w:rsidR="00C64374">
        <w:rPr>
          <w:lang w:val="en-IE"/>
        </w:rPr>
        <w:t>have</w:t>
      </w:r>
      <w:r w:rsidR="00C64374" w:rsidRPr="00E40338">
        <w:rPr>
          <w:lang w:val="en-IE"/>
        </w:rPr>
        <w:t xml:space="preserve"> </w:t>
      </w:r>
      <w:r w:rsidRPr="00E40338">
        <w:rPr>
          <w:lang w:val="en-IE"/>
        </w:rPr>
        <w:t xml:space="preserve">be applied to the </w:t>
      </w:r>
      <w:r w:rsidR="00C64374" w:rsidRPr="003538D4">
        <w:rPr>
          <w:lang w:val="en-IE"/>
        </w:rPr>
        <w:t xml:space="preserve">Lifecycle GHG Assessment </w:t>
      </w:r>
      <w:r w:rsidR="00C64374">
        <w:rPr>
          <w:lang w:val="en-IE"/>
        </w:rPr>
        <w:t xml:space="preserve">for the </w:t>
      </w:r>
      <w:r w:rsidRPr="00E40338">
        <w:rPr>
          <w:lang w:val="en-IE"/>
        </w:rPr>
        <w:t>Proposed Development.</w:t>
      </w:r>
    </w:p>
    <w:p w14:paraId="4F77E75C" w14:textId="1E2D6717" w:rsidR="008B0D65" w:rsidRDefault="008B0D65" w:rsidP="00A7414A">
      <w:pPr>
        <w:pStyle w:val="Caption"/>
      </w:pPr>
      <w:bookmarkStart w:id="69" w:name="_Ref231282902"/>
      <w:bookmarkStart w:id="70" w:name="_Toc238199677"/>
      <w:r>
        <w:t>Table 10-</w:t>
      </w:r>
      <w:r>
        <w:fldChar w:fldCharType="begin"/>
      </w:r>
      <w:r>
        <w:instrText>SEQ Table \* ARABIC</w:instrText>
      </w:r>
      <w:r>
        <w:fldChar w:fldCharType="separate"/>
      </w:r>
      <w:r w:rsidR="00D83C6F">
        <w:rPr>
          <w:noProof/>
        </w:rPr>
        <w:t>2</w:t>
      </w:r>
      <w:r>
        <w:fldChar w:fldCharType="end"/>
      </w:r>
      <w:bookmarkEnd w:id="69"/>
      <w:bookmarkEnd w:id="70"/>
      <w:r w:rsidR="00361852">
        <w:t>:</w:t>
      </w:r>
      <w:r>
        <w:t xml:space="preserve"> GHG </w:t>
      </w:r>
      <w:r w:rsidR="00C64374">
        <w:t>E</w:t>
      </w:r>
      <w:r>
        <w:t xml:space="preserve">missions </w:t>
      </w:r>
      <w:r w:rsidR="00C64374">
        <w:t>S</w:t>
      </w:r>
      <w:r>
        <w:t xml:space="preserve">ignificance </w:t>
      </w:r>
      <w:r w:rsidR="00C64374">
        <w:t>C</w:t>
      </w:r>
      <w:r>
        <w:t>riteria</w:t>
      </w:r>
    </w:p>
    <w:tbl>
      <w:tblPr>
        <w:tblStyle w:val="AECOMtable"/>
        <w:tblW w:w="0" w:type="auto"/>
        <w:tblLook w:val="04A0" w:firstRow="1" w:lastRow="0" w:firstColumn="1" w:lastColumn="0" w:noHBand="0" w:noVBand="1"/>
      </w:tblPr>
      <w:tblGrid>
        <w:gridCol w:w="1265"/>
        <w:gridCol w:w="959"/>
        <w:gridCol w:w="3274"/>
        <w:gridCol w:w="3856"/>
      </w:tblGrid>
      <w:tr w:rsidR="004578DE" w:rsidRPr="009B3544" w14:paraId="0F8F003B" w14:textId="77777777" w:rsidTr="003D6EF2">
        <w:trPr>
          <w:cnfStyle w:val="100000000000" w:firstRow="1" w:lastRow="0" w:firstColumn="0" w:lastColumn="0" w:oddVBand="0" w:evenVBand="0" w:oddHBand="0" w:evenHBand="0" w:firstRowFirstColumn="0" w:firstRowLastColumn="0" w:lastRowFirstColumn="0" w:lastRowLastColumn="0"/>
          <w:tblHeader/>
        </w:trPr>
        <w:tc>
          <w:tcPr>
            <w:tcW w:w="0" w:type="auto"/>
          </w:tcPr>
          <w:p w14:paraId="25A6BB81" w14:textId="292211EF" w:rsidR="004578DE" w:rsidRPr="009B3544" w:rsidRDefault="004578DE" w:rsidP="004578DE">
            <w:pPr>
              <w:pStyle w:val="Tabletext"/>
              <w:rPr>
                <w:highlight w:val="yellow"/>
              </w:rPr>
            </w:pPr>
            <w:r w:rsidRPr="004A722B">
              <w:t>Significance Level</w:t>
            </w:r>
          </w:p>
        </w:tc>
        <w:tc>
          <w:tcPr>
            <w:tcW w:w="0" w:type="auto"/>
          </w:tcPr>
          <w:p w14:paraId="0874002F" w14:textId="525A3499" w:rsidR="004578DE" w:rsidRPr="009B3544" w:rsidRDefault="004578DE" w:rsidP="004578DE">
            <w:pPr>
              <w:pStyle w:val="Tabletext"/>
              <w:rPr>
                <w:highlight w:val="yellow"/>
              </w:rPr>
            </w:pPr>
            <w:r w:rsidRPr="004A722B">
              <w:t>Effects</w:t>
            </w:r>
          </w:p>
        </w:tc>
        <w:tc>
          <w:tcPr>
            <w:tcW w:w="0" w:type="auto"/>
          </w:tcPr>
          <w:p w14:paraId="6537C704" w14:textId="55CE6988" w:rsidR="004578DE" w:rsidRPr="009B3544" w:rsidRDefault="004578DE" w:rsidP="004578DE">
            <w:pPr>
              <w:pStyle w:val="Tabletext"/>
              <w:rPr>
                <w:highlight w:val="yellow"/>
              </w:rPr>
            </w:pPr>
            <w:r w:rsidRPr="004A722B">
              <w:t>Description</w:t>
            </w:r>
          </w:p>
        </w:tc>
        <w:tc>
          <w:tcPr>
            <w:tcW w:w="0" w:type="auto"/>
          </w:tcPr>
          <w:p w14:paraId="27DACA48" w14:textId="00D327CB" w:rsidR="004578DE" w:rsidRPr="009B3544" w:rsidRDefault="004578DE" w:rsidP="004578DE">
            <w:pPr>
              <w:pStyle w:val="Tabletext"/>
              <w:rPr>
                <w:highlight w:val="yellow"/>
              </w:rPr>
            </w:pPr>
            <w:r w:rsidRPr="004A722B">
              <w:t>Example in the Guidance</w:t>
            </w:r>
          </w:p>
        </w:tc>
      </w:tr>
      <w:tr w:rsidR="006D0905" w:rsidRPr="009B3544" w14:paraId="58BE8627" w14:textId="77777777" w:rsidTr="003D6EF2">
        <w:trPr>
          <w:trHeight w:val="225"/>
        </w:trPr>
        <w:tc>
          <w:tcPr>
            <w:tcW w:w="0" w:type="auto"/>
            <w:vMerge w:val="restart"/>
          </w:tcPr>
          <w:p w14:paraId="7C088343" w14:textId="5D71869C" w:rsidR="006D0905" w:rsidRPr="009B3544" w:rsidRDefault="006D0905" w:rsidP="005524E5">
            <w:pPr>
              <w:pStyle w:val="Tabletext"/>
              <w:rPr>
                <w:highlight w:val="yellow"/>
              </w:rPr>
            </w:pPr>
            <w:r>
              <w:t>Significant</w:t>
            </w:r>
          </w:p>
        </w:tc>
        <w:tc>
          <w:tcPr>
            <w:tcW w:w="0" w:type="auto"/>
          </w:tcPr>
          <w:p w14:paraId="6DA0AB81" w14:textId="7FBB1BCA" w:rsidR="006D0905" w:rsidRPr="009B3544" w:rsidRDefault="006D0905" w:rsidP="005524E5">
            <w:pPr>
              <w:pStyle w:val="Tabletext"/>
              <w:rPr>
                <w:highlight w:val="yellow"/>
              </w:rPr>
            </w:pPr>
            <w:r>
              <w:t>Major Adverse</w:t>
            </w:r>
          </w:p>
        </w:tc>
        <w:tc>
          <w:tcPr>
            <w:tcW w:w="0" w:type="auto"/>
            <w:vMerge w:val="restart"/>
          </w:tcPr>
          <w:p w14:paraId="76EAFBEE" w14:textId="77777777" w:rsidR="006D0905" w:rsidRDefault="006D0905" w:rsidP="005524E5">
            <w:pPr>
              <w:pStyle w:val="Tabletext"/>
            </w:pPr>
            <w:r>
              <w:t>A project that follows a ‘business-as-usual’ or ‘do minimum’ approach and is not compatible with Ireland’s net zero trajectory or accepted aligned practice or area-based transition targets.</w:t>
            </w:r>
          </w:p>
          <w:p w14:paraId="47E071F8" w14:textId="2FCFD099" w:rsidR="006D0905" w:rsidRPr="009B3544" w:rsidRDefault="006D0905" w:rsidP="005524E5">
            <w:pPr>
              <w:pStyle w:val="Tabletext"/>
              <w:rPr>
                <w:highlight w:val="yellow"/>
              </w:rPr>
            </w:pPr>
            <w:r>
              <w:t>It is down to the practitioner to differentiate between the 'level' of significant adverse effects e.g. 'moderate' or 'major' adverse effects.</w:t>
            </w:r>
          </w:p>
        </w:tc>
        <w:tc>
          <w:tcPr>
            <w:tcW w:w="0" w:type="auto"/>
          </w:tcPr>
          <w:p w14:paraId="0881058C" w14:textId="6C4CA852" w:rsidR="006D0905" w:rsidRPr="009B3544" w:rsidRDefault="006D0905" w:rsidP="005524E5">
            <w:pPr>
              <w:pStyle w:val="Tabletext"/>
              <w:rPr>
                <w:highlight w:val="yellow"/>
              </w:rPr>
            </w:pPr>
            <w:r w:rsidRPr="00F762F4">
              <w:t>The project's GHG impacts are not mitigated or are only compliant with do-minimum standards set through regulation, and do not provide further reductions required by existing local and national policy for projects of this type. A project with major adverse effects is locking in emissions and does not make a meaningful contribution to Ireland’s trajectory towards net zero.</w:t>
            </w:r>
          </w:p>
        </w:tc>
      </w:tr>
      <w:tr w:rsidR="006D0905" w:rsidRPr="009B3544" w14:paraId="0A08C81D" w14:textId="77777777" w:rsidTr="003D6EF2">
        <w:trPr>
          <w:trHeight w:val="224"/>
        </w:trPr>
        <w:tc>
          <w:tcPr>
            <w:tcW w:w="0" w:type="auto"/>
            <w:vMerge/>
            <w:tcBorders>
              <w:bottom w:val="single" w:sz="4" w:space="0" w:color="auto"/>
            </w:tcBorders>
          </w:tcPr>
          <w:p w14:paraId="202D6C26" w14:textId="62BDFF52" w:rsidR="006D0905" w:rsidRPr="009B3544" w:rsidRDefault="006D0905" w:rsidP="005524E5">
            <w:pPr>
              <w:pStyle w:val="TableListBullet"/>
              <w:rPr>
                <w:highlight w:val="yellow"/>
              </w:rPr>
            </w:pPr>
          </w:p>
        </w:tc>
        <w:tc>
          <w:tcPr>
            <w:tcW w:w="0" w:type="auto"/>
            <w:tcBorders>
              <w:bottom w:val="single" w:sz="4" w:space="0" w:color="auto"/>
            </w:tcBorders>
          </w:tcPr>
          <w:p w14:paraId="099AA974" w14:textId="53E2372B" w:rsidR="006D0905" w:rsidRPr="009B3544" w:rsidRDefault="006D0905" w:rsidP="005524E5">
            <w:pPr>
              <w:pStyle w:val="Tabletext"/>
              <w:rPr>
                <w:highlight w:val="yellow"/>
              </w:rPr>
            </w:pPr>
            <w:r>
              <w:t>Moderate Adverse</w:t>
            </w:r>
          </w:p>
        </w:tc>
        <w:tc>
          <w:tcPr>
            <w:tcW w:w="0" w:type="auto"/>
            <w:vMerge/>
            <w:tcBorders>
              <w:bottom w:val="single" w:sz="4" w:space="0" w:color="auto"/>
            </w:tcBorders>
          </w:tcPr>
          <w:p w14:paraId="0D636ABC" w14:textId="77777777" w:rsidR="006D0905" w:rsidRPr="009B3544" w:rsidRDefault="006D0905" w:rsidP="005524E5">
            <w:pPr>
              <w:pStyle w:val="Tabletext"/>
              <w:rPr>
                <w:highlight w:val="yellow"/>
              </w:rPr>
            </w:pPr>
          </w:p>
        </w:tc>
        <w:tc>
          <w:tcPr>
            <w:tcW w:w="0" w:type="auto"/>
            <w:tcBorders>
              <w:bottom w:val="single" w:sz="4" w:space="0" w:color="auto"/>
            </w:tcBorders>
          </w:tcPr>
          <w:p w14:paraId="3A026C7D" w14:textId="286B3D52" w:rsidR="006D0905" w:rsidRPr="009B3544" w:rsidRDefault="006D0905" w:rsidP="005524E5">
            <w:pPr>
              <w:pStyle w:val="Tabletext"/>
              <w:rPr>
                <w:highlight w:val="yellow"/>
              </w:rPr>
            </w:pPr>
            <w:r w:rsidRPr="00DE4097">
              <w:t>The project's GHG impacts are partially mitigated and may partially meet the applicable existing and emerging policy requirements but would not fully contribute to decarbonisation in line with local and national policy goals for projects of this type. A project with moderate adverse effects falls short of fully contributing to Ireland’s trajectory towards net zero. </w:t>
            </w:r>
          </w:p>
        </w:tc>
      </w:tr>
      <w:tr w:rsidR="005524E5" w:rsidRPr="009B3544" w14:paraId="49221381" w14:textId="77777777" w:rsidTr="003D6EF2">
        <w:trPr>
          <w:trHeight w:val="224"/>
        </w:trPr>
        <w:tc>
          <w:tcPr>
            <w:tcW w:w="0" w:type="auto"/>
            <w:vMerge w:val="restart"/>
          </w:tcPr>
          <w:p w14:paraId="6F60B277" w14:textId="351C3E51" w:rsidR="005524E5" w:rsidRPr="009B3544" w:rsidRDefault="005524E5" w:rsidP="005524E5">
            <w:pPr>
              <w:pStyle w:val="TableListBullet"/>
              <w:numPr>
                <w:ilvl w:val="0"/>
                <w:numId w:val="0"/>
              </w:numPr>
              <w:ind w:left="284" w:hanging="284"/>
              <w:rPr>
                <w:highlight w:val="yellow"/>
              </w:rPr>
            </w:pPr>
            <w:r w:rsidRPr="003D6EF2">
              <w:rPr>
                <w:sz w:val="18"/>
              </w:rPr>
              <w:t>Not Significant</w:t>
            </w:r>
          </w:p>
        </w:tc>
        <w:tc>
          <w:tcPr>
            <w:tcW w:w="0" w:type="auto"/>
            <w:tcBorders>
              <w:bottom w:val="single" w:sz="4" w:space="0" w:color="auto"/>
            </w:tcBorders>
          </w:tcPr>
          <w:p w14:paraId="6BAB780D" w14:textId="178F86DD" w:rsidR="005524E5" w:rsidRPr="009B3544" w:rsidRDefault="005524E5" w:rsidP="005524E5">
            <w:pPr>
              <w:pStyle w:val="Tabletext"/>
              <w:rPr>
                <w:highlight w:val="yellow"/>
              </w:rPr>
            </w:pPr>
            <w:r>
              <w:t>Minor Adverse</w:t>
            </w:r>
          </w:p>
        </w:tc>
        <w:tc>
          <w:tcPr>
            <w:tcW w:w="0" w:type="auto"/>
            <w:tcBorders>
              <w:bottom w:val="single" w:sz="4" w:space="0" w:color="auto"/>
            </w:tcBorders>
          </w:tcPr>
          <w:p w14:paraId="2C2973D9" w14:textId="7835932A" w:rsidR="005524E5" w:rsidRPr="009B3544" w:rsidRDefault="005524E5" w:rsidP="005524E5">
            <w:pPr>
              <w:pStyle w:val="Tabletext"/>
              <w:rPr>
                <w:highlight w:val="yellow"/>
              </w:rPr>
            </w:pPr>
            <w:r w:rsidRPr="0035256B">
              <w:t>A project that is compatible with the budgeted, science based 1.5°C trajectory (in terms of rate of emissions reduction) and which complies with up-to-date policy and 'good practice' reduction measures to achieve that.</w:t>
            </w:r>
          </w:p>
        </w:tc>
        <w:tc>
          <w:tcPr>
            <w:tcW w:w="0" w:type="auto"/>
            <w:tcBorders>
              <w:bottom w:val="single" w:sz="4" w:space="0" w:color="auto"/>
            </w:tcBorders>
          </w:tcPr>
          <w:p w14:paraId="4D4E1FAD" w14:textId="3A5BAC04" w:rsidR="005524E5" w:rsidRPr="009B3544" w:rsidRDefault="005524E5" w:rsidP="005524E5">
            <w:pPr>
              <w:pStyle w:val="Tabletext"/>
              <w:rPr>
                <w:highlight w:val="yellow"/>
              </w:rPr>
            </w:pPr>
            <w:r w:rsidRPr="0035256B">
              <w:t>The project's GHG impacts would be fully consistent with applicable existing and emerging policy requirements and good practice design standards for projects of this type. A project with minor adverse effects is fully in line with measures necessary to achieve Ireland’s trajectory towards net zero.</w:t>
            </w:r>
          </w:p>
        </w:tc>
      </w:tr>
      <w:tr w:rsidR="005524E5" w:rsidRPr="009B3544" w14:paraId="62F3498E" w14:textId="77777777" w:rsidTr="003D6EF2">
        <w:trPr>
          <w:trHeight w:val="224"/>
        </w:trPr>
        <w:tc>
          <w:tcPr>
            <w:tcW w:w="0" w:type="auto"/>
            <w:vMerge/>
            <w:tcBorders>
              <w:bottom w:val="single" w:sz="4" w:space="0" w:color="auto"/>
            </w:tcBorders>
          </w:tcPr>
          <w:p w14:paraId="3B5305AB" w14:textId="77777777" w:rsidR="005524E5" w:rsidRPr="009B3544" w:rsidRDefault="005524E5" w:rsidP="005524E5">
            <w:pPr>
              <w:pStyle w:val="TableListBullet"/>
              <w:rPr>
                <w:highlight w:val="yellow"/>
              </w:rPr>
            </w:pPr>
          </w:p>
        </w:tc>
        <w:tc>
          <w:tcPr>
            <w:tcW w:w="0" w:type="auto"/>
            <w:tcBorders>
              <w:bottom w:val="single" w:sz="4" w:space="0" w:color="auto"/>
            </w:tcBorders>
          </w:tcPr>
          <w:p w14:paraId="7B0D47BC" w14:textId="69E2F5BC" w:rsidR="005524E5" w:rsidRPr="009B3544" w:rsidRDefault="005524E5" w:rsidP="005524E5">
            <w:pPr>
              <w:pStyle w:val="Tabletext"/>
              <w:rPr>
                <w:highlight w:val="yellow"/>
              </w:rPr>
            </w:pPr>
            <w:r>
              <w:t>Negligible</w:t>
            </w:r>
          </w:p>
        </w:tc>
        <w:tc>
          <w:tcPr>
            <w:tcW w:w="0" w:type="auto"/>
            <w:tcBorders>
              <w:bottom w:val="single" w:sz="4" w:space="0" w:color="auto"/>
            </w:tcBorders>
          </w:tcPr>
          <w:p w14:paraId="4785F69A" w14:textId="42FA16CC" w:rsidR="005524E5" w:rsidRPr="009B3544" w:rsidRDefault="005524E5" w:rsidP="005524E5">
            <w:pPr>
              <w:pStyle w:val="Tabletext"/>
              <w:rPr>
                <w:highlight w:val="yellow"/>
              </w:rPr>
            </w:pPr>
            <w:r w:rsidRPr="0035256B">
              <w:t>A project that achieves emissions mitigation that goes substantially beyond the reduction trajectory, or substantially beyond existing and emerging policy compatible with that trajectory and has minimal residual emissions. This project is playing a part in achieving the rate of transition required by nationally set policy commitments.</w:t>
            </w:r>
          </w:p>
        </w:tc>
        <w:tc>
          <w:tcPr>
            <w:tcW w:w="0" w:type="auto"/>
            <w:tcBorders>
              <w:bottom w:val="single" w:sz="4" w:space="0" w:color="auto"/>
            </w:tcBorders>
          </w:tcPr>
          <w:p w14:paraId="79523CCC" w14:textId="0F49605C" w:rsidR="005524E5" w:rsidRPr="009B3544" w:rsidRDefault="005524E5" w:rsidP="005524E5">
            <w:pPr>
              <w:pStyle w:val="Tabletext"/>
              <w:rPr>
                <w:highlight w:val="yellow"/>
              </w:rPr>
            </w:pPr>
            <w:r w:rsidRPr="0035256B">
              <w:t>The project's GHG impacts would be reduced through measures that go well beyond existing and emerging policy and design standards for projects of this type, such that radical decarbonisation or net zero is achieved well before 2050. A project with negligible effects provides GHG performance that is well 'ahead of the curve' for the trajectory towards net zero and has minimal residual emissions.</w:t>
            </w:r>
          </w:p>
        </w:tc>
      </w:tr>
      <w:tr w:rsidR="005524E5" w:rsidRPr="009B3544" w14:paraId="619535CF" w14:textId="77777777" w:rsidTr="003D6EF2">
        <w:trPr>
          <w:trHeight w:val="224"/>
        </w:trPr>
        <w:tc>
          <w:tcPr>
            <w:tcW w:w="0" w:type="auto"/>
            <w:tcBorders>
              <w:bottom w:val="single" w:sz="4" w:space="0" w:color="auto"/>
            </w:tcBorders>
          </w:tcPr>
          <w:p w14:paraId="7749528A" w14:textId="0D027182" w:rsidR="005524E5" w:rsidRPr="009B3544" w:rsidRDefault="005524E5" w:rsidP="005524E5">
            <w:pPr>
              <w:pStyle w:val="TableListBullet"/>
              <w:numPr>
                <w:ilvl w:val="0"/>
                <w:numId w:val="0"/>
              </w:numPr>
              <w:ind w:left="284" w:hanging="284"/>
              <w:rPr>
                <w:highlight w:val="yellow"/>
              </w:rPr>
            </w:pPr>
            <w:r w:rsidRPr="003D6EF2">
              <w:rPr>
                <w:sz w:val="18"/>
              </w:rPr>
              <w:t>Significant</w:t>
            </w:r>
          </w:p>
        </w:tc>
        <w:tc>
          <w:tcPr>
            <w:tcW w:w="0" w:type="auto"/>
            <w:tcBorders>
              <w:bottom w:val="single" w:sz="4" w:space="0" w:color="auto"/>
            </w:tcBorders>
          </w:tcPr>
          <w:p w14:paraId="52F07ABB" w14:textId="31C931AA" w:rsidR="005524E5" w:rsidRPr="009B3544" w:rsidRDefault="005524E5" w:rsidP="005524E5">
            <w:pPr>
              <w:pStyle w:val="Tabletext"/>
              <w:rPr>
                <w:highlight w:val="yellow"/>
              </w:rPr>
            </w:pPr>
            <w:r>
              <w:t>Beneficial</w:t>
            </w:r>
          </w:p>
        </w:tc>
        <w:tc>
          <w:tcPr>
            <w:tcW w:w="0" w:type="auto"/>
            <w:tcBorders>
              <w:bottom w:val="single" w:sz="4" w:space="0" w:color="auto"/>
            </w:tcBorders>
          </w:tcPr>
          <w:p w14:paraId="6EA148D9" w14:textId="0E830B65" w:rsidR="005524E5" w:rsidRPr="009B3544" w:rsidRDefault="005524E5" w:rsidP="005524E5">
            <w:pPr>
              <w:pStyle w:val="Tabletext"/>
              <w:rPr>
                <w:highlight w:val="yellow"/>
              </w:rPr>
            </w:pPr>
            <w:r w:rsidRPr="00A579F6">
              <w:t>A project that causes GHG emissions to be avoided or removed from the atmosphere. Only projects that actively reverse (rather than only reduce) the risk of severe climate change can be judged as having a beneficial effect.</w:t>
            </w:r>
          </w:p>
        </w:tc>
        <w:tc>
          <w:tcPr>
            <w:tcW w:w="0" w:type="auto"/>
            <w:tcBorders>
              <w:bottom w:val="single" w:sz="4" w:space="0" w:color="auto"/>
            </w:tcBorders>
          </w:tcPr>
          <w:p w14:paraId="3C74A2C5" w14:textId="5458E3DA" w:rsidR="005524E5" w:rsidRPr="009B3544" w:rsidRDefault="005524E5" w:rsidP="005524E5">
            <w:pPr>
              <w:pStyle w:val="Tabletext"/>
              <w:rPr>
                <w:highlight w:val="yellow"/>
              </w:rPr>
            </w:pPr>
            <w:r w:rsidRPr="00A579F6">
              <w:t>The project's net GHG impacts are below zero and it causes a reduction in atmospheric GHG concentration, whether directly or indirectly, compared to the without-project baseline. A project with beneficial effects substantially exceeds net zero requirements with a positive climate impact.</w:t>
            </w:r>
          </w:p>
        </w:tc>
      </w:tr>
    </w:tbl>
    <w:p w14:paraId="20967A4D" w14:textId="77777777" w:rsidR="00C64374" w:rsidRDefault="00C64374" w:rsidP="0072259A">
      <w:pPr>
        <w:pStyle w:val="ListBullet"/>
        <w:tabs>
          <w:tab w:val="clear" w:pos="425"/>
        </w:tabs>
        <w:ind w:left="0" w:firstLine="0"/>
        <w:rPr>
          <w:lang w:val="en-IE"/>
        </w:rPr>
      </w:pPr>
    </w:p>
    <w:p w14:paraId="3A53352E" w14:textId="00CBAC1D" w:rsidR="00B21764" w:rsidRDefault="0072259A" w:rsidP="0072259A">
      <w:pPr>
        <w:pStyle w:val="ListBullet"/>
        <w:tabs>
          <w:tab w:val="clear" w:pos="425"/>
        </w:tabs>
        <w:ind w:left="0" w:firstLine="0"/>
        <w:rPr>
          <w:lang w:val="en-IE"/>
        </w:rPr>
      </w:pPr>
      <w:r w:rsidRPr="0072259A">
        <w:rPr>
          <w:lang w:val="en-IE"/>
        </w:rPr>
        <w:t>A project’s impact can shift from significant adverse to non-significant effects by incorporating mitigation measures that substantially improve on business-as-usual and meet or exceed the science-based emissions trajectory of ongoing but declining emissions towards net zero.</w:t>
      </w:r>
    </w:p>
    <w:p w14:paraId="02AA9D2B" w14:textId="77777777" w:rsidR="0049675E" w:rsidRDefault="0049675E" w:rsidP="0049675E">
      <w:pPr>
        <w:pStyle w:val="Heading4"/>
        <w:rPr>
          <w:lang w:val="en-IE"/>
        </w:rPr>
      </w:pPr>
      <w:bookmarkStart w:id="71" w:name="_Ref231376664"/>
      <w:r w:rsidRPr="0049675E">
        <w:rPr>
          <w:lang w:val="en-IE"/>
        </w:rPr>
        <w:lastRenderedPageBreak/>
        <w:t>Determining the Magnitude of Impact</w:t>
      </w:r>
      <w:bookmarkEnd w:id="71"/>
    </w:p>
    <w:p w14:paraId="2BD80037" w14:textId="687D876A" w:rsidR="0049675E" w:rsidRPr="00A7414A" w:rsidRDefault="00585A5D" w:rsidP="0049675E">
      <w:pPr>
        <w:pStyle w:val="BodyText"/>
        <w:rPr>
          <w:color w:val="000000" w:themeColor="text1"/>
          <w:lang w:val="en-IE"/>
        </w:rPr>
      </w:pPr>
      <w:r w:rsidRPr="00A7414A">
        <w:rPr>
          <w:color w:val="000000" w:themeColor="text1"/>
          <w:lang w:val="en-IE"/>
        </w:rPr>
        <w:t>The GHG impact of the Proposed Development during construction has been compared against Ireland’s Carbon Budgets</w:t>
      </w:r>
      <w:r w:rsidR="00FE44D6">
        <w:rPr>
          <w:color w:val="000000" w:themeColor="text1"/>
          <w:lang w:val="en-IE"/>
        </w:rPr>
        <w:t xml:space="preserve"> (Government of Ireland, 2022</w:t>
      </w:r>
      <w:r w:rsidR="008F6448">
        <w:rPr>
          <w:color w:val="000000" w:themeColor="text1"/>
          <w:lang w:val="en-IE"/>
        </w:rPr>
        <w:t>a</w:t>
      </w:r>
      <w:r w:rsidR="00FE44D6">
        <w:rPr>
          <w:color w:val="000000" w:themeColor="text1"/>
          <w:lang w:val="en-IE"/>
        </w:rPr>
        <w:t>)</w:t>
      </w:r>
      <w:r w:rsidRPr="00A7414A">
        <w:rPr>
          <w:color w:val="000000" w:themeColor="text1"/>
          <w:lang w:val="en-IE"/>
        </w:rPr>
        <w:t xml:space="preserve"> in </w:t>
      </w:r>
      <w:r w:rsidR="001D2BFF" w:rsidRPr="008928B6">
        <w:rPr>
          <w:color w:val="000000" w:themeColor="text1"/>
          <w:lang w:val="en-IE"/>
        </w:rPr>
        <w:fldChar w:fldCharType="begin"/>
      </w:r>
      <w:r w:rsidR="001D2BFF" w:rsidRPr="008928B6">
        <w:rPr>
          <w:color w:val="000000" w:themeColor="text1"/>
          <w:lang w:val="en-IE"/>
        </w:rPr>
        <w:instrText xml:space="preserve"> REF _Ref214371120 \h  \* MERGEFORMAT </w:instrText>
      </w:r>
      <w:r w:rsidR="001D2BFF" w:rsidRPr="00511353">
        <w:rPr>
          <w:color w:val="000000" w:themeColor="text1"/>
          <w:lang w:val="en-IE"/>
        </w:rPr>
      </w:r>
      <w:r w:rsidR="001D2BFF" w:rsidRPr="008928B6">
        <w:rPr>
          <w:color w:val="000000" w:themeColor="text1"/>
          <w:lang w:val="en-IE"/>
        </w:rPr>
        <w:fldChar w:fldCharType="separate"/>
      </w:r>
      <w:r w:rsidR="00D83C6F" w:rsidRPr="00BC67CC">
        <w:rPr>
          <w:color w:val="000000" w:themeColor="text1"/>
          <w:lang w:val="en-IE"/>
        </w:rPr>
        <w:t>Table 10</w:t>
      </w:r>
      <w:r w:rsidR="00D83C6F" w:rsidRPr="00BC67CC">
        <w:rPr>
          <w:color w:val="000000" w:themeColor="text1"/>
          <w:lang w:val="en-IE"/>
        </w:rPr>
        <w:noBreakHyphen/>
        <w:t>3</w:t>
      </w:r>
      <w:r w:rsidR="001D2BFF" w:rsidRPr="008928B6">
        <w:rPr>
          <w:color w:val="000000" w:themeColor="text1"/>
          <w:lang w:val="en-IE"/>
        </w:rPr>
        <w:fldChar w:fldCharType="end"/>
      </w:r>
      <w:r w:rsidRPr="00A7414A">
        <w:rPr>
          <w:color w:val="000000" w:themeColor="text1"/>
          <w:lang w:val="en-IE"/>
        </w:rPr>
        <w:t xml:space="preserve">. </w:t>
      </w:r>
      <w:r w:rsidRPr="00BC67CC">
        <w:rPr>
          <w:color w:val="000000" w:themeColor="text1"/>
          <w:lang w:val="en-IE"/>
        </w:rPr>
        <w:t>The GHG emissions have also been compared against Ireland's Industry Sectoral Emission Ceiling</w:t>
      </w:r>
      <w:r w:rsidR="00077042">
        <w:rPr>
          <w:color w:val="000000" w:themeColor="text1"/>
          <w:lang w:val="en-IE"/>
        </w:rPr>
        <w:t>s (</w:t>
      </w:r>
      <w:r w:rsidR="008F6448">
        <w:rPr>
          <w:color w:val="000000" w:themeColor="text1"/>
          <w:lang w:val="en-IE"/>
        </w:rPr>
        <w:t>Government of Ireland, 2022b)</w:t>
      </w:r>
      <w:r w:rsidRPr="00A7414A">
        <w:rPr>
          <w:color w:val="000000" w:themeColor="text1"/>
          <w:lang w:val="en-IE"/>
        </w:rPr>
        <w:t xml:space="preserve"> found in </w:t>
      </w:r>
      <w:r w:rsidR="00EF1AF7" w:rsidRPr="008928B6">
        <w:rPr>
          <w:color w:val="000000" w:themeColor="text1"/>
          <w:lang w:val="en-IE"/>
        </w:rPr>
        <w:fldChar w:fldCharType="begin"/>
      </w:r>
      <w:r w:rsidR="00EF1AF7" w:rsidRPr="008928B6">
        <w:rPr>
          <w:color w:val="000000" w:themeColor="text1"/>
          <w:lang w:val="en-IE"/>
        </w:rPr>
        <w:instrText xml:space="preserve"> REF _Ref214371130 \h  \* MERGEFORMAT </w:instrText>
      </w:r>
      <w:r w:rsidR="00EF1AF7" w:rsidRPr="00511353">
        <w:rPr>
          <w:color w:val="000000" w:themeColor="text1"/>
          <w:lang w:val="en-IE"/>
        </w:rPr>
      </w:r>
      <w:r w:rsidR="00EF1AF7" w:rsidRPr="008928B6">
        <w:rPr>
          <w:color w:val="000000" w:themeColor="text1"/>
          <w:lang w:val="en-IE"/>
        </w:rPr>
        <w:fldChar w:fldCharType="separate"/>
      </w:r>
      <w:r w:rsidR="00D83C6F" w:rsidRPr="00BC67CC">
        <w:rPr>
          <w:color w:val="000000" w:themeColor="text1"/>
          <w:lang w:val="en-IE"/>
        </w:rPr>
        <w:t>Table 10</w:t>
      </w:r>
      <w:r w:rsidR="00D83C6F" w:rsidRPr="00BC67CC">
        <w:rPr>
          <w:color w:val="000000" w:themeColor="text1"/>
          <w:lang w:val="en-IE"/>
        </w:rPr>
        <w:noBreakHyphen/>
        <w:t>4</w:t>
      </w:r>
      <w:r w:rsidR="00EF1AF7" w:rsidRPr="008928B6">
        <w:rPr>
          <w:color w:val="000000" w:themeColor="text1"/>
          <w:lang w:val="en-IE"/>
        </w:rPr>
        <w:fldChar w:fldCharType="end"/>
      </w:r>
      <w:r w:rsidRPr="00A7414A">
        <w:rPr>
          <w:color w:val="000000" w:themeColor="text1"/>
          <w:lang w:val="en-IE"/>
        </w:rPr>
        <w:t xml:space="preserve">. </w:t>
      </w:r>
      <w:r w:rsidR="00675412" w:rsidRPr="00BC67CC">
        <w:rPr>
          <w:color w:val="000000" w:themeColor="text1"/>
          <w:lang w:val="en-IE"/>
        </w:rPr>
        <w:t xml:space="preserve">Ireland’s Built Environment - Residential Sectoral Emission Ceiling </w:t>
      </w:r>
      <w:r w:rsidRPr="00BC67CC">
        <w:rPr>
          <w:color w:val="000000" w:themeColor="text1"/>
          <w:lang w:val="en-IE"/>
        </w:rPr>
        <w:t xml:space="preserve"> sets out the 2030 net zero trajectory for construction</w:t>
      </w:r>
      <w:r w:rsidRPr="00A7414A">
        <w:rPr>
          <w:color w:val="000000" w:themeColor="text1"/>
          <w:lang w:val="en-IE"/>
        </w:rPr>
        <w:t xml:space="preserve"> emissions </w:t>
      </w:r>
      <w:r w:rsidR="00675412" w:rsidRPr="00BC67CC">
        <w:rPr>
          <w:color w:val="000000" w:themeColor="text1"/>
          <w:lang w:val="en-IE"/>
        </w:rPr>
        <w:t>related to residential infrastructure</w:t>
      </w:r>
      <w:r w:rsidRPr="00BC67CC">
        <w:rPr>
          <w:color w:val="000000" w:themeColor="text1"/>
          <w:lang w:val="en-IE"/>
        </w:rPr>
        <w:t xml:space="preserve"> </w:t>
      </w:r>
      <w:r w:rsidRPr="00A7414A">
        <w:rPr>
          <w:color w:val="000000" w:themeColor="text1"/>
          <w:lang w:val="en-IE"/>
        </w:rPr>
        <w:t>under the Climate Action and Low Carbon Development Amendment Act 2021</w:t>
      </w:r>
      <w:r w:rsidR="00BC46DE">
        <w:rPr>
          <w:color w:val="000000" w:themeColor="text1"/>
          <w:lang w:val="en-IE"/>
        </w:rPr>
        <w:t xml:space="preserve"> (Government of Ireland, 2021)</w:t>
      </w:r>
      <w:r w:rsidRPr="00A7414A">
        <w:rPr>
          <w:color w:val="000000" w:themeColor="text1"/>
          <w:lang w:val="en-IE"/>
        </w:rPr>
        <w:t xml:space="preserve">. This budget has been used as a proxy to contextualise the Proposed Development's construction emissions in order to determine the significance of emissions in line with </w:t>
      </w:r>
      <w:r w:rsidR="0013429B" w:rsidRPr="008928B6">
        <w:rPr>
          <w:color w:val="000000" w:themeColor="text1"/>
          <w:lang w:val="en-IE"/>
        </w:rPr>
        <w:fldChar w:fldCharType="begin"/>
      </w:r>
      <w:r w:rsidR="0013429B" w:rsidRPr="008928B6">
        <w:rPr>
          <w:color w:val="000000" w:themeColor="text1"/>
          <w:lang w:val="en-IE"/>
        </w:rPr>
        <w:instrText xml:space="preserve"> REF _Ref231282902 \h  \* MERGEFORMAT </w:instrText>
      </w:r>
      <w:r w:rsidR="0013429B" w:rsidRPr="00511353">
        <w:rPr>
          <w:color w:val="000000" w:themeColor="text1"/>
          <w:lang w:val="en-IE"/>
        </w:rPr>
      </w:r>
      <w:r w:rsidR="0013429B" w:rsidRPr="008928B6">
        <w:rPr>
          <w:color w:val="000000" w:themeColor="text1"/>
          <w:lang w:val="en-IE"/>
        </w:rPr>
        <w:fldChar w:fldCharType="separate"/>
      </w:r>
      <w:r w:rsidR="00D83C6F" w:rsidRPr="005049F3">
        <w:rPr>
          <w:color w:val="000000" w:themeColor="text1"/>
          <w:lang w:val="en-IE"/>
        </w:rPr>
        <w:t>Table 10-2</w:t>
      </w:r>
      <w:r w:rsidR="0013429B" w:rsidRPr="008928B6">
        <w:rPr>
          <w:color w:val="000000" w:themeColor="text1"/>
          <w:lang w:val="en-IE"/>
        </w:rPr>
        <w:fldChar w:fldCharType="end"/>
      </w:r>
      <w:r w:rsidRPr="00A7414A">
        <w:rPr>
          <w:color w:val="000000" w:themeColor="text1"/>
          <w:lang w:val="en-IE"/>
        </w:rPr>
        <w:t>.</w:t>
      </w:r>
    </w:p>
    <w:p w14:paraId="7242EEEB" w14:textId="32C0E34C" w:rsidR="00B559CA" w:rsidRPr="001712FE" w:rsidRDefault="00B559CA" w:rsidP="00A7414A">
      <w:pPr>
        <w:pStyle w:val="Caption"/>
      </w:pPr>
      <w:bookmarkStart w:id="72" w:name="_Ref214371120"/>
      <w:bookmarkStart w:id="73" w:name="_Toc216107526"/>
      <w:bookmarkStart w:id="74" w:name="_Toc238199678"/>
      <w:r w:rsidRPr="00A7414A">
        <w:t xml:space="preserve">Table </w:t>
      </w:r>
      <w:r>
        <w:fldChar w:fldCharType="begin"/>
      </w:r>
      <w:r>
        <w:instrText>STYLEREF 1 \s</w:instrText>
      </w:r>
      <w:r>
        <w:fldChar w:fldCharType="separate"/>
      </w:r>
      <w:r w:rsidR="00D83C6F">
        <w:rPr>
          <w:noProof/>
        </w:rPr>
        <w:t>10</w:t>
      </w:r>
      <w:r>
        <w:fldChar w:fldCharType="end"/>
      </w:r>
      <w:r w:rsidR="00BE5583" w:rsidRPr="00A7414A">
        <w:noBreakHyphen/>
      </w:r>
      <w:r>
        <w:fldChar w:fldCharType="begin"/>
      </w:r>
      <w:r>
        <w:instrText>SEQ Table \* ARABIC \s 1</w:instrText>
      </w:r>
      <w:r>
        <w:fldChar w:fldCharType="separate"/>
      </w:r>
      <w:r w:rsidR="00D83C6F">
        <w:rPr>
          <w:noProof/>
        </w:rPr>
        <w:t>3</w:t>
      </w:r>
      <w:r>
        <w:fldChar w:fldCharType="end"/>
      </w:r>
      <w:bookmarkEnd w:id="72"/>
      <w:r w:rsidR="00361852">
        <w:t>:</w:t>
      </w:r>
      <w:r w:rsidRPr="001712FE">
        <w:t xml:space="preserve"> </w:t>
      </w:r>
      <w:r w:rsidRPr="00CA4EDB">
        <w:t xml:space="preserve">Ireland’s Carbon Budgets </w:t>
      </w:r>
      <w:r w:rsidR="003A7353">
        <w:t>R</w:t>
      </w:r>
      <w:r w:rsidRPr="00CA4EDB">
        <w:t>elevant to the Construction Period</w:t>
      </w:r>
      <w:bookmarkEnd w:id="73"/>
      <w:bookmarkEnd w:id="74"/>
    </w:p>
    <w:tbl>
      <w:tblPr>
        <w:tblStyle w:val="AECOMtable"/>
        <w:tblW w:w="5000" w:type="pct"/>
        <w:tblLook w:val="04A0" w:firstRow="1" w:lastRow="0" w:firstColumn="1" w:lastColumn="0" w:noHBand="0" w:noVBand="1"/>
      </w:tblPr>
      <w:tblGrid>
        <w:gridCol w:w="4677"/>
        <w:gridCol w:w="4677"/>
      </w:tblGrid>
      <w:tr w:rsidR="00B559CA" w:rsidRPr="00CE4840" w14:paraId="7DCC2370" w14:textId="77777777" w:rsidTr="00B559CA">
        <w:trPr>
          <w:cnfStyle w:val="100000000000" w:firstRow="1" w:lastRow="0" w:firstColumn="0" w:lastColumn="0" w:oddVBand="0" w:evenVBand="0" w:oddHBand="0" w:evenHBand="0" w:firstRowFirstColumn="0" w:firstRowLastColumn="0" w:lastRowFirstColumn="0" w:lastRowLastColumn="0"/>
          <w:trHeight w:val="297"/>
          <w:tblHeader/>
        </w:trPr>
        <w:tc>
          <w:tcPr>
            <w:tcW w:w="2500" w:type="pct"/>
          </w:tcPr>
          <w:p w14:paraId="0CD4B3DF" w14:textId="77777777" w:rsidR="00B559CA" w:rsidRDefault="00B559CA">
            <w:pPr>
              <w:pStyle w:val="Tabletext"/>
              <w:keepNext/>
              <w:ind w:right="57"/>
              <w:jc w:val="left"/>
            </w:pPr>
            <w:r>
              <w:t>Carbon Budget</w:t>
            </w:r>
          </w:p>
        </w:tc>
        <w:tc>
          <w:tcPr>
            <w:tcW w:w="2500" w:type="pct"/>
          </w:tcPr>
          <w:p w14:paraId="570534EC" w14:textId="77777777" w:rsidR="00B559CA" w:rsidRDefault="00B559CA">
            <w:pPr>
              <w:pStyle w:val="Tabletext"/>
              <w:keepNext/>
              <w:ind w:right="57"/>
              <w:jc w:val="left"/>
            </w:pPr>
            <w:r w:rsidRPr="00EE533B">
              <w:t>Ireland Carbon Budget (M</w:t>
            </w:r>
            <w:r>
              <w:t>tCO</w:t>
            </w:r>
            <w:r w:rsidRPr="00CA0B93">
              <w:rPr>
                <w:vertAlign w:val="subscript"/>
              </w:rPr>
              <w:t>2</w:t>
            </w:r>
            <w:r>
              <w:t>e</w:t>
            </w:r>
            <w:r w:rsidRPr="00EE533B">
              <w:t>q)</w:t>
            </w:r>
          </w:p>
        </w:tc>
      </w:tr>
      <w:tr w:rsidR="00B559CA" w:rsidRPr="00CE4840" w14:paraId="392D62A2" w14:textId="77777777" w:rsidTr="00B559CA">
        <w:trPr>
          <w:trHeight w:val="297"/>
        </w:trPr>
        <w:tc>
          <w:tcPr>
            <w:tcW w:w="2500" w:type="pct"/>
            <w:tcBorders>
              <w:top w:val="single" w:sz="12" w:space="0" w:color="008768" w:themeColor="accent1"/>
              <w:bottom w:val="single" w:sz="4" w:space="0" w:color="auto"/>
            </w:tcBorders>
          </w:tcPr>
          <w:p w14:paraId="1B787A7F" w14:textId="27B373E8" w:rsidR="00B559CA" w:rsidRDefault="00B559CA">
            <w:pPr>
              <w:pStyle w:val="Tabletext"/>
              <w:keepNext/>
            </w:pPr>
            <w:r>
              <w:t>Carbon Budget 2 (</w:t>
            </w:r>
            <w:r w:rsidR="000F67C3">
              <w:t xml:space="preserve">2026 </w:t>
            </w:r>
            <w:r>
              <w:t xml:space="preserve">– 2030) </w:t>
            </w:r>
          </w:p>
        </w:tc>
        <w:tc>
          <w:tcPr>
            <w:tcW w:w="2500" w:type="pct"/>
            <w:tcBorders>
              <w:top w:val="single" w:sz="12" w:space="0" w:color="008768" w:themeColor="accent1"/>
              <w:bottom w:val="single" w:sz="4" w:space="0" w:color="auto"/>
            </w:tcBorders>
          </w:tcPr>
          <w:p w14:paraId="780028E2" w14:textId="77777777" w:rsidR="00B559CA" w:rsidRDefault="00B559CA">
            <w:pPr>
              <w:pStyle w:val="Tabletext"/>
              <w:keepNext/>
              <w:jc w:val="left"/>
            </w:pPr>
            <w:r>
              <w:t xml:space="preserve">200 </w:t>
            </w:r>
          </w:p>
        </w:tc>
      </w:tr>
    </w:tbl>
    <w:p w14:paraId="2186FB55" w14:textId="77777777" w:rsidR="00585A5D" w:rsidRDefault="00585A5D" w:rsidP="0049675E">
      <w:pPr>
        <w:pStyle w:val="BodyText"/>
        <w:rPr>
          <w:lang w:val="en-IE"/>
        </w:rPr>
      </w:pPr>
    </w:p>
    <w:p w14:paraId="2108A1BD" w14:textId="3958AD19" w:rsidR="005356CA" w:rsidRPr="001712FE" w:rsidRDefault="005356CA" w:rsidP="00A7414A">
      <w:pPr>
        <w:pStyle w:val="Caption"/>
      </w:pPr>
      <w:bookmarkStart w:id="75" w:name="_Ref214371130"/>
      <w:bookmarkStart w:id="76" w:name="_Ref214382076"/>
      <w:bookmarkStart w:id="77" w:name="_Toc216107527"/>
      <w:bookmarkStart w:id="78" w:name="_Toc238199679"/>
      <w:r w:rsidRPr="00A7414A">
        <w:t xml:space="preserve">Table </w:t>
      </w:r>
      <w:r>
        <w:fldChar w:fldCharType="begin"/>
      </w:r>
      <w:r>
        <w:instrText>STYLEREF 1 \s</w:instrText>
      </w:r>
      <w:r>
        <w:fldChar w:fldCharType="separate"/>
      </w:r>
      <w:r w:rsidR="00D83C6F">
        <w:rPr>
          <w:noProof/>
        </w:rPr>
        <w:t>10</w:t>
      </w:r>
      <w:r>
        <w:fldChar w:fldCharType="end"/>
      </w:r>
      <w:r w:rsidR="00BE5583" w:rsidRPr="00A7414A">
        <w:noBreakHyphen/>
      </w:r>
      <w:r>
        <w:fldChar w:fldCharType="begin"/>
      </w:r>
      <w:r>
        <w:instrText>SEQ Table \* ARABIC \s 1</w:instrText>
      </w:r>
      <w:r>
        <w:fldChar w:fldCharType="separate"/>
      </w:r>
      <w:r w:rsidR="00D83C6F">
        <w:rPr>
          <w:noProof/>
        </w:rPr>
        <w:t>4</w:t>
      </w:r>
      <w:r>
        <w:fldChar w:fldCharType="end"/>
      </w:r>
      <w:bookmarkEnd w:id="75"/>
      <w:bookmarkEnd w:id="76"/>
      <w:r w:rsidR="00361852">
        <w:t>:</w:t>
      </w:r>
      <w:r w:rsidRPr="001712FE">
        <w:t xml:space="preserve"> </w:t>
      </w:r>
      <w:r w:rsidRPr="00CA4EDB">
        <w:t>Ireland's Industry Sectoral Emission Ceiling</w:t>
      </w:r>
      <w:bookmarkEnd w:id="77"/>
      <w:bookmarkEnd w:id="78"/>
    </w:p>
    <w:tbl>
      <w:tblPr>
        <w:tblStyle w:val="AECOMtable"/>
        <w:tblW w:w="5000" w:type="pct"/>
        <w:tblLook w:val="04A0" w:firstRow="1" w:lastRow="0" w:firstColumn="1" w:lastColumn="0" w:noHBand="0" w:noVBand="1"/>
      </w:tblPr>
      <w:tblGrid>
        <w:gridCol w:w="4677"/>
        <w:gridCol w:w="4677"/>
      </w:tblGrid>
      <w:tr w:rsidR="005356CA" w:rsidRPr="00CE4840" w14:paraId="6867F186" w14:textId="77777777">
        <w:trPr>
          <w:cnfStyle w:val="100000000000" w:firstRow="1" w:lastRow="0" w:firstColumn="0" w:lastColumn="0" w:oddVBand="0" w:evenVBand="0" w:oddHBand="0" w:evenHBand="0" w:firstRowFirstColumn="0" w:firstRowLastColumn="0" w:lastRowFirstColumn="0" w:lastRowLastColumn="0"/>
          <w:trHeight w:val="318"/>
          <w:tblHeader/>
        </w:trPr>
        <w:tc>
          <w:tcPr>
            <w:tcW w:w="2500" w:type="pct"/>
          </w:tcPr>
          <w:p w14:paraId="6331A1DB" w14:textId="77777777" w:rsidR="005356CA" w:rsidRDefault="005356CA">
            <w:pPr>
              <w:pStyle w:val="Tabletext"/>
              <w:ind w:right="57"/>
              <w:jc w:val="left"/>
            </w:pPr>
            <w:r w:rsidRPr="00EF392C">
              <w:t>Carbon Budget</w:t>
            </w:r>
          </w:p>
        </w:tc>
        <w:tc>
          <w:tcPr>
            <w:tcW w:w="2500" w:type="pct"/>
          </w:tcPr>
          <w:p w14:paraId="021B325E" w14:textId="1A64C7F4" w:rsidR="005356CA" w:rsidRDefault="005356CA">
            <w:pPr>
              <w:pStyle w:val="Tabletext"/>
              <w:ind w:right="57"/>
              <w:jc w:val="left"/>
            </w:pPr>
            <w:r w:rsidRPr="00EF392C">
              <w:t xml:space="preserve">Ireland’s </w:t>
            </w:r>
            <w:r w:rsidR="008A0C39">
              <w:t xml:space="preserve">Built Environment </w:t>
            </w:r>
            <w:r w:rsidR="0064576B">
              <w:t>- Residential</w:t>
            </w:r>
            <w:r w:rsidRPr="00EF392C">
              <w:t xml:space="preserve"> Sectoral Emission Ceiling (M</w:t>
            </w:r>
            <w:r>
              <w:t>tCO</w:t>
            </w:r>
            <w:r w:rsidRPr="00CA0B93">
              <w:rPr>
                <w:vertAlign w:val="subscript"/>
              </w:rPr>
              <w:t>2</w:t>
            </w:r>
            <w:r>
              <w:t>e</w:t>
            </w:r>
            <w:r w:rsidRPr="00EF392C">
              <w:t>q)</w:t>
            </w:r>
            <w:r>
              <w:t xml:space="preserve"> </w:t>
            </w:r>
          </w:p>
        </w:tc>
      </w:tr>
      <w:tr w:rsidR="005356CA" w:rsidRPr="00CE4840" w14:paraId="0A83B059" w14:textId="77777777">
        <w:trPr>
          <w:trHeight w:val="245"/>
        </w:trPr>
        <w:tc>
          <w:tcPr>
            <w:tcW w:w="2500" w:type="pct"/>
          </w:tcPr>
          <w:p w14:paraId="76A9966B" w14:textId="2A72432E" w:rsidR="005356CA" w:rsidRDefault="005356CA">
            <w:pPr>
              <w:pStyle w:val="Tabletext"/>
            </w:pPr>
            <w:r>
              <w:t>Carbon Budget 2 (</w:t>
            </w:r>
            <w:r w:rsidR="00F751E8">
              <w:t xml:space="preserve">2026 </w:t>
            </w:r>
            <w:r>
              <w:t xml:space="preserve">– 2030) </w:t>
            </w:r>
          </w:p>
        </w:tc>
        <w:tc>
          <w:tcPr>
            <w:tcW w:w="2500" w:type="pct"/>
          </w:tcPr>
          <w:p w14:paraId="62FC7790" w14:textId="2CDCA2C4" w:rsidR="005356CA" w:rsidRDefault="005356CA">
            <w:pPr>
              <w:pStyle w:val="Tabletext"/>
              <w:jc w:val="left"/>
            </w:pPr>
            <w:r>
              <w:t>2</w:t>
            </w:r>
            <w:r w:rsidR="00C70F33">
              <w:t>7.45</w:t>
            </w:r>
          </w:p>
        </w:tc>
      </w:tr>
    </w:tbl>
    <w:p w14:paraId="63E0F0AE" w14:textId="77777777" w:rsidR="00B559CA" w:rsidRDefault="00B559CA" w:rsidP="0049675E">
      <w:pPr>
        <w:pStyle w:val="BodyText"/>
        <w:rPr>
          <w:lang w:val="en-IE"/>
        </w:rPr>
      </w:pPr>
    </w:p>
    <w:p w14:paraId="226FA0BD" w14:textId="1517C98D" w:rsidR="00533998" w:rsidRDefault="00533998" w:rsidP="00533998">
      <w:pPr>
        <w:pStyle w:val="BodyText"/>
      </w:pPr>
      <w:r w:rsidRPr="00F01AA7">
        <w:t xml:space="preserve">Operational emissions have also been compared against Ireland’s Carbon Budget’s </w:t>
      </w:r>
      <w:r w:rsidR="00F751E8">
        <w:rPr>
          <w:color w:val="000000" w:themeColor="text1"/>
          <w:lang w:val="en-IE"/>
        </w:rPr>
        <w:t>(Government of Ireland, 2022</w:t>
      </w:r>
      <w:r w:rsidR="008F6448">
        <w:rPr>
          <w:color w:val="000000" w:themeColor="text1"/>
          <w:lang w:val="en-IE"/>
        </w:rPr>
        <w:t>a</w:t>
      </w:r>
      <w:r w:rsidR="00F751E8">
        <w:rPr>
          <w:color w:val="000000" w:themeColor="text1"/>
          <w:lang w:val="en-IE"/>
        </w:rPr>
        <w:t>)</w:t>
      </w:r>
      <w:r w:rsidR="00F751E8" w:rsidRPr="00D25C52">
        <w:rPr>
          <w:color w:val="000000" w:themeColor="text1"/>
          <w:lang w:val="en-IE"/>
        </w:rPr>
        <w:t xml:space="preserve"> </w:t>
      </w:r>
      <w:r w:rsidRPr="00F01AA7">
        <w:t xml:space="preserve">for the operational period as </w:t>
      </w:r>
      <w:r w:rsidRPr="008928B6">
        <w:rPr>
          <w:color w:val="000000" w:themeColor="text1"/>
          <w:lang w:val="en-IE"/>
        </w:rPr>
        <w:t>per</w:t>
      </w:r>
      <w:r w:rsidR="0013429B" w:rsidRPr="008928B6">
        <w:rPr>
          <w:color w:val="000000" w:themeColor="text1"/>
          <w:lang w:val="en-IE"/>
        </w:rPr>
        <w:t xml:space="preserve"> </w:t>
      </w:r>
      <w:r w:rsidR="0013429B" w:rsidRPr="008928B6">
        <w:rPr>
          <w:color w:val="000000" w:themeColor="text1"/>
          <w:lang w:val="en-IE"/>
        </w:rPr>
        <w:fldChar w:fldCharType="begin"/>
      </w:r>
      <w:r w:rsidR="0013429B" w:rsidRPr="008928B6">
        <w:rPr>
          <w:color w:val="000000" w:themeColor="text1"/>
          <w:lang w:val="en-IE"/>
        </w:rPr>
        <w:instrText xml:space="preserve"> REF _Ref214371162 \h </w:instrText>
      </w:r>
      <w:r w:rsidR="002539D4" w:rsidRPr="008928B6">
        <w:rPr>
          <w:color w:val="000000" w:themeColor="text1"/>
          <w:lang w:val="en-IE"/>
        </w:rPr>
        <w:instrText xml:space="preserve"> \* MERGEFORMAT </w:instrText>
      </w:r>
      <w:r w:rsidR="0013429B" w:rsidRPr="00511353">
        <w:rPr>
          <w:color w:val="000000" w:themeColor="text1"/>
          <w:lang w:val="en-IE"/>
        </w:rPr>
      </w:r>
      <w:r w:rsidR="0013429B" w:rsidRPr="008928B6">
        <w:rPr>
          <w:color w:val="000000" w:themeColor="text1"/>
          <w:lang w:val="en-IE"/>
        </w:rPr>
        <w:fldChar w:fldCharType="separate"/>
      </w:r>
      <w:r w:rsidR="00D83C6F" w:rsidRPr="005049F3">
        <w:rPr>
          <w:color w:val="000000" w:themeColor="text1"/>
          <w:lang w:val="en-IE"/>
        </w:rPr>
        <w:t>Table 10</w:t>
      </w:r>
      <w:r w:rsidR="00D83C6F" w:rsidRPr="005049F3">
        <w:rPr>
          <w:color w:val="000000" w:themeColor="text1"/>
          <w:lang w:val="en-IE"/>
        </w:rPr>
        <w:noBreakHyphen/>
        <w:t>5</w:t>
      </w:r>
      <w:r w:rsidR="0013429B" w:rsidRPr="008928B6">
        <w:rPr>
          <w:color w:val="000000" w:themeColor="text1"/>
          <w:lang w:val="en-IE"/>
        </w:rPr>
        <w:fldChar w:fldCharType="end"/>
      </w:r>
      <w:r w:rsidRPr="008928B6">
        <w:rPr>
          <w:color w:val="000000" w:themeColor="text1"/>
          <w:lang w:val="en-IE"/>
        </w:rPr>
        <w:t>. The operational</w:t>
      </w:r>
      <w:r w:rsidRPr="00F01AA7">
        <w:t xml:space="preserve"> emissions have also been compared against Ireland Transport’s Trajectory outlined in</w:t>
      </w:r>
      <w:r w:rsidR="00451CA2" w:rsidRPr="003E2C1C">
        <w:rPr>
          <w:color w:val="000000" w:themeColor="text1"/>
          <w:lang w:val="en-IE"/>
        </w:rPr>
        <w:t xml:space="preserve"> </w:t>
      </w:r>
      <w:r w:rsidR="003E2C1C" w:rsidRPr="004667B8">
        <w:rPr>
          <w:color w:val="000000" w:themeColor="text1"/>
          <w:lang w:val="en-IE"/>
        </w:rPr>
        <w:t>Table 10</w:t>
      </w:r>
      <w:r w:rsidR="003E2C1C" w:rsidRPr="004667B8">
        <w:rPr>
          <w:color w:val="000000" w:themeColor="text1"/>
          <w:lang w:val="en-IE"/>
        </w:rPr>
        <w:noBreakHyphen/>
        <w:t>19</w:t>
      </w:r>
      <w:r w:rsidR="003E2C1C">
        <w:rPr>
          <w:color w:val="000000" w:themeColor="text1"/>
          <w:lang w:val="en-IE"/>
        </w:rPr>
        <w:t xml:space="preserve">. </w:t>
      </w:r>
      <w:r w:rsidRPr="008928B6">
        <w:rPr>
          <w:color w:val="000000" w:themeColor="text1"/>
          <w:lang w:val="en-IE"/>
        </w:rPr>
        <w:t>The 'With</w:t>
      </w:r>
      <w:r w:rsidRPr="00F01AA7">
        <w:t xml:space="preserve"> Additional Measures' scenario assumes the implementation of extra mitigation policies, leading to a faster rate of decarbonisation.</w:t>
      </w:r>
    </w:p>
    <w:p w14:paraId="2F764109" w14:textId="4C9BF306" w:rsidR="00533998" w:rsidRPr="001712FE" w:rsidRDefault="00533998" w:rsidP="00A7414A">
      <w:pPr>
        <w:pStyle w:val="Caption"/>
      </w:pPr>
      <w:bookmarkStart w:id="79" w:name="_Ref214371162"/>
      <w:bookmarkStart w:id="80" w:name="_Toc216107528"/>
      <w:bookmarkStart w:id="81" w:name="_Toc238199680"/>
      <w:r w:rsidRPr="00A7414A">
        <w:t xml:space="preserve">Table </w:t>
      </w:r>
      <w:r>
        <w:fldChar w:fldCharType="begin"/>
      </w:r>
      <w:r>
        <w:instrText>STYLEREF 1 \s</w:instrText>
      </w:r>
      <w:r>
        <w:fldChar w:fldCharType="separate"/>
      </w:r>
      <w:r w:rsidR="00D83C6F">
        <w:rPr>
          <w:noProof/>
        </w:rPr>
        <w:t>10</w:t>
      </w:r>
      <w:r>
        <w:fldChar w:fldCharType="end"/>
      </w:r>
      <w:r w:rsidR="00BE5583" w:rsidRPr="00A7414A">
        <w:noBreakHyphen/>
      </w:r>
      <w:r>
        <w:fldChar w:fldCharType="begin"/>
      </w:r>
      <w:r>
        <w:instrText>SEQ Table \* ARABIC \s 1</w:instrText>
      </w:r>
      <w:r>
        <w:fldChar w:fldCharType="separate"/>
      </w:r>
      <w:r w:rsidR="00D83C6F">
        <w:rPr>
          <w:noProof/>
        </w:rPr>
        <w:t>5</w:t>
      </w:r>
      <w:r>
        <w:fldChar w:fldCharType="end"/>
      </w:r>
      <w:bookmarkEnd w:id="79"/>
      <w:r w:rsidR="00361852">
        <w:t>:</w:t>
      </w:r>
      <w:r w:rsidRPr="0013429B">
        <w:t xml:space="preserve"> Ireland’s Carbon Budgets </w:t>
      </w:r>
      <w:r w:rsidR="00F5708D">
        <w:t>R</w:t>
      </w:r>
      <w:r w:rsidRPr="0013429B">
        <w:t>elevant to the Operational Period</w:t>
      </w:r>
      <w:bookmarkEnd w:id="80"/>
      <w:bookmarkEnd w:id="81"/>
    </w:p>
    <w:tbl>
      <w:tblPr>
        <w:tblStyle w:val="AECOMtable"/>
        <w:tblW w:w="5000" w:type="pct"/>
        <w:tblLook w:val="04A0" w:firstRow="1" w:lastRow="0" w:firstColumn="1" w:lastColumn="0" w:noHBand="0" w:noVBand="1"/>
      </w:tblPr>
      <w:tblGrid>
        <w:gridCol w:w="5053"/>
        <w:gridCol w:w="4301"/>
      </w:tblGrid>
      <w:tr w:rsidR="00533998" w:rsidRPr="00CE4840" w14:paraId="4424CB14" w14:textId="77777777">
        <w:trPr>
          <w:cnfStyle w:val="100000000000" w:firstRow="1" w:lastRow="0" w:firstColumn="0" w:lastColumn="0" w:oddVBand="0" w:evenVBand="0" w:oddHBand="0" w:evenHBand="0" w:firstRowFirstColumn="0" w:firstRowLastColumn="0" w:lastRowFirstColumn="0" w:lastRowLastColumn="0"/>
          <w:trHeight w:val="318"/>
          <w:tblHeader/>
        </w:trPr>
        <w:tc>
          <w:tcPr>
            <w:tcW w:w="2701" w:type="pct"/>
          </w:tcPr>
          <w:p w14:paraId="66A9CFF5" w14:textId="77777777" w:rsidR="00533998" w:rsidRDefault="00533998">
            <w:pPr>
              <w:pStyle w:val="Tabletext"/>
              <w:ind w:right="57"/>
              <w:jc w:val="left"/>
            </w:pPr>
            <w:r w:rsidRPr="00FE6B0B">
              <w:t>Carbon Budget</w:t>
            </w:r>
          </w:p>
        </w:tc>
        <w:tc>
          <w:tcPr>
            <w:tcW w:w="2299" w:type="pct"/>
          </w:tcPr>
          <w:p w14:paraId="1B9BD41B" w14:textId="77777777" w:rsidR="00533998" w:rsidRDefault="00533998">
            <w:pPr>
              <w:pStyle w:val="Tabletext"/>
              <w:ind w:right="57"/>
              <w:jc w:val="left"/>
            </w:pPr>
            <w:r w:rsidRPr="00FE6B0B">
              <w:t>Ireland Carbon Budget (M</w:t>
            </w:r>
            <w:r>
              <w:t>tCO</w:t>
            </w:r>
            <w:r w:rsidRPr="00CA0B93">
              <w:rPr>
                <w:vertAlign w:val="subscript"/>
              </w:rPr>
              <w:t>2</w:t>
            </w:r>
            <w:r>
              <w:t>e</w:t>
            </w:r>
            <w:r w:rsidRPr="00FE6B0B">
              <w:t>q)</w:t>
            </w:r>
          </w:p>
        </w:tc>
      </w:tr>
      <w:tr w:rsidR="00533998" w:rsidRPr="00CE4840" w14:paraId="1BA1A91E" w14:textId="77777777">
        <w:trPr>
          <w:trHeight w:val="245"/>
        </w:trPr>
        <w:tc>
          <w:tcPr>
            <w:tcW w:w="2701" w:type="pct"/>
          </w:tcPr>
          <w:p w14:paraId="528F8BBE" w14:textId="77777777" w:rsidR="00533998" w:rsidRDefault="00533998">
            <w:pPr>
              <w:pStyle w:val="Tabletext"/>
            </w:pPr>
            <w:r>
              <w:t xml:space="preserve">Carbon Budget 2 (2026 – 2030) </w:t>
            </w:r>
          </w:p>
        </w:tc>
        <w:tc>
          <w:tcPr>
            <w:tcW w:w="2299" w:type="pct"/>
          </w:tcPr>
          <w:p w14:paraId="67F0CAD1" w14:textId="77777777" w:rsidR="00533998" w:rsidRDefault="00533998">
            <w:pPr>
              <w:pStyle w:val="Tabletext"/>
            </w:pPr>
            <w:r>
              <w:t>200</w:t>
            </w:r>
          </w:p>
        </w:tc>
      </w:tr>
      <w:tr w:rsidR="00533998" w:rsidRPr="00CE4840" w14:paraId="53707A70" w14:textId="77777777">
        <w:trPr>
          <w:trHeight w:val="245"/>
        </w:trPr>
        <w:tc>
          <w:tcPr>
            <w:tcW w:w="2701" w:type="pct"/>
          </w:tcPr>
          <w:p w14:paraId="23E19AAC" w14:textId="77777777" w:rsidR="00533998" w:rsidRDefault="00533998">
            <w:pPr>
              <w:pStyle w:val="Tabletext"/>
            </w:pPr>
            <w:r>
              <w:t>Carbon Budget 3 (2031 – 2035)</w:t>
            </w:r>
          </w:p>
        </w:tc>
        <w:tc>
          <w:tcPr>
            <w:tcW w:w="2299" w:type="pct"/>
          </w:tcPr>
          <w:p w14:paraId="20F789DC" w14:textId="77777777" w:rsidR="00533998" w:rsidRDefault="00533998">
            <w:pPr>
              <w:pStyle w:val="Tabletext"/>
            </w:pPr>
            <w:r>
              <w:t>151</w:t>
            </w:r>
          </w:p>
        </w:tc>
      </w:tr>
    </w:tbl>
    <w:p w14:paraId="7DCBD37D" w14:textId="77777777" w:rsidR="00533998" w:rsidRPr="0049675E" w:rsidRDefault="00533998" w:rsidP="0049675E">
      <w:pPr>
        <w:pStyle w:val="BodyText"/>
        <w:rPr>
          <w:lang w:val="en-IE"/>
        </w:rPr>
      </w:pPr>
    </w:p>
    <w:p w14:paraId="5AD99912" w14:textId="4F78AE56" w:rsidR="00324595" w:rsidRDefault="00324595" w:rsidP="00324595">
      <w:pPr>
        <w:pStyle w:val="Heading4"/>
        <w:rPr>
          <w:lang w:val="en-IE"/>
        </w:rPr>
      </w:pPr>
      <w:r>
        <w:rPr>
          <w:lang w:val="en-IE"/>
        </w:rPr>
        <w:t>S</w:t>
      </w:r>
      <w:r w:rsidR="004F6D27">
        <w:rPr>
          <w:lang w:val="en-IE"/>
        </w:rPr>
        <w:t>ensitive</w:t>
      </w:r>
      <w:r>
        <w:rPr>
          <w:lang w:val="en-IE"/>
        </w:rPr>
        <w:t xml:space="preserve"> </w:t>
      </w:r>
      <w:r w:rsidR="00533998">
        <w:rPr>
          <w:lang w:val="en-IE"/>
        </w:rPr>
        <w:t>Receptors</w:t>
      </w:r>
    </w:p>
    <w:p w14:paraId="4B4D2E7B" w14:textId="505A73EB" w:rsidR="00180658" w:rsidRPr="00180658" w:rsidRDefault="00180658" w:rsidP="00180658">
      <w:pPr>
        <w:pStyle w:val="BodyText"/>
        <w:rPr>
          <w:lang w:val="en-IE"/>
        </w:rPr>
      </w:pPr>
      <w:r w:rsidRPr="00180658">
        <w:rPr>
          <w:lang w:val="en-IE"/>
        </w:rPr>
        <w:t xml:space="preserve">The global climate is </w:t>
      </w:r>
      <w:r w:rsidR="003B3A7C">
        <w:rPr>
          <w:lang w:val="en-IE"/>
        </w:rPr>
        <w:t xml:space="preserve">identified as </w:t>
      </w:r>
      <w:r w:rsidRPr="00180658">
        <w:rPr>
          <w:lang w:val="en-IE"/>
        </w:rPr>
        <w:t xml:space="preserve">the receptor </w:t>
      </w:r>
      <w:r w:rsidR="00B222BC">
        <w:rPr>
          <w:lang w:val="en-IE"/>
        </w:rPr>
        <w:t>for the</w:t>
      </w:r>
      <w:r w:rsidRPr="00180658">
        <w:rPr>
          <w:lang w:val="en-IE"/>
        </w:rPr>
        <w:t xml:space="preserve"> GHG emissions assessment and the sensitivity of the climate to GHG emissions is</w:t>
      </w:r>
      <w:r w:rsidR="0083505A">
        <w:rPr>
          <w:lang w:val="en-IE"/>
        </w:rPr>
        <w:t xml:space="preserve"> considered to be</w:t>
      </w:r>
      <w:r w:rsidRPr="00180658">
        <w:rPr>
          <w:lang w:val="en-IE"/>
        </w:rPr>
        <w:t xml:space="preserve"> ‘high’. However, for the purposes of this assessment, the </w:t>
      </w:r>
      <w:r w:rsidR="008826CC">
        <w:rPr>
          <w:lang w:val="en-IE"/>
        </w:rPr>
        <w:t>Irish carbon budgets are</w:t>
      </w:r>
      <w:r w:rsidRPr="00180658">
        <w:rPr>
          <w:lang w:val="en-IE"/>
        </w:rPr>
        <w:t xml:space="preserve"> used here as a proxy for the global </w:t>
      </w:r>
      <w:r w:rsidR="00931B34">
        <w:rPr>
          <w:lang w:val="en-IE"/>
        </w:rPr>
        <w:t>climate</w:t>
      </w:r>
      <w:r w:rsidRPr="00180658">
        <w:rPr>
          <w:lang w:val="en-IE"/>
        </w:rPr>
        <w:t xml:space="preserve">. </w:t>
      </w:r>
    </w:p>
    <w:p w14:paraId="6AFD1167" w14:textId="7A114922" w:rsidR="00180658" w:rsidRPr="00180658" w:rsidRDefault="00180658" w:rsidP="00180658">
      <w:pPr>
        <w:pStyle w:val="BodyText"/>
        <w:rPr>
          <w:lang w:val="en-IE"/>
        </w:rPr>
      </w:pPr>
      <w:r w:rsidRPr="00180658">
        <w:rPr>
          <w:lang w:val="en-IE"/>
        </w:rPr>
        <w:t>The rationale for this approach is in alignment with the Paris Agreement</w:t>
      </w:r>
      <w:r w:rsidR="00EF3CA3">
        <w:rPr>
          <w:lang w:val="en-IE"/>
        </w:rPr>
        <w:t xml:space="preserve"> (UNFCCC, 2015)</w:t>
      </w:r>
      <w:r w:rsidRPr="00180658">
        <w:rPr>
          <w:lang w:val="en-IE"/>
        </w:rPr>
        <w:t xml:space="preserve">, which sets to strengthen the global response to the threat of climate change by keeping global temperature rise this century well below 2°C above pre-industrial levels and to pursue efforts to limit the temperature increase even further to 1.5°C. Additionally, a recent report by the </w:t>
      </w:r>
      <w:r w:rsidR="008D1679">
        <w:rPr>
          <w:lang w:val="en-IE"/>
        </w:rPr>
        <w:t xml:space="preserve">Intergovernmental </w:t>
      </w:r>
      <w:r w:rsidR="00E511A8">
        <w:rPr>
          <w:lang w:val="en-IE"/>
        </w:rPr>
        <w:t>Panel on Climate Change (</w:t>
      </w:r>
      <w:r w:rsidRPr="00180658">
        <w:rPr>
          <w:lang w:val="en-IE"/>
        </w:rPr>
        <w:t>IPCC</w:t>
      </w:r>
      <w:r w:rsidR="00E511A8">
        <w:rPr>
          <w:lang w:val="en-IE"/>
        </w:rPr>
        <w:t>)</w:t>
      </w:r>
      <w:r w:rsidRPr="00180658">
        <w:rPr>
          <w:lang w:val="en-IE"/>
        </w:rPr>
        <w:t xml:space="preserve"> highlighted the importance of limiting global warming below 1.5°C</w:t>
      </w:r>
      <w:r w:rsidR="00964715">
        <w:rPr>
          <w:lang w:val="en-IE"/>
        </w:rPr>
        <w:t xml:space="preserve"> (IPCC, 2018)</w:t>
      </w:r>
      <w:r w:rsidRPr="00180658">
        <w:rPr>
          <w:lang w:val="en-IE"/>
        </w:rPr>
        <w:t xml:space="preserve">. </w:t>
      </w:r>
    </w:p>
    <w:p w14:paraId="0040CE3D" w14:textId="0094E8A6" w:rsidR="00324595" w:rsidRPr="00C06017" w:rsidRDefault="00180658" w:rsidP="00180658">
      <w:pPr>
        <w:pStyle w:val="BodyText"/>
        <w:rPr>
          <w:lang w:val="en-IE"/>
        </w:rPr>
      </w:pPr>
      <w:r w:rsidRPr="00180658">
        <w:rPr>
          <w:lang w:val="en-IE"/>
        </w:rPr>
        <w:t xml:space="preserve">To support the Paris Agreement’s climate targets, it requires countries to substantially reduce GHG emissions which support a trajectory that leads to net-zero emissions this century. This commitment is formalised through Nationally Determined Contributions (NDCs), where committed countries outline their specific emission reduction targets. Hence, Ireland’s National Emissions Trajectory has been used as a proxy for the global climate to contextualise </w:t>
      </w:r>
      <w:r w:rsidR="00C650C3">
        <w:rPr>
          <w:lang w:val="en-IE"/>
        </w:rPr>
        <w:t xml:space="preserve">GHG </w:t>
      </w:r>
      <w:r w:rsidRPr="00180658">
        <w:rPr>
          <w:lang w:val="en-IE"/>
        </w:rPr>
        <w:t>emissions from the Proposed Development.</w:t>
      </w:r>
    </w:p>
    <w:p w14:paraId="6A504AE1" w14:textId="78148F1B" w:rsidR="00DC7936" w:rsidRDefault="00180658" w:rsidP="00DC7936">
      <w:pPr>
        <w:pStyle w:val="Heading3"/>
      </w:pPr>
      <w:bookmarkStart w:id="82" w:name="_Ref231377394"/>
      <w:bookmarkStart w:id="83" w:name="_Toc239776187"/>
      <w:r>
        <w:t>Climate Change Risk Assessment</w:t>
      </w:r>
      <w:bookmarkEnd w:id="82"/>
      <w:bookmarkEnd w:id="83"/>
    </w:p>
    <w:p w14:paraId="6A632FC0" w14:textId="76FD4522" w:rsidR="00180658" w:rsidRDefault="00473830" w:rsidP="00180658">
      <w:pPr>
        <w:pStyle w:val="BodyText"/>
      </w:pPr>
      <w:r w:rsidRPr="00473830">
        <w:t xml:space="preserve">The methodology for the CCRA has been developed in line with appropriate industry guidance for assessing climate change resilience and adaptation, including ISEP’s </w:t>
      </w:r>
      <w:r w:rsidR="003C7A7A">
        <w:t xml:space="preserve"> </w:t>
      </w:r>
      <w:r w:rsidRPr="00473830">
        <w:t>‘Environmental Impact Assessment Guide to: Climate Change Resilience and Adaptation’ guidance</w:t>
      </w:r>
      <w:r w:rsidR="0017621D">
        <w:t xml:space="preserve"> (ISEP, 2020)</w:t>
      </w:r>
      <w:r>
        <w:t xml:space="preserve">, </w:t>
      </w:r>
      <w:r w:rsidRPr="00473830">
        <w:t xml:space="preserve">and in accordance with the EU </w:t>
      </w:r>
      <w:r w:rsidRPr="00473830">
        <w:lastRenderedPageBreak/>
        <w:t xml:space="preserve">Commission Notice (2021/C 373/01) ‘Technical </w:t>
      </w:r>
      <w:r w:rsidR="00275506">
        <w:t>G</w:t>
      </w:r>
      <w:r w:rsidRPr="00473830">
        <w:t xml:space="preserve">uidance on the </w:t>
      </w:r>
      <w:r w:rsidR="00275506">
        <w:t>C</w:t>
      </w:r>
      <w:r w:rsidRPr="00473830">
        <w:t xml:space="preserve">limate </w:t>
      </w:r>
      <w:r w:rsidR="00275506">
        <w:t>P</w:t>
      </w:r>
      <w:r w:rsidRPr="00473830">
        <w:t xml:space="preserve">roofing of </w:t>
      </w:r>
      <w:r w:rsidR="00275506">
        <w:t>I</w:t>
      </w:r>
      <w:r w:rsidRPr="00473830">
        <w:t xml:space="preserve">nfrastructure in the </w:t>
      </w:r>
      <w:r w:rsidR="00275506">
        <w:t>P</w:t>
      </w:r>
      <w:r w:rsidRPr="00473830">
        <w:t>eriod 2021-2027’</w:t>
      </w:r>
      <w:r w:rsidR="0017621D">
        <w:t xml:space="preserve"> (European Commission, 2021d)</w:t>
      </w:r>
      <w:r w:rsidRPr="00473830">
        <w:t>.</w:t>
      </w:r>
    </w:p>
    <w:p w14:paraId="7C0B6E07" w14:textId="6D522176" w:rsidR="00F21C59" w:rsidRPr="006A6237" w:rsidRDefault="00F21C59" w:rsidP="00F21C59">
      <w:pPr>
        <w:pStyle w:val="BodyText"/>
      </w:pPr>
      <w:r w:rsidRPr="006A6237">
        <w:t xml:space="preserve">Historic climate data was obtained from Met Éireann for </w:t>
      </w:r>
      <w:r w:rsidR="003A69F0" w:rsidRPr="006A6237">
        <w:t>Casement</w:t>
      </w:r>
      <w:r w:rsidRPr="006A6237">
        <w:t xml:space="preserve">, using a </w:t>
      </w:r>
      <w:r w:rsidR="00DF166C" w:rsidRPr="00510CED">
        <w:t>1981-20</w:t>
      </w:r>
      <w:r w:rsidR="00510CED" w:rsidRPr="008928B6">
        <w:t>1</w:t>
      </w:r>
      <w:r w:rsidR="00DF166C" w:rsidRPr="00510CED">
        <w:t>0</w:t>
      </w:r>
      <w:r w:rsidRPr="006A6237">
        <w:t xml:space="preserve"> baseline</w:t>
      </w:r>
      <w:r w:rsidR="00135CE1" w:rsidRPr="006A6237">
        <w:t xml:space="preserve">. </w:t>
      </w:r>
      <w:r w:rsidRPr="006A6237">
        <w:t xml:space="preserve">Following obtaining historic data, future climate projections were obtained for </w:t>
      </w:r>
      <w:r w:rsidR="00371DD8">
        <w:t xml:space="preserve">two emissions scenarios, </w:t>
      </w:r>
      <w:r w:rsidRPr="006A6237">
        <w:t xml:space="preserve"> </w:t>
      </w:r>
      <w:r w:rsidR="00AE2041">
        <w:t xml:space="preserve">Representative </w:t>
      </w:r>
      <w:r w:rsidR="00A60487">
        <w:t>Concentration Pathway (</w:t>
      </w:r>
      <w:r w:rsidRPr="006A6237">
        <w:t>RCP</w:t>
      </w:r>
      <w:r w:rsidR="00A60487">
        <w:t>)</w:t>
      </w:r>
      <w:r w:rsidRPr="006A6237">
        <w:t xml:space="preserve"> 4.5 and RCP 8.5 from Climate Ireland. The 2021-2050 future timeframe was used to gather future climate projection data for the </w:t>
      </w:r>
      <w:r w:rsidR="00DF0AAC">
        <w:t xml:space="preserve">Proposed Development </w:t>
      </w:r>
      <w:r w:rsidRPr="006A6237">
        <w:t>construction phase. 2021-2050</w:t>
      </w:r>
      <w:r w:rsidR="00313887" w:rsidRPr="006A6237">
        <w:t xml:space="preserve">, </w:t>
      </w:r>
      <w:r w:rsidRPr="006A6237">
        <w:t xml:space="preserve">2041-2070 </w:t>
      </w:r>
      <w:r w:rsidR="00313887" w:rsidRPr="006A6237">
        <w:t xml:space="preserve">and 2071-2100 </w:t>
      </w:r>
      <w:r w:rsidRPr="006A6237">
        <w:t xml:space="preserve">future timeframes were used to gather future climate projection data for the </w:t>
      </w:r>
      <w:r w:rsidR="00DF0AAC">
        <w:t xml:space="preserve">Proposed Development </w:t>
      </w:r>
      <w:r w:rsidRPr="006A6237">
        <w:t xml:space="preserve">operational phase. This is because the operational phase runs from 2030 to 2090 therefore is covered by </w:t>
      </w:r>
      <w:r w:rsidR="00F55562" w:rsidRPr="006A6237">
        <w:t>the three</w:t>
      </w:r>
      <w:r w:rsidRPr="006A6237">
        <w:t xml:space="preserve"> future timeframes, whereas </w:t>
      </w:r>
      <w:r w:rsidR="00DF0AAC">
        <w:t xml:space="preserve">Proposed Development </w:t>
      </w:r>
      <w:r w:rsidRPr="006A6237">
        <w:t>construction runs from 20</w:t>
      </w:r>
      <w:r w:rsidR="00EE3604" w:rsidRPr="006A6237">
        <w:t>2</w:t>
      </w:r>
      <w:r w:rsidR="00620A60">
        <w:t>7</w:t>
      </w:r>
      <w:r w:rsidRPr="006A6237">
        <w:t xml:space="preserve"> to 20</w:t>
      </w:r>
      <w:r w:rsidR="006A6237" w:rsidRPr="006A6237">
        <w:t>2</w:t>
      </w:r>
      <w:r w:rsidR="00365617">
        <w:t>9</w:t>
      </w:r>
      <w:r w:rsidRPr="006A6237">
        <w:t xml:space="preserve">, thus falling into the 2021-2050 future timeframe only. </w:t>
      </w:r>
    </w:p>
    <w:p w14:paraId="5D890B5D" w14:textId="77777777" w:rsidR="00F21C59" w:rsidRPr="006A6237" w:rsidRDefault="00F21C59" w:rsidP="00F21C59">
      <w:pPr>
        <w:pStyle w:val="BodyText"/>
      </w:pPr>
      <w:r w:rsidRPr="006A6237">
        <w:t xml:space="preserve">Following desk-based research to obtain qualitative and quantitative baseline climate data and future climate change projections data, a risk assessment was undertaken to identify potential physical climate risks that could pose a threat to the Proposed Development, during construction and operation. </w:t>
      </w:r>
    </w:p>
    <w:p w14:paraId="6D85CA92" w14:textId="1B606F3E" w:rsidR="00F21C59" w:rsidRPr="006A6237" w:rsidRDefault="00F21C59" w:rsidP="00F21C59">
      <w:pPr>
        <w:pStyle w:val="BodyText"/>
      </w:pPr>
      <w:r w:rsidRPr="006A6237">
        <w:t>The CCRA includes all infrastructure and assets associated with the Proposed Development during its construction and operational phase, as well as human receptors. As per the Task Force on Climate-related Financial Disclosures (TCFD) guidelines</w:t>
      </w:r>
      <w:r w:rsidR="000058CC">
        <w:t>,</w:t>
      </w:r>
      <w:r w:rsidRPr="006A6237">
        <w:t xml:space="preserve"> this assessment looks at the resilience against both gradual climate change, i.e. chronic climate-related hazards, and the risks associated with an increased frequency of severe weather events, i.e. acute events. </w:t>
      </w:r>
    </w:p>
    <w:p w14:paraId="40B9306F" w14:textId="74C8520E" w:rsidR="00F21C59" w:rsidRPr="006A6237" w:rsidRDefault="00F21C59" w:rsidP="00F21C59">
      <w:pPr>
        <w:pStyle w:val="BodyText"/>
      </w:pPr>
      <w:r w:rsidRPr="006A6237">
        <w:t>The following key terms and definitions relating to the assessment have been used, in line with the IPCC Sixth Assessment Report on Climate Change 2022: Impacts, Adaptation and Vulnerability</w:t>
      </w:r>
      <w:r w:rsidR="009C3075">
        <w:t xml:space="preserve"> (IPCC, 2022)</w:t>
      </w:r>
      <w:r w:rsidRPr="006A6237">
        <w:t>:</w:t>
      </w:r>
    </w:p>
    <w:p w14:paraId="1B83F3A9" w14:textId="5D9852DF" w:rsidR="00F21C59" w:rsidRPr="006A6237" w:rsidRDefault="00F21C59" w:rsidP="008928B6">
      <w:pPr>
        <w:pStyle w:val="BulletPoint1"/>
      </w:pPr>
      <w:r w:rsidRPr="006A6237">
        <w:t>Climate Hazard</w:t>
      </w:r>
      <w:r w:rsidR="00324D84">
        <w:t>:</w:t>
      </w:r>
      <w:r w:rsidRPr="006A6237">
        <w:t xml:space="preserve"> </w:t>
      </w:r>
      <w:r w:rsidR="00324D84">
        <w:t>p</w:t>
      </w:r>
      <w:r w:rsidRPr="006A6237">
        <w:t>ossible, future occurrence of natural or human-induced physical events that may have an adverse effect on vulnerable and exposed elements, for example increase</w:t>
      </w:r>
      <w:r w:rsidR="00CB5590">
        <w:t>d</w:t>
      </w:r>
      <w:r w:rsidRPr="006A6237">
        <w:t xml:space="preserve"> summer temperatures; </w:t>
      </w:r>
    </w:p>
    <w:p w14:paraId="30274C00" w14:textId="37B01B71" w:rsidR="00F21C59" w:rsidRPr="006A6237" w:rsidRDefault="00F21C59" w:rsidP="008928B6">
      <w:pPr>
        <w:pStyle w:val="BulletPoint1"/>
      </w:pPr>
      <w:r w:rsidRPr="006A6237">
        <w:t>Climate Risk</w:t>
      </w:r>
      <w:r w:rsidR="00324D84">
        <w:t>:</w:t>
      </w:r>
      <w:r w:rsidRPr="006A6237">
        <w:t xml:space="preserve"> the interaction between hazard, exposure and vulnerability, which has potential to do harm to environmental or community receptors or assets, for example increased summer temperatures can cause heat stress for workers; and </w:t>
      </w:r>
    </w:p>
    <w:p w14:paraId="6E9B58EA" w14:textId="3EE2A5AB" w:rsidR="00F21C59" w:rsidRPr="006A6237" w:rsidRDefault="00F21C59" w:rsidP="008928B6">
      <w:pPr>
        <w:pStyle w:val="BulletPoint1"/>
      </w:pPr>
      <w:r w:rsidRPr="006A6237">
        <w:t>Climate Impact/Consequence</w:t>
      </w:r>
      <w:r w:rsidR="00324D84">
        <w:t>:</w:t>
      </w:r>
      <w:r w:rsidRPr="006A6237">
        <w:t xml:space="preserve"> the consequences of realised risks on natural and human systems, where risks result from the interactions of climate-related hazards, exposure and vulnerability.</w:t>
      </w:r>
    </w:p>
    <w:p w14:paraId="58AEFCB2" w14:textId="31E6D7BA" w:rsidR="00F21C59" w:rsidRPr="008928B6" w:rsidRDefault="00F21C59" w:rsidP="00F21C59">
      <w:pPr>
        <w:pStyle w:val="BodyText"/>
        <w:rPr>
          <w:color w:val="000000" w:themeColor="text1"/>
          <w:lang w:val="en-IE"/>
        </w:rPr>
      </w:pPr>
      <w:r w:rsidRPr="002E31FF">
        <w:t>The risk framework used for th</w:t>
      </w:r>
      <w:r w:rsidR="007026CA">
        <w:t>e</w:t>
      </w:r>
      <w:r w:rsidRPr="002E31FF">
        <w:t xml:space="preserve"> assessment and the descriptors of likelihood and consequence were derived </w:t>
      </w:r>
      <w:r w:rsidRPr="00AF7598">
        <w:t xml:space="preserve">from the EU Technical </w:t>
      </w:r>
      <w:r w:rsidR="007026CA">
        <w:t>G</w:t>
      </w:r>
      <w:r w:rsidRPr="00AF7598">
        <w:t xml:space="preserve">uidance on </w:t>
      </w:r>
      <w:r w:rsidR="007026CA">
        <w:t>C</w:t>
      </w:r>
      <w:r w:rsidRPr="00AF7598">
        <w:t xml:space="preserve">limate </w:t>
      </w:r>
      <w:r w:rsidR="007026CA">
        <w:t>P</w:t>
      </w:r>
      <w:r w:rsidRPr="00AF7598">
        <w:t>roofing</w:t>
      </w:r>
      <w:r w:rsidR="00AF7598" w:rsidRPr="00A7414A">
        <w:t xml:space="preserve"> (European Commission, 2021</w:t>
      </w:r>
      <w:r w:rsidR="000F4805">
        <w:t>d</w:t>
      </w:r>
      <w:r w:rsidR="00AF7598" w:rsidRPr="00A7414A">
        <w:t>)</w:t>
      </w:r>
      <w:r w:rsidRPr="00AF7598">
        <w:t>.</w:t>
      </w:r>
      <w:r w:rsidRPr="00E1575C">
        <w:t xml:space="preserve"> The likelihood analysis, consequences analysis and risk matrix are provided in </w:t>
      </w:r>
      <w:r w:rsidR="00E1575C" w:rsidRPr="008928B6">
        <w:rPr>
          <w:color w:val="000000" w:themeColor="text1"/>
          <w:lang w:val="en-IE"/>
        </w:rPr>
        <w:fldChar w:fldCharType="begin"/>
      </w:r>
      <w:r w:rsidR="00E1575C" w:rsidRPr="008928B6">
        <w:rPr>
          <w:color w:val="000000" w:themeColor="text1"/>
          <w:lang w:val="en-IE"/>
        </w:rPr>
        <w:instrText xml:space="preserve"> REF _Ref222208719 \h  \* MERGEFORMAT </w:instrText>
      </w:r>
      <w:r w:rsidR="00E1575C" w:rsidRPr="00511353">
        <w:rPr>
          <w:color w:val="000000" w:themeColor="text1"/>
          <w:lang w:val="en-IE"/>
        </w:rPr>
      </w:r>
      <w:r w:rsidR="00E1575C" w:rsidRPr="008928B6">
        <w:rPr>
          <w:color w:val="000000" w:themeColor="text1"/>
          <w:lang w:val="en-IE"/>
        </w:rPr>
        <w:fldChar w:fldCharType="separate"/>
      </w:r>
      <w:r w:rsidR="00D83C6F" w:rsidRPr="005049F3">
        <w:rPr>
          <w:color w:val="000000" w:themeColor="text1"/>
          <w:lang w:val="en-IE"/>
        </w:rPr>
        <w:t>Table 10</w:t>
      </w:r>
      <w:r w:rsidR="00D83C6F" w:rsidRPr="005049F3">
        <w:rPr>
          <w:color w:val="000000" w:themeColor="text1"/>
          <w:lang w:val="en-IE"/>
        </w:rPr>
        <w:noBreakHyphen/>
        <w:t>6</w:t>
      </w:r>
      <w:r w:rsidR="00E1575C" w:rsidRPr="008928B6">
        <w:rPr>
          <w:color w:val="000000" w:themeColor="text1"/>
          <w:lang w:val="en-IE"/>
        </w:rPr>
        <w:fldChar w:fldCharType="end"/>
      </w:r>
      <w:r w:rsidR="00E1575C" w:rsidRPr="008928B6">
        <w:rPr>
          <w:color w:val="000000" w:themeColor="text1"/>
          <w:lang w:val="en-IE"/>
        </w:rPr>
        <w:t xml:space="preserve">, </w:t>
      </w:r>
      <w:r w:rsidR="00E1575C" w:rsidRPr="008928B6">
        <w:rPr>
          <w:color w:val="000000" w:themeColor="text1"/>
          <w:lang w:val="en-IE"/>
        </w:rPr>
        <w:fldChar w:fldCharType="begin"/>
      </w:r>
      <w:r w:rsidR="00E1575C" w:rsidRPr="008928B6">
        <w:rPr>
          <w:color w:val="000000" w:themeColor="text1"/>
          <w:lang w:val="en-IE"/>
        </w:rPr>
        <w:instrText xml:space="preserve"> REF _Ref214371261 \h  \* MERGEFORMAT </w:instrText>
      </w:r>
      <w:r w:rsidR="00E1575C" w:rsidRPr="00511353">
        <w:rPr>
          <w:color w:val="000000" w:themeColor="text1"/>
          <w:lang w:val="en-IE"/>
        </w:rPr>
      </w:r>
      <w:r w:rsidR="00E1575C" w:rsidRPr="008928B6">
        <w:rPr>
          <w:color w:val="000000" w:themeColor="text1"/>
          <w:lang w:val="en-IE"/>
        </w:rPr>
        <w:fldChar w:fldCharType="separate"/>
      </w:r>
      <w:r w:rsidR="00D83C6F" w:rsidRPr="005049F3">
        <w:rPr>
          <w:color w:val="000000" w:themeColor="text1"/>
          <w:lang w:val="en-IE"/>
        </w:rPr>
        <w:t>Table 10</w:t>
      </w:r>
      <w:r w:rsidR="00D83C6F" w:rsidRPr="005049F3">
        <w:rPr>
          <w:color w:val="000000" w:themeColor="text1"/>
          <w:lang w:val="en-IE"/>
        </w:rPr>
        <w:noBreakHyphen/>
        <w:t>7</w:t>
      </w:r>
      <w:r w:rsidR="00E1575C" w:rsidRPr="008928B6">
        <w:rPr>
          <w:color w:val="000000" w:themeColor="text1"/>
          <w:lang w:val="en-IE"/>
        </w:rPr>
        <w:fldChar w:fldCharType="end"/>
      </w:r>
      <w:r w:rsidR="00E1575C" w:rsidRPr="008928B6">
        <w:rPr>
          <w:color w:val="000000" w:themeColor="text1"/>
          <w:lang w:val="en-IE"/>
        </w:rPr>
        <w:t xml:space="preserve"> and</w:t>
      </w:r>
      <w:r w:rsidR="00F5708D">
        <w:rPr>
          <w:color w:val="000000" w:themeColor="text1"/>
          <w:lang w:val="en-IE"/>
        </w:rPr>
        <w:t xml:space="preserve"> </w:t>
      </w:r>
      <w:r w:rsidRPr="008928B6">
        <w:rPr>
          <w:color w:val="000000" w:themeColor="text1"/>
          <w:lang w:val="en-IE"/>
        </w:rPr>
        <w:t xml:space="preserve">respectively. Only risks rated ‘high’ or ‘extreme’ were classed as being significant and risks rated ‘low’ and ‘medium’ were classed as not significant in this CCRA. </w:t>
      </w:r>
    </w:p>
    <w:p w14:paraId="56709A0C" w14:textId="40021E47" w:rsidR="00473830" w:rsidRPr="008928B6" w:rsidRDefault="00F21C59" w:rsidP="00F21C59">
      <w:pPr>
        <w:pStyle w:val="BodyText"/>
        <w:rPr>
          <w:color w:val="000000" w:themeColor="text1"/>
          <w:lang w:val="en-IE"/>
        </w:rPr>
      </w:pPr>
      <w:r w:rsidRPr="008928B6">
        <w:rPr>
          <w:color w:val="000000" w:themeColor="text1"/>
          <w:lang w:val="en-IE"/>
        </w:rPr>
        <w:t>Following the identification of a climate risk and taking any identified planned controls (i.e. embedded mitigation) into account, the climate risk</w:t>
      </w:r>
      <w:r>
        <w:rPr>
          <w:color w:val="000000" w:themeColor="text1"/>
          <w:lang w:val="en-IE"/>
        </w:rPr>
        <w:t xml:space="preserve"> </w:t>
      </w:r>
      <w:r w:rsidR="008D6D8E">
        <w:rPr>
          <w:color w:val="000000" w:themeColor="text1"/>
          <w:lang w:val="en-IE"/>
        </w:rPr>
        <w:t xml:space="preserve">has been </w:t>
      </w:r>
      <w:r w:rsidRPr="008928B6">
        <w:rPr>
          <w:color w:val="000000" w:themeColor="text1"/>
          <w:lang w:val="en-IE"/>
        </w:rPr>
        <w:t xml:space="preserve">rated based on the likelihood of it occurring, using likelihood analysis outlined in </w:t>
      </w:r>
      <w:r w:rsidR="00767A92" w:rsidRPr="008928B6">
        <w:rPr>
          <w:color w:val="000000" w:themeColor="text1"/>
          <w:lang w:val="en-IE"/>
        </w:rPr>
        <w:fldChar w:fldCharType="begin"/>
      </w:r>
      <w:r w:rsidR="00767A92" w:rsidRPr="00A7414A">
        <w:rPr>
          <w:rFonts w:asciiTheme="majorHAnsi" w:hAnsiTheme="majorHAnsi"/>
          <w:b/>
          <w:bCs/>
          <w:noProof/>
          <w:color w:val="008768" w:themeColor="accent1"/>
        </w:rPr>
        <w:instrText xml:space="preserve"> REF _Ref222208719 \h  \* MERGEFORMAT </w:instrText>
      </w:r>
      <w:r w:rsidR="00767A92" w:rsidRPr="00511353">
        <w:rPr>
          <w:color w:val="000000" w:themeColor="text1"/>
          <w:lang w:val="en-IE"/>
        </w:rPr>
      </w:r>
      <w:r w:rsidR="00767A92" w:rsidRPr="008928B6">
        <w:rPr>
          <w:color w:val="000000" w:themeColor="text1"/>
          <w:lang w:val="en-IE"/>
        </w:rPr>
        <w:fldChar w:fldCharType="separate"/>
      </w:r>
      <w:r w:rsidR="00D83C6F" w:rsidRPr="005049F3">
        <w:rPr>
          <w:color w:val="000000" w:themeColor="text1"/>
          <w:lang w:val="en-IE"/>
        </w:rPr>
        <w:t>Table 10</w:t>
      </w:r>
      <w:r w:rsidR="00D83C6F" w:rsidRPr="005049F3">
        <w:rPr>
          <w:color w:val="000000" w:themeColor="text1"/>
          <w:lang w:val="en-IE"/>
        </w:rPr>
        <w:noBreakHyphen/>
        <w:t>6</w:t>
      </w:r>
      <w:r w:rsidR="00767A92" w:rsidRPr="008928B6">
        <w:rPr>
          <w:color w:val="000000" w:themeColor="text1"/>
          <w:lang w:val="en-IE"/>
        </w:rPr>
        <w:fldChar w:fldCharType="end"/>
      </w:r>
      <w:r w:rsidR="008D6D8E">
        <w:rPr>
          <w:color w:val="000000" w:themeColor="text1"/>
          <w:lang w:val="en-IE"/>
        </w:rPr>
        <w:t>,</w:t>
      </w:r>
      <w:r w:rsidR="00767A92" w:rsidRPr="008928B6">
        <w:rPr>
          <w:color w:val="000000" w:themeColor="text1"/>
          <w:lang w:val="en-IE"/>
        </w:rPr>
        <w:t xml:space="preserve"> </w:t>
      </w:r>
      <w:r w:rsidRPr="008928B6">
        <w:rPr>
          <w:color w:val="000000" w:themeColor="text1"/>
          <w:lang w:val="en-IE"/>
        </w:rPr>
        <w:t xml:space="preserve">followed by the consequence level based on </w:t>
      </w:r>
      <w:r w:rsidR="00767A92" w:rsidRPr="008928B6">
        <w:rPr>
          <w:color w:val="000000" w:themeColor="text1"/>
          <w:lang w:val="en-IE"/>
        </w:rPr>
        <w:fldChar w:fldCharType="begin"/>
      </w:r>
      <w:r w:rsidR="00767A92" w:rsidRPr="008928B6">
        <w:rPr>
          <w:color w:val="000000" w:themeColor="text1"/>
          <w:lang w:val="en-IE"/>
        </w:rPr>
        <w:instrText xml:space="preserve"> REF _Ref214371261 \h  \* MERGEFORMAT </w:instrText>
      </w:r>
      <w:r w:rsidR="00767A92" w:rsidRPr="00511353">
        <w:rPr>
          <w:color w:val="000000" w:themeColor="text1"/>
          <w:lang w:val="en-IE"/>
        </w:rPr>
      </w:r>
      <w:r w:rsidR="00767A92" w:rsidRPr="008928B6">
        <w:rPr>
          <w:color w:val="000000" w:themeColor="text1"/>
          <w:lang w:val="en-IE"/>
        </w:rPr>
        <w:fldChar w:fldCharType="separate"/>
      </w:r>
      <w:r w:rsidR="00D83C6F" w:rsidRPr="005049F3">
        <w:rPr>
          <w:color w:val="000000" w:themeColor="text1"/>
          <w:lang w:val="en-IE"/>
        </w:rPr>
        <w:t>Table 10</w:t>
      </w:r>
      <w:r w:rsidR="00D83C6F" w:rsidRPr="005049F3">
        <w:rPr>
          <w:color w:val="000000" w:themeColor="text1"/>
          <w:lang w:val="en-IE"/>
        </w:rPr>
        <w:noBreakHyphen/>
        <w:t>7</w:t>
      </w:r>
      <w:r w:rsidR="00767A92" w:rsidRPr="008928B6">
        <w:rPr>
          <w:color w:val="000000" w:themeColor="text1"/>
          <w:lang w:val="en-IE"/>
        </w:rPr>
        <w:fldChar w:fldCharType="end"/>
      </w:r>
      <w:r w:rsidRPr="008928B6">
        <w:rPr>
          <w:color w:val="000000" w:themeColor="text1"/>
          <w:lang w:val="en-IE"/>
        </w:rPr>
        <w:t>.</w:t>
      </w:r>
    </w:p>
    <w:p w14:paraId="4E56EC49" w14:textId="79CC536E" w:rsidR="00176DBF" w:rsidRPr="001712FE" w:rsidRDefault="002E31FF" w:rsidP="002E31FF">
      <w:pPr>
        <w:pStyle w:val="Caption"/>
        <w:rPr>
          <w:b w:val="0"/>
          <w:bCs w:val="0"/>
        </w:rPr>
      </w:pPr>
      <w:bookmarkStart w:id="84" w:name="_Ref222208719"/>
      <w:bookmarkStart w:id="85" w:name="_Toc216107530"/>
      <w:bookmarkStart w:id="86" w:name="_Toc238199681"/>
      <w:r>
        <w:t xml:space="preserve">Table </w:t>
      </w:r>
      <w:r>
        <w:fldChar w:fldCharType="begin"/>
      </w:r>
      <w:r>
        <w:instrText>STYLEREF 1 \s</w:instrText>
      </w:r>
      <w:r>
        <w:fldChar w:fldCharType="separate"/>
      </w:r>
      <w:r w:rsidR="00D83C6F">
        <w:rPr>
          <w:noProof/>
        </w:rPr>
        <w:t>10</w:t>
      </w:r>
      <w:r>
        <w:fldChar w:fldCharType="end"/>
      </w:r>
      <w:r w:rsidR="00BE5583">
        <w:noBreakHyphen/>
      </w:r>
      <w:r>
        <w:fldChar w:fldCharType="begin"/>
      </w:r>
      <w:r>
        <w:instrText>SEQ Table \* ARABIC \s 1</w:instrText>
      </w:r>
      <w:r>
        <w:fldChar w:fldCharType="separate"/>
      </w:r>
      <w:r w:rsidR="00D83C6F">
        <w:rPr>
          <w:noProof/>
        </w:rPr>
        <w:t>6</w:t>
      </w:r>
      <w:r>
        <w:fldChar w:fldCharType="end"/>
      </w:r>
      <w:bookmarkEnd w:id="84"/>
      <w:r w:rsidR="00361852">
        <w:t>:</w:t>
      </w:r>
      <w:r w:rsidR="00176DBF" w:rsidRPr="001712FE">
        <w:t xml:space="preserve"> </w:t>
      </w:r>
      <w:r w:rsidR="00176DBF" w:rsidRPr="00385E10">
        <w:t>Level of Likelihood of Climate Ris</w:t>
      </w:r>
      <w:r w:rsidR="00176DBF">
        <w:t>k</w:t>
      </w:r>
      <w:bookmarkEnd w:id="85"/>
      <w:bookmarkEnd w:id="86"/>
    </w:p>
    <w:tbl>
      <w:tblPr>
        <w:tblStyle w:val="AECOMtable"/>
        <w:tblW w:w="5001" w:type="pct"/>
        <w:tblInd w:w="-1" w:type="dxa"/>
        <w:tblLayout w:type="fixed"/>
        <w:tblCellMar>
          <w:right w:w="108" w:type="dxa"/>
        </w:tblCellMar>
        <w:tblLook w:val="04A0" w:firstRow="1" w:lastRow="0" w:firstColumn="1" w:lastColumn="0" w:noHBand="0" w:noVBand="1"/>
      </w:tblPr>
      <w:tblGrid>
        <w:gridCol w:w="2499"/>
        <w:gridCol w:w="3428"/>
        <w:gridCol w:w="3429"/>
      </w:tblGrid>
      <w:tr w:rsidR="00176DBF" w:rsidRPr="00CE4840" w14:paraId="707D7A1C" w14:textId="77777777" w:rsidTr="00A7414A">
        <w:trPr>
          <w:cnfStyle w:val="100000000000" w:firstRow="1" w:lastRow="0" w:firstColumn="0" w:lastColumn="0" w:oddVBand="0" w:evenVBand="0" w:oddHBand="0" w:evenHBand="0" w:firstRowFirstColumn="0" w:firstRowLastColumn="0" w:lastRowFirstColumn="0" w:lastRowLastColumn="0"/>
          <w:trHeight w:val="318"/>
          <w:tblHeader/>
        </w:trPr>
        <w:tc>
          <w:tcPr>
            <w:tcW w:w="2499" w:type="dxa"/>
          </w:tcPr>
          <w:p w14:paraId="77B3860E" w14:textId="77777777" w:rsidR="00176DBF" w:rsidRPr="00CE4840" w:rsidRDefault="00176DBF">
            <w:pPr>
              <w:pStyle w:val="Tabletext"/>
              <w:jc w:val="left"/>
            </w:pPr>
            <w:r>
              <w:t xml:space="preserve">Level of likelihood of climate impact occurring </w:t>
            </w:r>
          </w:p>
        </w:tc>
        <w:tc>
          <w:tcPr>
            <w:tcW w:w="3428" w:type="dxa"/>
          </w:tcPr>
          <w:p w14:paraId="3D2AC99D" w14:textId="77777777" w:rsidR="00176DBF" w:rsidRDefault="00176DBF">
            <w:pPr>
              <w:pStyle w:val="Tabletext"/>
              <w:jc w:val="left"/>
            </w:pPr>
            <w:r>
              <w:t xml:space="preserve">Definition of likelihood </w:t>
            </w:r>
          </w:p>
          <w:p w14:paraId="2D854FB2" w14:textId="77777777" w:rsidR="00176DBF" w:rsidRPr="00CE4840" w:rsidRDefault="00176DBF">
            <w:pPr>
              <w:pStyle w:val="Tabletext"/>
              <w:ind w:right="57"/>
              <w:jc w:val="left"/>
            </w:pPr>
          </w:p>
        </w:tc>
        <w:tc>
          <w:tcPr>
            <w:tcW w:w="3429" w:type="dxa"/>
          </w:tcPr>
          <w:p w14:paraId="6E4F3A53" w14:textId="77777777" w:rsidR="00176DBF" w:rsidRPr="00CE4840" w:rsidRDefault="00176DBF">
            <w:pPr>
              <w:pStyle w:val="Tabletext"/>
              <w:ind w:right="57"/>
              <w:jc w:val="left"/>
            </w:pPr>
            <w:r>
              <w:t>Quantitative</w:t>
            </w:r>
          </w:p>
        </w:tc>
      </w:tr>
      <w:tr w:rsidR="00176DBF" w:rsidRPr="00CE4840" w14:paraId="0F94877F" w14:textId="77777777" w:rsidTr="00A7414A">
        <w:trPr>
          <w:trHeight w:val="245"/>
        </w:trPr>
        <w:tc>
          <w:tcPr>
            <w:tcW w:w="2499" w:type="dxa"/>
          </w:tcPr>
          <w:p w14:paraId="18C27D09" w14:textId="77777777" w:rsidR="00176DBF" w:rsidRPr="00CE4840" w:rsidRDefault="00176DBF">
            <w:pPr>
              <w:pStyle w:val="Tabletext"/>
            </w:pPr>
            <w:r>
              <w:t xml:space="preserve">Almost certain </w:t>
            </w:r>
          </w:p>
        </w:tc>
        <w:tc>
          <w:tcPr>
            <w:tcW w:w="3428" w:type="dxa"/>
          </w:tcPr>
          <w:p w14:paraId="7843754B" w14:textId="2C506D73" w:rsidR="00176DBF" w:rsidRPr="00CE4840" w:rsidRDefault="00176DBF">
            <w:pPr>
              <w:pStyle w:val="Tabletext"/>
            </w:pPr>
            <w:r>
              <w:t xml:space="preserve">Likelihood of climate hazard occurring is high and impact is always/almost always going to occur. </w:t>
            </w:r>
          </w:p>
        </w:tc>
        <w:tc>
          <w:tcPr>
            <w:tcW w:w="3429" w:type="dxa"/>
          </w:tcPr>
          <w:p w14:paraId="4EF7B2D5" w14:textId="44DB094A" w:rsidR="00176DBF" w:rsidRPr="00CE4840" w:rsidRDefault="00BE1FF7">
            <w:pPr>
              <w:pStyle w:val="Tabletext"/>
            </w:pPr>
            <w:r>
              <w:t>95</w:t>
            </w:r>
            <w:r w:rsidR="00176DBF">
              <w:t xml:space="preserve">% probability that the impact will occur. </w:t>
            </w:r>
          </w:p>
        </w:tc>
      </w:tr>
      <w:tr w:rsidR="00176DBF" w:rsidRPr="00CE4840" w14:paraId="3CF0B989" w14:textId="77777777" w:rsidTr="00A7414A">
        <w:trPr>
          <w:trHeight w:val="245"/>
        </w:trPr>
        <w:tc>
          <w:tcPr>
            <w:tcW w:w="2499" w:type="dxa"/>
            <w:tcBorders>
              <w:bottom w:val="single" w:sz="4" w:space="0" w:color="auto"/>
            </w:tcBorders>
          </w:tcPr>
          <w:p w14:paraId="501EDF1D" w14:textId="22002CE2" w:rsidR="00176DBF" w:rsidRDefault="00C22FF6">
            <w:pPr>
              <w:pStyle w:val="Tabletext"/>
            </w:pPr>
            <w:r>
              <w:t>Likely</w:t>
            </w:r>
          </w:p>
          <w:p w14:paraId="4B623C6B" w14:textId="77777777" w:rsidR="00176DBF" w:rsidRDefault="00176DBF">
            <w:pPr>
              <w:pStyle w:val="Tabletext"/>
              <w:jc w:val="left"/>
            </w:pPr>
          </w:p>
        </w:tc>
        <w:tc>
          <w:tcPr>
            <w:tcW w:w="3428" w:type="dxa"/>
            <w:tcBorders>
              <w:bottom w:val="single" w:sz="4" w:space="0" w:color="auto"/>
            </w:tcBorders>
          </w:tcPr>
          <w:p w14:paraId="12B4A965" w14:textId="24839E95" w:rsidR="00176DBF" w:rsidRDefault="00176DBF">
            <w:pPr>
              <w:pStyle w:val="Tabletext"/>
            </w:pPr>
            <w:r>
              <w:t xml:space="preserve">Likelihood of climate hazard occurring is high and impact is always/almost always going to occur. </w:t>
            </w:r>
          </w:p>
        </w:tc>
        <w:tc>
          <w:tcPr>
            <w:tcW w:w="3429" w:type="dxa"/>
            <w:tcBorders>
              <w:bottom w:val="single" w:sz="4" w:space="0" w:color="auto"/>
            </w:tcBorders>
          </w:tcPr>
          <w:p w14:paraId="37D336F9" w14:textId="7BC69B23" w:rsidR="00176DBF" w:rsidRDefault="00BE1FF7">
            <w:pPr>
              <w:pStyle w:val="Tabletext"/>
            </w:pPr>
            <w:r>
              <w:t>80</w:t>
            </w:r>
            <w:r w:rsidR="00176DBF">
              <w:t xml:space="preserve">% probability that the impact will occur. </w:t>
            </w:r>
          </w:p>
        </w:tc>
      </w:tr>
      <w:tr w:rsidR="00176DBF" w:rsidRPr="00CE4840" w14:paraId="2E0AF18A" w14:textId="77777777" w:rsidTr="00A7414A">
        <w:trPr>
          <w:trHeight w:val="245"/>
        </w:trPr>
        <w:tc>
          <w:tcPr>
            <w:tcW w:w="2499" w:type="dxa"/>
            <w:tcBorders>
              <w:top w:val="single" w:sz="4" w:space="0" w:color="auto"/>
              <w:bottom w:val="single" w:sz="4" w:space="0" w:color="auto"/>
            </w:tcBorders>
          </w:tcPr>
          <w:p w14:paraId="7A0A96C1" w14:textId="77777777" w:rsidR="00176DBF" w:rsidRDefault="00176DBF">
            <w:pPr>
              <w:pStyle w:val="Tabletext"/>
            </w:pPr>
            <w:r>
              <w:t xml:space="preserve">Moderate </w:t>
            </w:r>
          </w:p>
          <w:p w14:paraId="03467017" w14:textId="77777777" w:rsidR="00176DBF" w:rsidRDefault="00176DBF">
            <w:pPr>
              <w:pStyle w:val="Tabletext"/>
              <w:jc w:val="left"/>
            </w:pPr>
          </w:p>
        </w:tc>
        <w:tc>
          <w:tcPr>
            <w:tcW w:w="3428" w:type="dxa"/>
            <w:tcBorders>
              <w:top w:val="single" w:sz="4" w:space="0" w:color="auto"/>
              <w:bottom w:val="single" w:sz="4" w:space="0" w:color="auto"/>
            </w:tcBorders>
          </w:tcPr>
          <w:p w14:paraId="4046CD24" w14:textId="686790BE" w:rsidR="00176DBF" w:rsidRDefault="00176DBF">
            <w:pPr>
              <w:pStyle w:val="Tabletext"/>
            </w:pPr>
            <w:r>
              <w:t xml:space="preserve">Likelihood of climate hazard occurring is high and impact occurs often or the likelihood of climate hazard occurring is moderate and impact is likely to occur always/almost always. </w:t>
            </w:r>
          </w:p>
        </w:tc>
        <w:tc>
          <w:tcPr>
            <w:tcW w:w="3429" w:type="dxa"/>
            <w:tcBorders>
              <w:top w:val="single" w:sz="4" w:space="0" w:color="auto"/>
              <w:bottom w:val="single" w:sz="4" w:space="0" w:color="auto"/>
            </w:tcBorders>
          </w:tcPr>
          <w:p w14:paraId="7738AD0D" w14:textId="0D3A8108" w:rsidR="00176DBF" w:rsidRDefault="00BE1FF7">
            <w:pPr>
              <w:pStyle w:val="Tabletext"/>
            </w:pPr>
            <w:r>
              <w:t>50</w:t>
            </w:r>
            <w:r w:rsidR="00176DBF">
              <w:t xml:space="preserve">% probability that the impact will occur. </w:t>
            </w:r>
          </w:p>
          <w:p w14:paraId="5453CDCC" w14:textId="77777777" w:rsidR="00176DBF" w:rsidRDefault="00176DBF">
            <w:pPr>
              <w:pStyle w:val="Tabletext"/>
              <w:jc w:val="left"/>
            </w:pPr>
          </w:p>
        </w:tc>
      </w:tr>
      <w:tr w:rsidR="00176DBF" w:rsidRPr="00CE4840" w14:paraId="52C73405" w14:textId="77777777" w:rsidTr="00A7414A">
        <w:trPr>
          <w:trHeight w:val="245"/>
        </w:trPr>
        <w:tc>
          <w:tcPr>
            <w:tcW w:w="2499" w:type="dxa"/>
            <w:tcBorders>
              <w:top w:val="single" w:sz="4" w:space="0" w:color="auto"/>
            </w:tcBorders>
          </w:tcPr>
          <w:p w14:paraId="74E0FA38" w14:textId="1874D85D" w:rsidR="00176DBF" w:rsidRDefault="00FA0AD3">
            <w:pPr>
              <w:pStyle w:val="Tabletext"/>
            </w:pPr>
            <w:r>
              <w:lastRenderedPageBreak/>
              <w:t>Unlikely</w:t>
            </w:r>
          </w:p>
        </w:tc>
        <w:tc>
          <w:tcPr>
            <w:tcW w:w="3428" w:type="dxa"/>
            <w:tcBorders>
              <w:top w:val="single" w:sz="4" w:space="0" w:color="auto"/>
            </w:tcBorders>
          </w:tcPr>
          <w:p w14:paraId="75EC344C" w14:textId="6828C853" w:rsidR="00176DBF" w:rsidRDefault="00176DBF">
            <w:pPr>
              <w:pStyle w:val="Tabletext"/>
              <w:keepLines/>
            </w:pPr>
            <w:r>
              <w:t xml:space="preserve">Likelihood of climate hazard occurring is high, but impact rarely occurs or the likelihood of climate hazard occurring is moderate and impact sometimes occurs or the likelihood of climate hazard occurring is low and impact is likely to occur always/almost always. </w:t>
            </w:r>
          </w:p>
        </w:tc>
        <w:tc>
          <w:tcPr>
            <w:tcW w:w="3429" w:type="dxa"/>
            <w:tcBorders>
              <w:top w:val="single" w:sz="4" w:space="0" w:color="auto"/>
            </w:tcBorders>
          </w:tcPr>
          <w:p w14:paraId="019F2E7D" w14:textId="559D3410" w:rsidR="00176DBF" w:rsidRDefault="00BE1FF7">
            <w:pPr>
              <w:pStyle w:val="Tabletext"/>
              <w:jc w:val="left"/>
            </w:pPr>
            <w:r>
              <w:t>20</w:t>
            </w:r>
            <w:r w:rsidR="00176DBF">
              <w:t>% probability that the impact will occur.</w:t>
            </w:r>
          </w:p>
        </w:tc>
      </w:tr>
      <w:tr w:rsidR="00176DBF" w:rsidRPr="00CE4840" w14:paraId="4D9FFAD5" w14:textId="77777777" w:rsidTr="00A7414A">
        <w:trPr>
          <w:trHeight w:val="245"/>
        </w:trPr>
        <w:tc>
          <w:tcPr>
            <w:tcW w:w="2499" w:type="dxa"/>
          </w:tcPr>
          <w:p w14:paraId="3F239004" w14:textId="0AE32035" w:rsidR="00176DBF" w:rsidRDefault="00651782">
            <w:pPr>
              <w:pStyle w:val="Tabletext"/>
            </w:pPr>
            <w:r>
              <w:t xml:space="preserve">Rare </w:t>
            </w:r>
          </w:p>
        </w:tc>
        <w:tc>
          <w:tcPr>
            <w:tcW w:w="3428" w:type="dxa"/>
          </w:tcPr>
          <w:p w14:paraId="5258B37B" w14:textId="77777777" w:rsidR="00176DBF" w:rsidRDefault="00176DBF">
            <w:pPr>
              <w:pStyle w:val="Tabletext"/>
            </w:pPr>
            <w:r>
              <w:t xml:space="preserve">All other eventualities – highly unlikely but theoretically possible. </w:t>
            </w:r>
          </w:p>
        </w:tc>
        <w:tc>
          <w:tcPr>
            <w:tcW w:w="3429" w:type="dxa"/>
          </w:tcPr>
          <w:p w14:paraId="2FEA6135" w14:textId="4657554A" w:rsidR="00176DBF" w:rsidRDefault="00BE1FF7">
            <w:pPr>
              <w:pStyle w:val="Tabletext"/>
            </w:pPr>
            <w:r>
              <w:t>5</w:t>
            </w:r>
            <w:r w:rsidR="00176DBF">
              <w:t xml:space="preserve">% probability that the impact will occur. </w:t>
            </w:r>
          </w:p>
        </w:tc>
      </w:tr>
      <w:tr w:rsidR="006029DF" w:rsidRPr="006029DF" w14:paraId="76D9F292" w14:textId="77777777">
        <w:trPr>
          <w:trHeight w:val="245"/>
        </w:trPr>
        <w:tc>
          <w:tcPr>
            <w:tcW w:w="5927" w:type="dxa"/>
            <w:gridSpan w:val="2"/>
          </w:tcPr>
          <w:p w14:paraId="0E26E036" w14:textId="52B53204" w:rsidR="006029DF" w:rsidRPr="00A7414A" w:rsidRDefault="006029DF">
            <w:pPr>
              <w:pStyle w:val="Tabletext"/>
              <w:rPr>
                <w:i/>
                <w:iCs/>
              </w:rPr>
            </w:pPr>
            <w:r w:rsidRPr="00A7414A">
              <w:rPr>
                <w:i/>
                <w:iCs/>
              </w:rPr>
              <w:t xml:space="preserve">Source: </w:t>
            </w:r>
            <w:r>
              <w:rPr>
                <w:i/>
                <w:iCs/>
              </w:rPr>
              <w:t>European Commission (2021d)</w:t>
            </w:r>
          </w:p>
        </w:tc>
        <w:tc>
          <w:tcPr>
            <w:tcW w:w="3429" w:type="dxa"/>
          </w:tcPr>
          <w:p w14:paraId="047425C7" w14:textId="77777777" w:rsidR="006029DF" w:rsidRPr="00A7414A" w:rsidRDefault="006029DF">
            <w:pPr>
              <w:pStyle w:val="Tabletext"/>
              <w:rPr>
                <w:i/>
                <w:iCs/>
              </w:rPr>
            </w:pPr>
          </w:p>
        </w:tc>
      </w:tr>
    </w:tbl>
    <w:p w14:paraId="6DECC264" w14:textId="77777777" w:rsidR="00176DBF" w:rsidRDefault="00176DBF" w:rsidP="00F21C59">
      <w:pPr>
        <w:pStyle w:val="BodyText"/>
      </w:pPr>
    </w:p>
    <w:p w14:paraId="2B003221" w14:textId="3FD12080" w:rsidR="0032446A" w:rsidRPr="00CB4CA8" w:rsidRDefault="0032446A" w:rsidP="00A7414A">
      <w:pPr>
        <w:pStyle w:val="Caption"/>
      </w:pPr>
      <w:bookmarkStart w:id="87" w:name="_Ref214371261"/>
      <w:bookmarkStart w:id="88" w:name="_Toc216107531"/>
      <w:bookmarkStart w:id="89" w:name="_Toc238199682"/>
      <w:r w:rsidRPr="002E31FF">
        <w:t xml:space="preserve">Table </w:t>
      </w:r>
      <w:r w:rsidR="00BE5583" w:rsidRPr="00CB4CA8">
        <w:fldChar w:fldCharType="begin"/>
      </w:r>
      <w:r w:rsidR="00BE5583">
        <w:instrText xml:space="preserve"> STYLEREF 1 \s </w:instrText>
      </w:r>
      <w:r w:rsidR="00BE5583" w:rsidRPr="00CB4CA8">
        <w:fldChar w:fldCharType="separate"/>
      </w:r>
      <w:r w:rsidR="00D83C6F">
        <w:rPr>
          <w:noProof/>
        </w:rPr>
        <w:t>10</w:t>
      </w:r>
      <w:r w:rsidR="00BE5583" w:rsidRPr="00CB4CA8">
        <w:fldChar w:fldCharType="end"/>
      </w:r>
      <w:r w:rsidR="00BE5583">
        <w:noBreakHyphen/>
      </w:r>
      <w:r w:rsidR="00BE5583" w:rsidRPr="00CB4CA8">
        <w:fldChar w:fldCharType="begin"/>
      </w:r>
      <w:r w:rsidR="00BE5583">
        <w:instrText xml:space="preserve"> SEQ Table \* ARABIC \s 1 </w:instrText>
      </w:r>
      <w:r w:rsidR="00BE5583" w:rsidRPr="00CB4CA8">
        <w:fldChar w:fldCharType="separate"/>
      </w:r>
      <w:r w:rsidR="00D83C6F">
        <w:rPr>
          <w:noProof/>
        </w:rPr>
        <w:t>7</w:t>
      </w:r>
      <w:r w:rsidR="00BE5583" w:rsidRPr="00CB4CA8">
        <w:fldChar w:fldCharType="end"/>
      </w:r>
      <w:bookmarkEnd w:id="87"/>
      <w:r w:rsidR="00361852">
        <w:t>:</w:t>
      </w:r>
      <w:r w:rsidRPr="001712FE">
        <w:t xml:space="preserve"> </w:t>
      </w:r>
      <w:r w:rsidRPr="00796740">
        <w:t>Level of Consequence of Climate Impact</w:t>
      </w:r>
      <w:bookmarkEnd w:id="88"/>
      <w:bookmarkEnd w:id="89"/>
    </w:p>
    <w:tbl>
      <w:tblPr>
        <w:tblStyle w:val="AECOMtable"/>
        <w:tblW w:w="5000" w:type="pct"/>
        <w:tblInd w:w="-1" w:type="dxa"/>
        <w:tblLayout w:type="fixed"/>
        <w:tblCellMar>
          <w:right w:w="108" w:type="dxa"/>
        </w:tblCellMar>
        <w:tblLook w:val="04A0" w:firstRow="1" w:lastRow="0" w:firstColumn="1" w:lastColumn="0" w:noHBand="0" w:noVBand="1"/>
      </w:tblPr>
      <w:tblGrid>
        <w:gridCol w:w="2486"/>
        <w:gridCol w:w="6868"/>
      </w:tblGrid>
      <w:tr w:rsidR="0032446A" w:rsidRPr="00CE4840" w14:paraId="3819762F" w14:textId="77777777" w:rsidTr="00320FE3">
        <w:trPr>
          <w:cnfStyle w:val="100000000000" w:firstRow="1" w:lastRow="0" w:firstColumn="0" w:lastColumn="0" w:oddVBand="0" w:evenVBand="0" w:oddHBand="0" w:evenHBand="0" w:firstRowFirstColumn="0" w:firstRowLastColumn="0" w:lastRowFirstColumn="0" w:lastRowLastColumn="0"/>
          <w:trHeight w:val="318"/>
          <w:tblHeader/>
        </w:trPr>
        <w:tc>
          <w:tcPr>
            <w:tcW w:w="2486" w:type="dxa"/>
          </w:tcPr>
          <w:p w14:paraId="418FD3A9" w14:textId="77777777" w:rsidR="0032446A" w:rsidRPr="00CE4840" w:rsidRDefault="0032446A">
            <w:pPr>
              <w:pStyle w:val="Tabletext"/>
            </w:pPr>
            <w:r>
              <w:t xml:space="preserve">Consequence of Impact </w:t>
            </w:r>
          </w:p>
        </w:tc>
        <w:tc>
          <w:tcPr>
            <w:tcW w:w="6868" w:type="dxa"/>
          </w:tcPr>
          <w:p w14:paraId="45B7D2A9" w14:textId="77777777" w:rsidR="0032446A" w:rsidRPr="00CE4840" w:rsidRDefault="0032446A">
            <w:pPr>
              <w:pStyle w:val="Tabletext"/>
            </w:pPr>
            <w:r>
              <w:t xml:space="preserve">Description </w:t>
            </w:r>
          </w:p>
        </w:tc>
      </w:tr>
      <w:tr w:rsidR="0032446A" w:rsidRPr="00CE4840" w14:paraId="3C1B0CEF" w14:textId="77777777" w:rsidTr="00320FE3">
        <w:trPr>
          <w:trHeight w:val="245"/>
        </w:trPr>
        <w:tc>
          <w:tcPr>
            <w:tcW w:w="2486" w:type="dxa"/>
          </w:tcPr>
          <w:p w14:paraId="43D7CC48" w14:textId="77777777" w:rsidR="0032446A" w:rsidRPr="00CE4840" w:rsidRDefault="0032446A">
            <w:pPr>
              <w:pStyle w:val="Tabletext"/>
            </w:pPr>
            <w:r>
              <w:t xml:space="preserve">Catastrophic </w:t>
            </w:r>
          </w:p>
        </w:tc>
        <w:tc>
          <w:tcPr>
            <w:tcW w:w="6868" w:type="dxa"/>
          </w:tcPr>
          <w:p w14:paraId="48C4AC84" w14:textId="77777777" w:rsidR="0032446A" w:rsidRPr="00CE4840" w:rsidRDefault="0032446A">
            <w:pPr>
              <w:pStyle w:val="Tabletext"/>
            </w:pPr>
            <w:r>
              <w:t xml:space="preserve">Disaster with the potential to lead to shut down or collapse or loss of the asset/network; Single or multiple fatalities; Significant environmental harm with widespread effect and recovery longer than one year; Loss of social licence to operate; and/or Permanent financial impact. </w:t>
            </w:r>
          </w:p>
        </w:tc>
      </w:tr>
      <w:tr w:rsidR="0032446A" w:rsidRPr="00CE4840" w14:paraId="5E39EAF1" w14:textId="77777777" w:rsidTr="00320FE3">
        <w:trPr>
          <w:trHeight w:val="245"/>
        </w:trPr>
        <w:tc>
          <w:tcPr>
            <w:tcW w:w="2486" w:type="dxa"/>
          </w:tcPr>
          <w:p w14:paraId="74CC0383" w14:textId="77777777" w:rsidR="0032446A" w:rsidRDefault="0032446A">
            <w:pPr>
              <w:pStyle w:val="Tabletext"/>
              <w:jc w:val="left"/>
            </w:pPr>
            <w:r>
              <w:t>Major</w:t>
            </w:r>
          </w:p>
        </w:tc>
        <w:tc>
          <w:tcPr>
            <w:tcW w:w="6868" w:type="dxa"/>
          </w:tcPr>
          <w:p w14:paraId="51AFBEDC" w14:textId="77777777" w:rsidR="0032446A" w:rsidRDefault="0032446A">
            <w:pPr>
              <w:pStyle w:val="Tabletext"/>
            </w:pPr>
            <w:r>
              <w:t xml:space="preserve">Permanent damage to structures/assets; Complete loss of operation/service; Complete/partial renewal of infrastructure; Exceptional environmental damage; and/or Extreme financial impact. </w:t>
            </w:r>
          </w:p>
        </w:tc>
      </w:tr>
      <w:tr w:rsidR="0032446A" w:rsidRPr="00CE4840" w14:paraId="23E7FE65" w14:textId="77777777" w:rsidTr="00320FE3">
        <w:trPr>
          <w:trHeight w:val="245"/>
        </w:trPr>
        <w:tc>
          <w:tcPr>
            <w:tcW w:w="2486" w:type="dxa"/>
          </w:tcPr>
          <w:p w14:paraId="6EF70467" w14:textId="77777777" w:rsidR="0032446A" w:rsidRDefault="0032446A">
            <w:pPr>
              <w:pStyle w:val="Tabletext"/>
            </w:pPr>
            <w:r>
              <w:t xml:space="preserve">Moderate </w:t>
            </w:r>
          </w:p>
        </w:tc>
        <w:tc>
          <w:tcPr>
            <w:tcW w:w="6868" w:type="dxa"/>
          </w:tcPr>
          <w:p w14:paraId="1570CFFE" w14:textId="77777777" w:rsidR="0032446A" w:rsidRDefault="0032446A">
            <w:pPr>
              <w:pStyle w:val="Tabletext"/>
            </w:pPr>
            <w:r>
              <w:t xml:space="preserve">Partial infrastructure damage and some loss of service; Some infrastructure renewal; Adverse impact on the environment; and/or Moderate financial impact. </w:t>
            </w:r>
          </w:p>
        </w:tc>
      </w:tr>
      <w:tr w:rsidR="0032446A" w:rsidRPr="00CE4840" w14:paraId="2111D116" w14:textId="77777777" w:rsidTr="00320FE3">
        <w:trPr>
          <w:trHeight w:val="245"/>
        </w:trPr>
        <w:tc>
          <w:tcPr>
            <w:tcW w:w="2486" w:type="dxa"/>
          </w:tcPr>
          <w:p w14:paraId="1617283C" w14:textId="77777777" w:rsidR="0032446A" w:rsidRDefault="0032446A">
            <w:pPr>
              <w:pStyle w:val="Tabletext"/>
            </w:pPr>
            <w:r>
              <w:t xml:space="preserve">Minor </w:t>
            </w:r>
          </w:p>
          <w:p w14:paraId="116F3A7A" w14:textId="77777777" w:rsidR="0032446A" w:rsidRDefault="0032446A">
            <w:pPr>
              <w:pStyle w:val="Tabletext"/>
            </w:pPr>
          </w:p>
        </w:tc>
        <w:tc>
          <w:tcPr>
            <w:tcW w:w="6868" w:type="dxa"/>
          </w:tcPr>
          <w:p w14:paraId="73230208" w14:textId="77777777" w:rsidR="0032446A" w:rsidRDefault="0032446A">
            <w:pPr>
              <w:pStyle w:val="Tabletext"/>
            </w:pPr>
            <w:r>
              <w:t xml:space="preserve">Localised infrastructure disruption and minor loss of service; No permanent damage, minor restoration work required; Slight adverse environmental effects; and/or Small financial losses. </w:t>
            </w:r>
          </w:p>
        </w:tc>
      </w:tr>
      <w:tr w:rsidR="0032446A" w:rsidRPr="00CE4840" w14:paraId="57A1FB34" w14:textId="77777777" w:rsidTr="00320FE3">
        <w:trPr>
          <w:trHeight w:val="245"/>
        </w:trPr>
        <w:tc>
          <w:tcPr>
            <w:tcW w:w="2486" w:type="dxa"/>
          </w:tcPr>
          <w:p w14:paraId="438F0D49" w14:textId="77777777" w:rsidR="0032446A" w:rsidRDefault="0032446A">
            <w:pPr>
              <w:pStyle w:val="Tabletext"/>
            </w:pPr>
            <w:r>
              <w:t xml:space="preserve">Insignificant </w:t>
            </w:r>
          </w:p>
        </w:tc>
        <w:tc>
          <w:tcPr>
            <w:tcW w:w="6868" w:type="dxa"/>
          </w:tcPr>
          <w:p w14:paraId="61FD909E" w14:textId="77777777" w:rsidR="0032446A" w:rsidRDefault="0032446A">
            <w:pPr>
              <w:pStyle w:val="Tabletext"/>
            </w:pPr>
            <w:r>
              <w:t xml:space="preserve">No damage to infrastructure; No impacts on the environment; No adverse financial impact. </w:t>
            </w:r>
          </w:p>
        </w:tc>
      </w:tr>
      <w:tr w:rsidR="00470B2C" w:rsidRPr="00CE4840" w14:paraId="18B25DFD" w14:textId="77777777">
        <w:trPr>
          <w:trHeight w:val="245"/>
        </w:trPr>
        <w:tc>
          <w:tcPr>
            <w:tcW w:w="9354" w:type="dxa"/>
            <w:gridSpan w:val="2"/>
          </w:tcPr>
          <w:p w14:paraId="7DF41ABA" w14:textId="211C3C6E" w:rsidR="00470B2C" w:rsidRDefault="00470B2C" w:rsidP="00A7414A">
            <w:pPr>
              <w:pStyle w:val="Tabletext"/>
              <w:jc w:val="left"/>
            </w:pPr>
            <w:r w:rsidRPr="00243AFA">
              <w:rPr>
                <w:i/>
                <w:iCs/>
              </w:rPr>
              <w:t xml:space="preserve">Source: </w:t>
            </w:r>
            <w:r>
              <w:rPr>
                <w:i/>
                <w:iCs/>
              </w:rPr>
              <w:t>European Commission (2021d)</w:t>
            </w:r>
          </w:p>
        </w:tc>
      </w:tr>
    </w:tbl>
    <w:p w14:paraId="7C1C2DD7" w14:textId="77777777" w:rsidR="00172F74" w:rsidRDefault="00172F74" w:rsidP="00320FE3">
      <w:pPr>
        <w:keepNext/>
        <w:spacing w:after="120"/>
        <w:rPr>
          <w:rFonts w:asciiTheme="majorHAnsi" w:hAnsiTheme="majorHAnsi"/>
          <w:b/>
          <w:bCs/>
          <w:color w:val="008768" w:themeColor="accent1"/>
        </w:rPr>
      </w:pPr>
      <w:bookmarkStart w:id="90" w:name="_Ref214371265"/>
      <w:bookmarkStart w:id="91" w:name="_Toc216107532"/>
    </w:p>
    <w:bookmarkEnd w:id="90"/>
    <w:bookmarkEnd w:id="91"/>
    <w:p w14:paraId="3F3EE95B" w14:textId="64493153" w:rsidR="0017593E" w:rsidRPr="00CB4CA8" w:rsidRDefault="0017593E" w:rsidP="00A7414A">
      <w:pPr>
        <w:pStyle w:val="BodyText"/>
      </w:pPr>
      <w:r w:rsidRPr="007A25B7">
        <w:t xml:space="preserve">The </w:t>
      </w:r>
      <w:r w:rsidR="00721543">
        <w:t xml:space="preserve">effect </w:t>
      </w:r>
      <w:r w:rsidRPr="007A25B7">
        <w:t xml:space="preserve">significance </w:t>
      </w:r>
      <w:r w:rsidR="00721543">
        <w:t xml:space="preserve">for </w:t>
      </w:r>
      <w:r w:rsidRPr="007A25B7">
        <w:t xml:space="preserve">the CCRA </w:t>
      </w:r>
      <w:r w:rsidR="00721543">
        <w:t xml:space="preserve">has been </w:t>
      </w:r>
      <w:r w:rsidRPr="007A25B7">
        <w:t>determined as a function of the likelihood of a Climate Risk occurring and the Climate Impact/Consequence</w:t>
      </w:r>
      <w:r w:rsidR="00721543">
        <w:t xml:space="preserve"> using the </w:t>
      </w:r>
      <w:r w:rsidRPr="007A25B7">
        <w:t xml:space="preserve">significance matrix </w:t>
      </w:r>
      <w:r w:rsidR="00721543">
        <w:t>a</w:t>
      </w:r>
      <w:r w:rsidRPr="007A25B7">
        <w:t xml:space="preserve">s </w:t>
      </w:r>
      <w:r w:rsidRPr="00746AEE">
        <w:t xml:space="preserve">shown </w:t>
      </w:r>
      <w:r w:rsidRPr="008928B6">
        <w:rPr>
          <w:color w:val="000000" w:themeColor="text1"/>
          <w:lang w:val="en-IE"/>
        </w:rPr>
        <w:t>in</w:t>
      </w:r>
      <w:r w:rsidR="002A5B06" w:rsidRPr="008928B6">
        <w:rPr>
          <w:color w:val="000000" w:themeColor="text1"/>
          <w:lang w:val="en-IE"/>
        </w:rPr>
        <w:t xml:space="preserve"> </w:t>
      </w:r>
      <w:r w:rsidR="00733DC4" w:rsidRPr="008928B6">
        <w:rPr>
          <w:color w:val="000000" w:themeColor="text1"/>
          <w:lang w:val="en-IE"/>
        </w:rPr>
        <w:fldChar w:fldCharType="begin"/>
      </w:r>
      <w:r w:rsidR="00733DC4" w:rsidRPr="00733DC4">
        <w:rPr>
          <w:rFonts w:asciiTheme="majorHAnsi" w:hAnsiTheme="majorHAnsi"/>
          <w:b/>
          <w:color w:val="008768" w:themeColor="accent1"/>
        </w:rPr>
        <w:instrText xml:space="preserve"> REF _Ref231914554 \h  \* MERGEFORMAT </w:instrText>
      </w:r>
      <w:r w:rsidR="00733DC4" w:rsidRPr="00511353">
        <w:rPr>
          <w:color w:val="000000" w:themeColor="text1"/>
          <w:lang w:val="en-IE"/>
        </w:rPr>
      </w:r>
      <w:r w:rsidR="00733DC4" w:rsidRPr="008928B6">
        <w:rPr>
          <w:color w:val="000000" w:themeColor="text1"/>
          <w:lang w:val="en-IE"/>
        </w:rPr>
        <w:fldChar w:fldCharType="separate"/>
      </w:r>
      <w:r w:rsidR="00D83C6F" w:rsidRPr="005049F3">
        <w:rPr>
          <w:color w:val="000000" w:themeColor="text1"/>
          <w:lang w:val="en-IE"/>
        </w:rPr>
        <w:t>Table 10-8</w:t>
      </w:r>
      <w:r w:rsidR="00733DC4" w:rsidRPr="008928B6">
        <w:rPr>
          <w:color w:val="000000" w:themeColor="text1"/>
          <w:lang w:val="en-IE"/>
        </w:rPr>
        <w:fldChar w:fldCharType="end"/>
      </w:r>
      <w:r w:rsidR="00721543">
        <w:rPr>
          <w:color w:val="000000" w:themeColor="text1"/>
          <w:lang w:val="en-IE"/>
        </w:rPr>
        <w:t xml:space="preserve"> which is </w:t>
      </w:r>
      <w:r w:rsidRPr="00466348">
        <w:t xml:space="preserve">in accordance with the </w:t>
      </w:r>
      <w:r w:rsidRPr="00833377">
        <w:t xml:space="preserve">EU Commission Notice (2021/C 373/01) </w:t>
      </w:r>
      <w:r w:rsidR="00833377" w:rsidRPr="00A7414A">
        <w:t>(European Commission, 2021</w:t>
      </w:r>
      <w:r w:rsidR="002A5B06">
        <w:t>d</w:t>
      </w:r>
      <w:r w:rsidR="00833377" w:rsidRPr="00A7414A">
        <w:t xml:space="preserve">) </w:t>
      </w:r>
      <w:r w:rsidRPr="002A5B06">
        <w:t>and in line with the ISEP guidance for conducting CCRAs</w:t>
      </w:r>
      <w:r w:rsidR="002A5B06" w:rsidRPr="00A7414A">
        <w:t xml:space="preserve"> (ISEP, 2020)</w:t>
      </w:r>
      <w:r w:rsidRPr="002A5B06">
        <w:t>.</w:t>
      </w:r>
      <w:r w:rsidRPr="007A25B7">
        <w:t xml:space="preserve"> Where a risk is determined as High or Extreme, this has been deemed </w:t>
      </w:r>
      <w:r w:rsidR="00721543">
        <w:t xml:space="preserve">to be </w:t>
      </w:r>
      <w:r w:rsidRPr="007A25B7">
        <w:t>Significant. Medium and Low risks are classified as Not Significant. The assessment considers confirmed design and mitigation measures (referred to as embedded mitigation).</w:t>
      </w:r>
    </w:p>
    <w:p w14:paraId="4E7F21D3" w14:textId="478EECCF" w:rsidR="00733DC4" w:rsidRDefault="00733DC4" w:rsidP="00733DC4">
      <w:pPr>
        <w:pStyle w:val="Caption"/>
      </w:pPr>
      <w:bookmarkStart w:id="92" w:name="_Ref231914554"/>
      <w:bookmarkStart w:id="93" w:name="_Toc238199683"/>
      <w:r>
        <w:t>Table 10-</w:t>
      </w:r>
      <w:r>
        <w:fldChar w:fldCharType="begin"/>
      </w:r>
      <w:r>
        <w:instrText>SEQ Table \* ARABIC</w:instrText>
      </w:r>
      <w:r>
        <w:fldChar w:fldCharType="separate"/>
      </w:r>
      <w:r w:rsidR="00D83C6F">
        <w:rPr>
          <w:noProof/>
        </w:rPr>
        <w:t>8</w:t>
      </w:r>
      <w:r>
        <w:fldChar w:fldCharType="end"/>
      </w:r>
      <w:bookmarkEnd w:id="92"/>
      <w:r w:rsidR="00361852">
        <w:t>:</w:t>
      </w:r>
      <w:r>
        <w:t xml:space="preserve"> </w:t>
      </w:r>
      <w:r w:rsidRPr="00AF78AC">
        <w:t>Significance Matrix</w:t>
      </w:r>
      <w:bookmarkEnd w:id="93"/>
    </w:p>
    <w:tbl>
      <w:tblPr>
        <w:tblStyle w:val="AECOMtable"/>
        <w:tblW w:w="5000" w:type="pct"/>
        <w:tblInd w:w="-1" w:type="dxa"/>
        <w:tblLayout w:type="fixed"/>
        <w:tblCellMar>
          <w:right w:w="108" w:type="dxa"/>
        </w:tblCellMar>
        <w:tblLook w:val="04A0" w:firstRow="1" w:lastRow="0" w:firstColumn="1" w:lastColumn="0" w:noHBand="0" w:noVBand="1"/>
      </w:tblPr>
      <w:tblGrid>
        <w:gridCol w:w="443"/>
        <w:gridCol w:w="1616"/>
        <w:gridCol w:w="1459"/>
        <w:gridCol w:w="1459"/>
        <w:gridCol w:w="1459"/>
        <w:gridCol w:w="1459"/>
        <w:gridCol w:w="1459"/>
      </w:tblGrid>
      <w:tr w:rsidR="0017593E" w:rsidRPr="00CE4840" w14:paraId="40BB4C22" w14:textId="77777777" w:rsidTr="001D2B39">
        <w:trPr>
          <w:cnfStyle w:val="100000000000" w:firstRow="1" w:lastRow="0" w:firstColumn="0" w:lastColumn="0" w:oddVBand="0" w:evenVBand="0" w:oddHBand="0" w:evenHBand="0" w:firstRowFirstColumn="0" w:firstRowLastColumn="0" w:lastRowFirstColumn="0" w:lastRowLastColumn="0"/>
          <w:trHeight w:val="318"/>
          <w:tblHeader/>
        </w:trPr>
        <w:tc>
          <w:tcPr>
            <w:tcW w:w="443" w:type="dxa"/>
          </w:tcPr>
          <w:p w14:paraId="6B8B12C3" w14:textId="77777777" w:rsidR="0017593E" w:rsidRPr="00CE4840" w:rsidRDefault="0017593E">
            <w:pPr>
              <w:pStyle w:val="Tabletext"/>
            </w:pPr>
          </w:p>
        </w:tc>
        <w:tc>
          <w:tcPr>
            <w:tcW w:w="1616" w:type="dxa"/>
            <w:vAlign w:val="center"/>
          </w:tcPr>
          <w:p w14:paraId="515BA05A" w14:textId="77777777" w:rsidR="0017593E" w:rsidRPr="00CE4840" w:rsidRDefault="0017593E">
            <w:pPr>
              <w:pStyle w:val="Tabletext"/>
              <w:jc w:val="center"/>
            </w:pPr>
          </w:p>
        </w:tc>
        <w:tc>
          <w:tcPr>
            <w:tcW w:w="7295" w:type="dxa"/>
            <w:gridSpan w:val="5"/>
            <w:vAlign w:val="center"/>
          </w:tcPr>
          <w:p w14:paraId="43236A8C" w14:textId="77777777" w:rsidR="0017593E" w:rsidRPr="00CE4840" w:rsidRDefault="0017593E">
            <w:pPr>
              <w:pStyle w:val="Tabletext"/>
              <w:jc w:val="center"/>
            </w:pPr>
            <w:r>
              <w:t>Consequence</w:t>
            </w:r>
          </w:p>
        </w:tc>
      </w:tr>
      <w:tr w:rsidR="0017593E" w:rsidRPr="00CE4840" w14:paraId="21AC61EA" w14:textId="77777777" w:rsidTr="001D2B39">
        <w:trPr>
          <w:cnfStyle w:val="100000000000" w:firstRow="1" w:lastRow="0" w:firstColumn="0" w:lastColumn="0" w:oddVBand="0" w:evenVBand="0" w:oddHBand="0" w:evenHBand="0" w:firstRowFirstColumn="0" w:firstRowLastColumn="0" w:lastRowFirstColumn="0" w:lastRowLastColumn="0"/>
          <w:trHeight w:val="318"/>
          <w:tblHeader/>
        </w:trPr>
        <w:tc>
          <w:tcPr>
            <w:tcW w:w="443" w:type="dxa"/>
            <w:tcBorders>
              <w:bottom w:val="nil"/>
            </w:tcBorders>
          </w:tcPr>
          <w:p w14:paraId="6C6494EF" w14:textId="77777777" w:rsidR="0017593E" w:rsidRPr="00CE4840" w:rsidRDefault="0017593E">
            <w:pPr>
              <w:pStyle w:val="Tabletext"/>
            </w:pPr>
          </w:p>
        </w:tc>
        <w:tc>
          <w:tcPr>
            <w:tcW w:w="1616" w:type="dxa"/>
            <w:tcBorders>
              <w:bottom w:val="nil"/>
            </w:tcBorders>
            <w:vAlign w:val="center"/>
          </w:tcPr>
          <w:p w14:paraId="69B273D5" w14:textId="77777777" w:rsidR="0017593E" w:rsidRPr="00CE4840" w:rsidRDefault="0017593E">
            <w:pPr>
              <w:pStyle w:val="Tabletext"/>
              <w:jc w:val="center"/>
            </w:pPr>
          </w:p>
        </w:tc>
        <w:tc>
          <w:tcPr>
            <w:tcW w:w="1459" w:type="dxa"/>
            <w:vAlign w:val="center"/>
          </w:tcPr>
          <w:p w14:paraId="7E129881" w14:textId="77777777" w:rsidR="0017593E" w:rsidRPr="00CE4840" w:rsidRDefault="0017593E">
            <w:pPr>
              <w:pStyle w:val="Tabletext"/>
              <w:jc w:val="center"/>
            </w:pPr>
            <w:r>
              <w:t>Insignificant</w:t>
            </w:r>
          </w:p>
        </w:tc>
        <w:tc>
          <w:tcPr>
            <w:tcW w:w="1459" w:type="dxa"/>
            <w:vAlign w:val="center"/>
          </w:tcPr>
          <w:p w14:paraId="2A717CCF" w14:textId="77777777" w:rsidR="0017593E" w:rsidRPr="00CE4840" w:rsidRDefault="0017593E">
            <w:pPr>
              <w:pStyle w:val="Tabletext"/>
              <w:jc w:val="center"/>
            </w:pPr>
            <w:r>
              <w:t>Minor</w:t>
            </w:r>
          </w:p>
        </w:tc>
        <w:tc>
          <w:tcPr>
            <w:tcW w:w="1459" w:type="dxa"/>
            <w:vAlign w:val="center"/>
          </w:tcPr>
          <w:p w14:paraId="5ECDD30F" w14:textId="77777777" w:rsidR="0017593E" w:rsidRPr="00CE4840" w:rsidRDefault="0017593E">
            <w:pPr>
              <w:pStyle w:val="Tabletext"/>
              <w:jc w:val="center"/>
            </w:pPr>
            <w:r>
              <w:t>Moderate</w:t>
            </w:r>
          </w:p>
        </w:tc>
        <w:tc>
          <w:tcPr>
            <w:tcW w:w="1459" w:type="dxa"/>
            <w:vAlign w:val="center"/>
          </w:tcPr>
          <w:p w14:paraId="1926D9B1" w14:textId="77777777" w:rsidR="0017593E" w:rsidRPr="00CE4840" w:rsidRDefault="0017593E">
            <w:pPr>
              <w:pStyle w:val="Tabletext"/>
              <w:jc w:val="center"/>
            </w:pPr>
            <w:r>
              <w:t>Major</w:t>
            </w:r>
          </w:p>
        </w:tc>
        <w:tc>
          <w:tcPr>
            <w:tcW w:w="1459" w:type="dxa"/>
            <w:vAlign w:val="center"/>
          </w:tcPr>
          <w:p w14:paraId="027A1CB8" w14:textId="77777777" w:rsidR="0017593E" w:rsidRPr="00CE4840" w:rsidRDefault="0017593E">
            <w:pPr>
              <w:pStyle w:val="Tabletext"/>
              <w:jc w:val="center"/>
            </w:pPr>
            <w:r>
              <w:t>Catastrophic</w:t>
            </w:r>
          </w:p>
        </w:tc>
      </w:tr>
      <w:tr w:rsidR="0017593E" w:rsidRPr="00CE4840" w14:paraId="5345F6AB" w14:textId="77777777" w:rsidTr="001D2B39">
        <w:trPr>
          <w:trHeight w:val="245"/>
        </w:trPr>
        <w:tc>
          <w:tcPr>
            <w:tcW w:w="443" w:type="dxa"/>
            <w:vMerge w:val="restart"/>
            <w:tcBorders>
              <w:top w:val="nil"/>
              <w:bottom w:val="nil"/>
            </w:tcBorders>
            <w:textDirection w:val="btLr"/>
          </w:tcPr>
          <w:p w14:paraId="6D3501C8" w14:textId="77777777" w:rsidR="0017593E" w:rsidRPr="005A528C" w:rsidRDefault="0017593E">
            <w:pPr>
              <w:pStyle w:val="Tabletext"/>
              <w:ind w:left="113" w:right="113"/>
              <w:jc w:val="center"/>
              <w:rPr>
                <w:b/>
                <w:bCs/>
                <w:color w:val="008768" w:themeColor="accent1"/>
              </w:rPr>
            </w:pPr>
            <w:r w:rsidRPr="005A528C">
              <w:rPr>
                <w:b/>
                <w:bCs/>
                <w:color w:val="008768" w:themeColor="accent1"/>
              </w:rPr>
              <w:t>Likelihood</w:t>
            </w:r>
          </w:p>
        </w:tc>
        <w:tc>
          <w:tcPr>
            <w:tcW w:w="1616" w:type="dxa"/>
            <w:tcBorders>
              <w:top w:val="nil"/>
            </w:tcBorders>
          </w:tcPr>
          <w:p w14:paraId="25925A35" w14:textId="77777777" w:rsidR="0017593E" w:rsidRPr="005A528C" w:rsidRDefault="0017593E">
            <w:pPr>
              <w:pStyle w:val="Tabletext"/>
              <w:jc w:val="left"/>
              <w:rPr>
                <w:b/>
                <w:bCs/>
                <w:color w:val="008768" w:themeColor="accent1"/>
              </w:rPr>
            </w:pPr>
            <w:r w:rsidRPr="005A528C">
              <w:rPr>
                <w:b/>
                <w:bCs/>
                <w:color w:val="008768" w:themeColor="accent1"/>
              </w:rPr>
              <w:t>Rare</w:t>
            </w:r>
          </w:p>
        </w:tc>
        <w:tc>
          <w:tcPr>
            <w:tcW w:w="1459" w:type="dxa"/>
            <w:vAlign w:val="center"/>
          </w:tcPr>
          <w:p w14:paraId="7A9B632A" w14:textId="77777777" w:rsidR="0017593E" w:rsidRPr="00CE4840" w:rsidRDefault="0017593E">
            <w:pPr>
              <w:pStyle w:val="Tabletext"/>
              <w:jc w:val="center"/>
            </w:pPr>
            <w:r>
              <w:t>Low (NS)</w:t>
            </w:r>
          </w:p>
        </w:tc>
        <w:tc>
          <w:tcPr>
            <w:tcW w:w="1459" w:type="dxa"/>
          </w:tcPr>
          <w:p w14:paraId="36384023" w14:textId="77777777" w:rsidR="0017593E" w:rsidRPr="00CE4840" w:rsidRDefault="0017593E">
            <w:pPr>
              <w:pStyle w:val="Tabletext"/>
              <w:jc w:val="center"/>
            </w:pPr>
            <w:r w:rsidRPr="003D2090">
              <w:t>Low (NS)</w:t>
            </w:r>
          </w:p>
        </w:tc>
        <w:tc>
          <w:tcPr>
            <w:tcW w:w="1459" w:type="dxa"/>
          </w:tcPr>
          <w:p w14:paraId="27015E8D" w14:textId="77777777" w:rsidR="0017593E" w:rsidRPr="00CE4840" w:rsidRDefault="0017593E">
            <w:pPr>
              <w:pStyle w:val="Tabletext"/>
              <w:jc w:val="center"/>
            </w:pPr>
            <w:r w:rsidRPr="00151730">
              <w:t>Medium (NS)</w:t>
            </w:r>
          </w:p>
        </w:tc>
        <w:tc>
          <w:tcPr>
            <w:tcW w:w="1459" w:type="dxa"/>
            <w:vAlign w:val="center"/>
          </w:tcPr>
          <w:p w14:paraId="7A9506E9" w14:textId="77777777" w:rsidR="0017593E" w:rsidRPr="00CE4840" w:rsidRDefault="0017593E">
            <w:pPr>
              <w:pStyle w:val="Tabletext"/>
              <w:jc w:val="center"/>
            </w:pPr>
            <w:r>
              <w:t>High (S)</w:t>
            </w:r>
          </w:p>
        </w:tc>
        <w:tc>
          <w:tcPr>
            <w:tcW w:w="1459" w:type="dxa"/>
          </w:tcPr>
          <w:p w14:paraId="4237019F" w14:textId="77777777" w:rsidR="0017593E" w:rsidRPr="00CE4840" w:rsidRDefault="0017593E">
            <w:pPr>
              <w:pStyle w:val="Tabletext"/>
              <w:jc w:val="center"/>
            </w:pPr>
            <w:r w:rsidRPr="002D3146">
              <w:t>Extreme (S)</w:t>
            </w:r>
          </w:p>
        </w:tc>
      </w:tr>
      <w:tr w:rsidR="0017593E" w:rsidRPr="00CE4840" w14:paraId="6B0F78EC" w14:textId="77777777" w:rsidTr="001D2B39">
        <w:trPr>
          <w:trHeight w:val="245"/>
        </w:trPr>
        <w:tc>
          <w:tcPr>
            <w:tcW w:w="443" w:type="dxa"/>
            <w:vMerge/>
            <w:tcBorders>
              <w:top w:val="single" w:sz="4" w:space="0" w:color="auto"/>
              <w:bottom w:val="nil"/>
            </w:tcBorders>
          </w:tcPr>
          <w:p w14:paraId="3E14EA05" w14:textId="77777777" w:rsidR="0017593E" w:rsidRPr="005A528C" w:rsidRDefault="0017593E">
            <w:pPr>
              <w:pStyle w:val="Tabletext"/>
              <w:jc w:val="left"/>
              <w:rPr>
                <w:b/>
                <w:bCs/>
                <w:color w:val="008768" w:themeColor="accent1"/>
              </w:rPr>
            </w:pPr>
          </w:p>
        </w:tc>
        <w:tc>
          <w:tcPr>
            <w:tcW w:w="1616" w:type="dxa"/>
          </w:tcPr>
          <w:p w14:paraId="43628ADF" w14:textId="77777777" w:rsidR="0017593E" w:rsidRPr="005A528C" w:rsidRDefault="0017593E">
            <w:pPr>
              <w:pStyle w:val="Tabletext"/>
              <w:jc w:val="left"/>
              <w:rPr>
                <w:b/>
                <w:bCs/>
                <w:color w:val="008768" w:themeColor="accent1"/>
              </w:rPr>
            </w:pPr>
            <w:r w:rsidRPr="005A528C">
              <w:rPr>
                <w:b/>
                <w:bCs/>
                <w:color w:val="008768" w:themeColor="accent1"/>
              </w:rPr>
              <w:t>Unlikely</w:t>
            </w:r>
          </w:p>
        </w:tc>
        <w:tc>
          <w:tcPr>
            <w:tcW w:w="1459" w:type="dxa"/>
          </w:tcPr>
          <w:p w14:paraId="36766AAC" w14:textId="77777777" w:rsidR="0017593E" w:rsidRDefault="0017593E">
            <w:pPr>
              <w:pStyle w:val="Tabletext"/>
              <w:jc w:val="center"/>
            </w:pPr>
            <w:r w:rsidRPr="009E5450">
              <w:t>Low (NS)</w:t>
            </w:r>
          </w:p>
        </w:tc>
        <w:tc>
          <w:tcPr>
            <w:tcW w:w="1459" w:type="dxa"/>
          </w:tcPr>
          <w:p w14:paraId="77E72445" w14:textId="77777777" w:rsidR="0017593E" w:rsidRDefault="0017593E">
            <w:pPr>
              <w:pStyle w:val="Tabletext"/>
              <w:jc w:val="center"/>
            </w:pPr>
            <w:r w:rsidRPr="003D2090">
              <w:t>Low (NS)</w:t>
            </w:r>
          </w:p>
        </w:tc>
        <w:tc>
          <w:tcPr>
            <w:tcW w:w="1459" w:type="dxa"/>
          </w:tcPr>
          <w:p w14:paraId="79675875" w14:textId="77777777" w:rsidR="0017593E" w:rsidRDefault="0017593E">
            <w:pPr>
              <w:pStyle w:val="Tabletext"/>
              <w:jc w:val="center"/>
            </w:pPr>
            <w:r w:rsidRPr="00151730">
              <w:t>Medium (NS)</w:t>
            </w:r>
          </w:p>
        </w:tc>
        <w:tc>
          <w:tcPr>
            <w:tcW w:w="1459" w:type="dxa"/>
            <w:vAlign w:val="center"/>
          </w:tcPr>
          <w:p w14:paraId="0CB98834" w14:textId="77777777" w:rsidR="0017593E" w:rsidRDefault="0017593E">
            <w:pPr>
              <w:pStyle w:val="Tabletext"/>
              <w:jc w:val="center"/>
            </w:pPr>
            <w:r>
              <w:t>High (S)</w:t>
            </w:r>
          </w:p>
        </w:tc>
        <w:tc>
          <w:tcPr>
            <w:tcW w:w="1459" w:type="dxa"/>
          </w:tcPr>
          <w:p w14:paraId="44AAE491" w14:textId="77777777" w:rsidR="0017593E" w:rsidRDefault="0017593E">
            <w:pPr>
              <w:pStyle w:val="Tabletext"/>
              <w:jc w:val="center"/>
            </w:pPr>
            <w:r w:rsidRPr="002D3146">
              <w:t>Extreme (S)</w:t>
            </w:r>
          </w:p>
        </w:tc>
      </w:tr>
      <w:tr w:rsidR="0017593E" w:rsidRPr="00CE4840" w14:paraId="675C3551" w14:textId="77777777" w:rsidTr="001D2B39">
        <w:trPr>
          <w:trHeight w:val="245"/>
        </w:trPr>
        <w:tc>
          <w:tcPr>
            <w:tcW w:w="443" w:type="dxa"/>
            <w:vMerge/>
            <w:tcBorders>
              <w:top w:val="single" w:sz="4" w:space="0" w:color="auto"/>
              <w:bottom w:val="nil"/>
            </w:tcBorders>
          </w:tcPr>
          <w:p w14:paraId="4B9EE54D" w14:textId="77777777" w:rsidR="0017593E" w:rsidRPr="005A528C" w:rsidRDefault="0017593E">
            <w:pPr>
              <w:pStyle w:val="Tabletext"/>
              <w:jc w:val="left"/>
              <w:rPr>
                <w:b/>
                <w:bCs/>
                <w:color w:val="008768" w:themeColor="accent1"/>
              </w:rPr>
            </w:pPr>
          </w:p>
        </w:tc>
        <w:tc>
          <w:tcPr>
            <w:tcW w:w="1616" w:type="dxa"/>
          </w:tcPr>
          <w:p w14:paraId="29CFA6A5" w14:textId="77777777" w:rsidR="0017593E" w:rsidRPr="005A528C" w:rsidRDefault="0017593E">
            <w:pPr>
              <w:pStyle w:val="Tabletext"/>
              <w:jc w:val="left"/>
              <w:rPr>
                <w:b/>
                <w:bCs/>
                <w:color w:val="008768" w:themeColor="accent1"/>
              </w:rPr>
            </w:pPr>
            <w:r w:rsidRPr="005A528C">
              <w:rPr>
                <w:b/>
                <w:bCs/>
                <w:color w:val="008768" w:themeColor="accent1"/>
              </w:rPr>
              <w:t>Moderate</w:t>
            </w:r>
          </w:p>
        </w:tc>
        <w:tc>
          <w:tcPr>
            <w:tcW w:w="1459" w:type="dxa"/>
          </w:tcPr>
          <w:p w14:paraId="1E38E275" w14:textId="77777777" w:rsidR="0017593E" w:rsidRDefault="0017593E">
            <w:pPr>
              <w:pStyle w:val="Tabletext"/>
              <w:jc w:val="center"/>
            </w:pPr>
            <w:r w:rsidRPr="009E5450">
              <w:t>Low (NS)</w:t>
            </w:r>
          </w:p>
        </w:tc>
        <w:tc>
          <w:tcPr>
            <w:tcW w:w="1459" w:type="dxa"/>
            <w:vAlign w:val="center"/>
          </w:tcPr>
          <w:p w14:paraId="0754662B" w14:textId="77777777" w:rsidR="0017593E" w:rsidRDefault="0017593E">
            <w:pPr>
              <w:pStyle w:val="Tabletext"/>
              <w:jc w:val="center"/>
            </w:pPr>
            <w:r>
              <w:t>Medium (NS)</w:t>
            </w:r>
          </w:p>
        </w:tc>
        <w:tc>
          <w:tcPr>
            <w:tcW w:w="1459" w:type="dxa"/>
            <w:vAlign w:val="center"/>
          </w:tcPr>
          <w:p w14:paraId="4BE033EC" w14:textId="77777777" w:rsidR="0017593E" w:rsidRDefault="0017593E">
            <w:pPr>
              <w:pStyle w:val="Tabletext"/>
              <w:jc w:val="center"/>
            </w:pPr>
            <w:r>
              <w:t>High (S)</w:t>
            </w:r>
          </w:p>
        </w:tc>
        <w:tc>
          <w:tcPr>
            <w:tcW w:w="1459" w:type="dxa"/>
          </w:tcPr>
          <w:p w14:paraId="7334B654" w14:textId="77777777" w:rsidR="0017593E" w:rsidRDefault="0017593E">
            <w:pPr>
              <w:pStyle w:val="Tabletext"/>
              <w:jc w:val="center"/>
            </w:pPr>
            <w:r w:rsidRPr="00F56002">
              <w:t>Extreme (S)</w:t>
            </w:r>
          </w:p>
        </w:tc>
        <w:tc>
          <w:tcPr>
            <w:tcW w:w="1459" w:type="dxa"/>
          </w:tcPr>
          <w:p w14:paraId="4843AD4D" w14:textId="77777777" w:rsidR="0017593E" w:rsidRDefault="0017593E">
            <w:pPr>
              <w:pStyle w:val="Tabletext"/>
              <w:jc w:val="center"/>
            </w:pPr>
            <w:r w:rsidRPr="00F56002">
              <w:t>Extreme (S)</w:t>
            </w:r>
          </w:p>
        </w:tc>
      </w:tr>
      <w:tr w:rsidR="0017593E" w:rsidRPr="00CE4840" w14:paraId="3969B952" w14:textId="77777777" w:rsidTr="001D2B39">
        <w:trPr>
          <w:trHeight w:val="245"/>
        </w:trPr>
        <w:tc>
          <w:tcPr>
            <w:tcW w:w="443" w:type="dxa"/>
            <w:vMerge/>
            <w:tcBorders>
              <w:top w:val="single" w:sz="4" w:space="0" w:color="auto"/>
              <w:bottom w:val="nil"/>
            </w:tcBorders>
          </w:tcPr>
          <w:p w14:paraId="5776562A" w14:textId="77777777" w:rsidR="0017593E" w:rsidRPr="005A528C" w:rsidRDefault="0017593E">
            <w:pPr>
              <w:pStyle w:val="Tabletext"/>
              <w:jc w:val="left"/>
              <w:rPr>
                <w:b/>
                <w:bCs/>
                <w:color w:val="008768" w:themeColor="accent1"/>
              </w:rPr>
            </w:pPr>
          </w:p>
        </w:tc>
        <w:tc>
          <w:tcPr>
            <w:tcW w:w="1616" w:type="dxa"/>
          </w:tcPr>
          <w:p w14:paraId="71D47F1E" w14:textId="77777777" w:rsidR="0017593E" w:rsidRPr="005A528C" w:rsidRDefault="0017593E">
            <w:pPr>
              <w:pStyle w:val="Tabletext"/>
              <w:jc w:val="left"/>
              <w:rPr>
                <w:b/>
                <w:bCs/>
                <w:color w:val="008768" w:themeColor="accent1"/>
              </w:rPr>
            </w:pPr>
            <w:r w:rsidRPr="005A528C">
              <w:rPr>
                <w:b/>
                <w:bCs/>
                <w:color w:val="008768" w:themeColor="accent1"/>
              </w:rPr>
              <w:t>Likely</w:t>
            </w:r>
          </w:p>
        </w:tc>
        <w:tc>
          <w:tcPr>
            <w:tcW w:w="1459" w:type="dxa"/>
            <w:vAlign w:val="center"/>
          </w:tcPr>
          <w:p w14:paraId="001D9764" w14:textId="77777777" w:rsidR="0017593E" w:rsidRDefault="0017593E">
            <w:pPr>
              <w:pStyle w:val="Tabletext"/>
              <w:jc w:val="center"/>
            </w:pPr>
            <w:r>
              <w:t>Medium (NS)</w:t>
            </w:r>
          </w:p>
        </w:tc>
        <w:tc>
          <w:tcPr>
            <w:tcW w:w="1459" w:type="dxa"/>
            <w:vAlign w:val="center"/>
          </w:tcPr>
          <w:p w14:paraId="0A45839D" w14:textId="77777777" w:rsidR="0017593E" w:rsidRDefault="0017593E">
            <w:pPr>
              <w:pStyle w:val="Tabletext"/>
              <w:jc w:val="center"/>
            </w:pPr>
            <w:r>
              <w:t>High (S)</w:t>
            </w:r>
          </w:p>
        </w:tc>
        <w:tc>
          <w:tcPr>
            <w:tcW w:w="1459" w:type="dxa"/>
            <w:vAlign w:val="center"/>
          </w:tcPr>
          <w:p w14:paraId="27D6DEED" w14:textId="77777777" w:rsidR="0017593E" w:rsidRDefault="0017593E">
            <w:pPr>
              <w:pStyle w:val="Tabletext"/>
              <w:jc w:val="center"/>
            </w:pPr>
            <w:r>
              <w:t>High (S)</w:t>
            </w:r>
          </w:p>
        </w:tc>
        <w:tc>
          <w:tcPr>
            <w:tcW w:w="1459" w:type="dxa"/>
          </w:tcPr>
          <w:p w14:paraId="7932F77C" w14:textId="77777777" w:rsidR="0017593E" w:rsidRDefault="0017593E">
            <w:pPr>
              <w:pStyle w:val="Tabletext"/>
              <w:jc w:val="center"/>
            </w:pPr>
            <w:r w:rsidRPr="00E45D20">
              <w:t>Extreme (S)</w:t>
            </w:r>
          </w:p>
        </w:tc>
        <w:tc>
          <w:tcPr>
            <w:tcW w:w="1459" w:type="dxa"/>
          </w:tcPr>
          <w:p w14:paraId="334D595B" w14:textId="77777777" w:rsidR="0017593E" w:rsidRDefault="0017593E">
            <w:pPr>
              <w:pStyle w:val="Tabletext"/>
              <w:jc w:val="center"/>
            </w:pPr>
            <w:r w:rsidRPr="00E45D20">
              <w:t>Extreme (S)</w:t>
            </w:r>
          </w:p>
        </w:tc>
      </w:tr>
      <w:tr w:rsidR="0017593E" w:rsidRPr="00CE4840" w14:paraId="6EA16862" w14:textId="77777777" w:rsidTr="001D2B39">
        <w:trPr>
          <w:trHeight w:val="245"/>
        </w:trPr>
        <w:tc>
          <w:tcPr>
            <w:tcW w:w="443" w:type="dxa"/>
            <w:vMerge/>
            <w:tcBorders>
              <w:top w:val="single" w:sz="4" w:space="0" w:color="auto"/>
              <w:bottom w:val="nil"/>
            </w:tcBorders>
          </w:tcPr>
          <w:p w14:paraId="27F760A6" w14:textId="77777777" w:rsidR="0017593E" w:rsidRPr="005A528C" w:rsidRDefault="0017593E">
            <w:pPr>
              <w:pStyle w:val="Tabletext"/>
              <w:jc w:val="left"/>
              <w:rPr>
                <w:b/>
                <w:bCs/>
                <w:color w:val="008768" w:themeColor="accent1"/>
              </w:rPr>
            </w:pPr>
          </w:p>
        </w:tc>
        <w:tc>
          <w:tcPr>
            <w:tcW w:w="1616" w:type="dxa"/>
          </w:tcPr>
          <w:p w14:paraId="58437C52" w14:textId="77777777" w:rsidR="0017593E" w:rsidRPr="005A528C" w:rsidRDefault="0017593E">
            <w:pPr>
              <w:pStyle w:val="Tabletext"/>
              <w:jc w:val="left"/>
              <w:rPr>
                <w:b/>
                <w:bCs/>
                <w:color w:val="008768" w:themeColor="accent1"/>
              </w:rPr>
            </w:pPr>
            <w:r w:rsidRPr="005A528C">
              <w:rPr>
                <w:b/>
                <w:bCs/>
                <w:color w:val="008768" w:themeColor="accent1"/>
              </w:rPr>
              <w:t>Almost certain</w:t>
            </w:r>
          </w:p>
        </w:tc>
        <w:tc>
          <w:tcPr>
            <w:tcW w:w="1459" w:type="dxa"/>
            <w:vAlign w:val="center"/>
          </w:tcPr>
          <w:p w14:paraId="30054296" w14:textId="77777777" w:rsidR="0017593E" w:rsidRDefault="0017593E">
            <w:pPr>
              <w:pStyle w:val="Tabletext"/>
              <w:jc w:val="center"/>
            </w:pPr>
            <w:r>
              <w:t>High (S)</w:t>
            </w:r>
          </w:p>
        </w:tc>
        <w:tc>
          <w:tcPr>
            <w:tcW w:w="1459" w:type="dxa"/>
            <w:vAlign w:val="center"/>
          </w:tcPr>
          <w:p w14:paraId="54D84471" w14:textId="77777777" w:rsidR="0017593E" w:rsidRDefault="0017593E">
            <w:pPr>
              <w:pStyle w:val="Tabletext"/>
              <w:jc w:val="center"/>
            </w:pPr>
            <w:r>
              <w:t>High (S)</w:t>
            </w:r>
          </w:p>
        </w:tc>
        <w:tc>
          <w:tcPr>
            <w:tcW w:w="1459" w:type="dxa"/>
            <w:vAlign w:val="center"/>
          </w:tcPr>
          <w:p w14:paraId="07C675A0" w14:textId="77777777" w:rsidR="0017593E" w:rsidRDefault="0017593E">
            <w:pPr>
              <w:pStyle w:val="Tabletext"/>
              <w:jc w:val="center"/>
            </w:pPr>
            <w:r>
              <w:t>Extreme (S)</w:t>
            </w:r>
          </w:p>
        </w:tc>
        <w:tc>
          <w:tcPr>
            <w:tcW w:w="1459" w:type="dxa"/>
          </w:tcPr>
          <w:p w14:paraId="639B350B" w14:textId="77777777" w:rsidR="0017593E" w:rsidRDefault="0017593E">
            <w:pPr>
              <w:pStyle w:val="Tabletext"/>
              <w:jc w:val="center"/>
            </w:pPr>
            <w:r w:rsidRPr="00E45D20">
              <w:t>Extreme (S)</w:t>
            </w:r>
          </w:p>
        </w:tc>
        <w:tc>
          <w:tcPr>
            <w:tcW w:w="1459" w:type="dxa"/>
          </w:tcPr>
          <w:p w14:paraId="544ED07F" w14:textId="77777777" w:rsidR="0017593E" w:rsidRDefault="0017593E">
            <w:pPr>
              <w:pStyle w:val="Tabletext"/>
              <w:jc w:val="center"/>
            </w:pPr>
            <w:r w:rsidRPr="00E45D20">
              <w:t>Extreme (S)</w:t>
            </w:r>
          </w:p>
        </w:tc>
      </w:tr>
      <w:tr w:rsidR="001D2B39" w:rsidRPr="00CE4840" w14:paraId="675EFCD6" w14:textId="77777777" w:rsidTr="00AC2C2F">
        <w:trPr>
          <w:trHeight w:val="245"/>
        </w:trPr>
        <w:tc>
          <w:tcPr>
            <w:tcW w:w="443" w:type="dxa"/>
            <w:tcBorders>
              <w:top w:val="nil"/>
            </w:tcBorders>
          </w:tcPr>
          <w:p w14:paraId="412E660C" w14:textId="77777777" w:rsidR="001D2B39" w:rsidRDefault="001D2B39">
            <w:pPr>
              <w:pStyle w:val="Tabletext"/>
              <w:jc w:val="left"/>
            </w:pPr>
          </w:p>
        </w:tc>
        <w:tc>
          <w:tcPr>
            <w:tcW w:w="4534" w:type="dxa"/>
            <w:gridSpan w:val="3"/>
            <w:vAlign w:val="center"/>
          </w:tcPr>
          <w:p w14:paraId="2748504F" w14:textId="77777777" w:rsidR="001D2B39" w:rsidRDefault="001D2B39" w:rsidP="00A7414A">
            <w:pPr>
              <w:pStyle w:val="Tabletext"/>
              <w:jc w:val="left"/>
              <w:rPr>
                <w:i/>
                <w:iCs/>
              </w:rPr>
            </w:pPr>
            <w:r w:rsidRPr="00243AFA">
              <w:rPr>
                <w:i/>
                <w:iCs/>
              </w:rPr>
              <w:t xml:space="preserve">Source: </w:t>
            </w:r>
            <w:r>
              <w:rPr>
                <w:i/>
                <w:iCs/>
              </w:rPr>
              <w:t>European Commission (2021d)</w:t>
            </w:r>
          </w:p>
          <w:p w14:paraId="1F5F165A" w14:textId="7AE402B9" w:rsidR="006D1C44" w:rsidRDefault="006D1C44" w:rsidP="006D1C44">
            <w:pPr>
              <w:pStyle w:val="Tabletext"/>
              <w:jc w:val="left"/>
            </w:pPr>
            <w:r w:rsidRPr="004F04CB">
              <w:rPr>
                <w:i/>
                <w:iCs/>
              </w:rPr>
              <w:t>S = Significant, NS = Not Significant</w:t>
            </w:r>
          </w:p>
        </w:tc>
        <w:tc>
          <w:tcPr>
            <w:tcW w:w="1459" w:type="dxa"/>
            <w:vAlign w:val="center"/>
          </w:tcPr>
          <w:p w14:paraId="1DE93DD5" w14:textId="77777777" w:rsidR="001D2B39" w:rsidRDefault="001D2B39">
            <w:pPr>
              <w:pStyle w:val="Tabletext"/>
              <w:jc w:val="center"/>
            </w:pPr>
          </w:p>
        </w:tc>
        <w:tc>
          <w:tcPr>
            <w:tcW w:w="1459" w:type="dxa"/>
            <w:vAlign w:val="center"/>
          </w:tcPr>
          <w:p w14:paraId="17F5E4A1" w14:textId="77777777" w:rsidR="001D2B39" w:rsidRDefault="001D2B39">
            <w:pPr>
              <w:pStyle w:val="Tabletext"/>
              <w:jc w:val="center"/>
            </w:pPr>
          </w:p>
        </w:tc>
        <w:tc>
          <w:tcPr>
            <w:tcW w:w="1459" w:type="dxa"/>
            <w:vAlign w:val="center"/>
          </w:tcPr>
          <w:p w14:paraId="4F50BC92" w14:textId="77777777" w:rsidR="001D2B39" w:rsidRDefault="001D2B39">
            <w:pPr>
              <w:pStyle w:val="Tabletext"/>
              <w:jc w:val="center"/>
            </w:pPr>
          </w:p>
        </w:tc>
      </w:tr>
    </w:tbl>
    <w:p w14:paraId="2B8CF8C2" w14:textId="77777777" w:rsidR="00DD621C" w:rsidRDefault="00DD621C" w:rsidP="00DD621C">
      <w:pPr>
        <w:pStyle w:val="Heading3"/>
      </w:pPr>
      <w:bookmarkStart w:id="94" w:name="_Ref239771978"/>
      <w:bookmarkStart w:id="95" w:name="_Toc239776188"/>
      <w:r w:rsidRPr="00DD621C">
        <w:lastRenderedPageBreak/>
        <w:t>In-Combination Climate Change Impact Assessment</w:t>
      </w:r>
      <w:bookmarkEnd w:id="94"/>
      <w:bookmarkEnd w:id="95"/>
    </w:p>
    <w:p w14:paraId="5CFA13E7" w14:textId="5ED5DCDD" w:rsidR="00D21586" w:rsidRDefault="00D21586" w:rsidP="00D21586">
      <w:pPr>
        <w:pStyle w:val="BodyText"/>
      </w:pPr>
      <w:r>
        <w:t>T</w:t>
      </w:r>
      <w:r w:rsidRPr="00CA1847">
        <w:t xml:space="preserve">he purpose of the ICCI Assessment is to identify any impacts on receptors in the surrounding environment and communities that occurs </w:t>
      </w:r>
      <w:r w:rsidR="00616FC0">
        <w:t>due to</w:t>
      </w:r>
      <w:r w:rsidRPr="00CA1847">
        <w:t xml:space="preserve"> the combined impacts of climate change and the construction and operation of the Proposed Development.</w:t>
      </w:r>
    </w:p>
    <w:p w14:paraId="00DA63A2" w14:textId="77777777" w:rsidR="00D21586" w:rsidRDefault="00D21586" w:rsidP="00D21586">
      <w:pPr>
        <w:pStyle w:val="BodyText"/>
      </w:pPr>
      <w:r>
        <w:t xml:space="preserve">The assessment considers the existing and projected future climate conditions for the geographical location and assessment timeframe. It also identifies the extent to which identified receptors in the surrounding environment are potentially vulnerable to and affected by these factors. </w:t>
      </w:r>
    </w:p>
    <w:p w14:paraId="552CF8BF" w14:textId="66913A18" w:rsidR="00D21586" w:rsidRDefault="00D21586" w:rsidP="00D21586">
      <w:pPr>
        <w:pStyle w:val="BodyText"/>
      </w:pPr>
      <w:r>
        <w:t>The methodology for the ICCI assessment follows the methodology as the CCRA</w:t>
      </w:r>
      <w:r w:rsidR="00090F86">
        <w:t>,</w:t>
      </w:r>
      <w:r>
        <w:t xml:space="preserve"> but focuses on different receptors as identified by other discipline chapters</w:t>
      </w:r>
      <w:r w:rsidR="00090F86">
        <w:t xml:space="preserve"> as reported within this EIAR</w:t>
      </w:r>
      <w:r>
        <w:t xml:space="preserve">. </w:t>
      </w:r>
    </w:p>
    <w:p w14:paraId="394F8863" w14:textId="66F62946" w:rsidR="00D21586" w:rsidRDefault="00D21586" w:rsidP="00D21586">
      <w:pPr>
        <w:pStyle w:val="BodyText"/>
      </w:pPr>
      <w:r>
        <w:t xml:space="preserve">The receptors for </w:t>
      </w:r>
      <w:r w:rsidR="00090F86">
        <w:t xml:space="preserve">the </w:t>
      </w:r>
      <w:r>
        <w:t xml:space="preserve">ICCI are receptors within the surrounding environment that will be impacted by the Proposed Development in combination with future climatic conditions. Baseline conditions for the ICCI assessment </w:t>
      </w:r>
      <w:r w:rsidR="005C31D4">
        <w:t xml:space="preserve">have been </w:t>
      </w:r>
      <w:r>
        <w:t xml:space="preserve">determined using the climate change projections data from Met Éireann. </w:t>
      </w:r>
    </w:p>
    <w:p w14:paraId="3B300A78" w14:textId="082D8B54" w:rsidR="00D21586" w:rsidRPr="008928B6" w:rsidRDefault="00D21586" w:rsidP="00D21586">
      <w:pPr>
        <w:pStyle w:val="BodyText"/>
        <w:rPr>
          <w:color w:val="000000" w:themeColor="text1"/>
          <w:lang w:val="en-IE"/>
        </w:rPr>
      </w:pPr>
      <w:r>
        <w:t>Once potential ICCIs have been identified in relation to the Proposed Development, the likelihood of climate impacts occurring during construction</w:t>
      </w:r>
      <w:r w:rsidR="005C31D4">
        <w:t xml:space="preserve"> and </w:t>
      </w:r>
      <w:r>
        <w:t xml:space="preserve">operation phases </w:t>
      </w:r>
      <w:r w:rsidR="00C5260E">
        <w:t>have</w:t>
      </w:r>
      <w:r w:rsidR="005C31D4">
        <w:t xml:space="preserve"> been </w:t>
      </w:r>
      <w:r>
        <w:t xml:space="preserve">categorised using the likelihood analysis outlined </w:t>
      </w:r>
      <w:r w:rsidRPr="008928B6">
        <w:rPr>
          <w:color w:val="000000" w:themeColor="text1"/>
          <w:lang w:val="en-IE"/>
        </w:rPr>
        <w:t xml:space="preserve">in </w:t>
      </w:r>
      <w:r w:rsidR="00B953D5" w:rsidRPr="008928B6">
        <w:rPr>
          <w:color w:val="000000" w:themeColor="text1"/>
          <w:lang w:val="en-IE"/>
        </w:rPr>
        <w:fldChar w:fldCharType="begin"/>
      </w:r>
      <w:r w:rsidR="00B953D5" w:rsidRPr="008928B6">
        <w:rPr>
          <w:color w:val="000000" w:themeColor="text1"/>
          <w:lang w:val="en-IE"/>
        </w:rPr>
        <w:instrText xml:space="preserve"> REF _Ref214371353 \h </w:instrText>
      </w:r>
      <w:r w:rsidR="002C00FC" w:rsidRPr="008928B6">
        <w:rPr>
          <w:color w:val="000000" w:themeColor="text1"/>
          <w:lang w:val="en-IE"/>
        </w:rPr>
        <w:instrText xml:space="preserve"> \* MERGEFORMAT </w:instrText>
      </w:r>
      <w:r w:rsidR="00B953D5" w:rsidRPr="00511353">
        <w:rPr>
          <w:color w:val="000000" w:themeColor="text1"/>
          <w:lang w:val="en-IE"/>
        </w:rPr>
      </w:r>
      <w:r w:rsidR="00B953D5" w:rsidRPr="008928B6">
        <w:rPr>
          <w:color w:val="000000" w:themeColor="text1"/>
          <w:lang w:val="en-IE"/>
        </w:rPr>
        <w:fldChar w:fldCharType="separate"/>
      </w:r>
      <w:r w:rsidR="00D83C6F" w:rsidRPr="005049F3">
        <w:rPr>
          <w:color w:val="000000" w:themeColor="text1"/>
          <w:lang w:val="en-IE"/>
        </w:rPr>
        <w:t>Table 10</w:t>
      </w:r>
      <w:r w:rsidR="00D83C6F" w:rsidRPr="005049F3">
        <w:rPr>
          <w:color w:val="000000" w:themeColor="text1"/>
          <w:lang w:val="en-IE"/>
        </w:rPr>
        <w:noBreakHyphen/>
        <w:t>9</w:t>
      </w:r>
      <w:r w:rsidR="00B953D5" w:rsidRPr="008928B6">
        <w:rPr>
          <w:color w:val="000000" w:themeColor="text1"/>
          <w:lang w:val="en-IE"/>
        </w:rPr>
        <w:fldChar w:fldCharType="end"/>
      </w:r>
      <w:r w:rsidR="00B953D5" w:rsidRPr="008928B6">
        <w:rPr>
          <w:color w:val="000000" w:themeColor="text1"/>
          <w:lang w:val="en-IE"/>
        </w:rPr>
        <w:t xml:space="preserve">. </w:t>
      </w:r>
      <w:r w:rsidRPr="008928B6">
        <w:rPr>
          <w:color w:val="000000" w:themeColor="text1"/>
          <w:lang w:val="en-IE"/>
        </w:rPr>
        <w:t xml:space="preserve">This includes consideration of any embedded mitigation measures and good practice. Following this, the ICCI consequence level </w:t>
      </w:r>
      <w:r w:rsidR="005C31D4">
        <w:rPr>
          <w:color w:val="000000" w:themeColor="text1"/>
          <w:lang w:val="en-IE"/>
        </w:rPr>
        <w:t xml:space="preserve">has been </w:t>
      </w:r>
      <w:r w:rsidRPr="008928B6">
        <w:rPr>
          <w:color w:val="000000" w:themeColor="text1"/>
          <w:lang w:val="en-IE"/>
        </w:rPr>
        <w:t xml:space="preserve">assessed based on the consequence analysis outlined in </w:t>
      </w:r>
      <w:r w:rsidR="00B953D5" w:rsidRPr="008928B6">
        <w:rPr>
          <w:color w:val="000000" w:themeColor="text1"/>
          <w:lang w:val="en-IE"/>
        </w:rPr>
        <w:fldChar w:fldCharType="begin"/>
      </w:r>
      <w:r w:rsidR="00B953D5" w:rsidRPr="008928B6">
        <w:rPr>
          <w:color w:val="000000" w:themeColor="text1"/>
          <w:lang w:val="en-IE"/>
        </w:rPr>
        <w:instrText xml:space="preserve"> REF _Ref214371358 \h </w:instrText>
      </w:r>
      <w:r w:rsidR="002C00FC" w:rsidRPr="008928B6">
        <w:rPr>
          <w:color w:val="000000" w:themeColor="text1"/>
          <w:lang w:val="en-IE"/>
        </w:rPr>
        <w:instrText xml:space="preserve"> \* MERGEFORMAT </w:instrText>
      </w:r>
      <w:r w:rsidR="00B953D5" w:rsidRPr="00511353">
        <w:rPr>
          <w:color w:val="000000" w:themeColor="text1"/>
          <w:lang w:val="en-IE"/>
        </w:rPr>
      </w:r>
      <w:r w:rsidR="00B953D5" w:rsidRPr="008928B6">
        <w:rPr>
          <w:color w:val="000000" w:themeColor="text1"/>
          <w:lang w:val="en-IE"/>
        </w:rPr>
        <w:fldChar w:fldCharType="separate"/>
      </w:r>
      <w:r w:rsidR="00D83C6F" w:rsidRPr="005049F3">
        <w:rPr>
          <w:color w:val="000000" w:themeColor="text1"/>
          <w:lang w:val="en-IE"/>
        </w:rPr>
        <w:t>Table 10</w:t>
      </w:r>
      <w:r w:rsidR="00D83C6F" w:rsidRPr="005049F3">
        <w:rPr>
          <w:color w:val="000000" w:themeColor="text1"/>
          <w:lang w:val="en-IE"/>
        </w:rPr>
        <w:noBreakHyphen/>
        <w:t>10</w:t>
      </w:r>
      <w:r w:rsidR="00B953D5" w:rsidRPr="008928B6">
        <w:rPr>
          <w:color w:val="000000" w:themeColor="text1"/>
          <w:lang w:val="en-IE"/>
        </w:rPr>
        <w:fldChar w:fldCharType="end"/>
      </w:r>
      <w:r w:rsidRPr="008928B6">
        <w:rPr>
          <w:color w:val="000000" w:themeColor="text1"/>
          <w:lang w:val="en-IE"/>
        </w:rPr>
        <w:t>.</w:t>
      </w:r>
    </w:p>
    <w:p w14:paraId="3AAE2393" w14:textId="5646CCBD" w:rsidR="00BE0E0B" w:rsidRPr="00CB4CA8" w:rsidRDefault="00BE0E0B" w:rsidP="00A7414A">
      <w:pPr>
        <w:pStyle w:val="Caption"/>
      </w:pPr>
      <w:bookmarkStart w:id="96" w:name="_Ref214371353"/>
      <w:bookmarkStart w:id="97" w:name="_Toc216107534"/>
      <w:bookmarkStart w:id="98" w:name="_Toc238199684"/>
      <w:r w:rsidRPr="001712FE">
        <w:t xml:space="preserve">Table </w:t>
      </w:r>
      <w:r w:rsidR="00BE5583" w:rsidRPr="00CB4CA8">
        <w:fldChar w:fldCharType="begin"/>
      </w:r>
      <w:r w:rsidR="00BE5583">
        <w:instrText xml:space="preserve"> STYLEREF 1 \s </w:instrText>
      </w:r>
      <w:r w:rsidR="00BE5583" w:rsidRPr="00CB4CA8">
        <w:fldChar w:fldCharType="separate"/>
      </w:r>
      <w:r w:rsidR="00D83C6F">
        <w:rPr>
          <w:noProof/>
        </w:rPr>
        <w:t>10</w:t>
      </w:r>
      <w:r w:rsidR="00BE5583" w:rsidRPr="00CB4CA8">
        <w:fldChar w:fldCharType="end"/>
      </w:r>
      <w:r w:rsidR="00BE5583">
        <w:noBreakHyphen/>
      </w:r>
      <w:r w:rsidR="00BE5583" w:rsidRPr="00CB4CA8">
        <w:fldChar w:fldCharType="begin"/>
      </w:r>
      <w:r w:rsidR="00BE5583">
        <w:instrText xml:space="preserve"> SEQ Table \* ARABIC \s 1 </w:instrText>
      </w:r>
      <w:r w:rsidR="00BE5583" w:rsidRPr="00CB4CA8">
        <w:fldChar w:fldCharType="separate"/>
      </w:r>
      <w:r w:rsidR="00D83C6F">
        <w:rPr>
          <w:noProof/>
        </w:rPr>
        <w:t>9</w:t>
      </w:r>
      <w:r w:rsidR="00BE5583" w:rsidRPr="00CB4CA8">
        <w:fldChar w:fldCharType="end"/>
      </w:r>
      <w:bookmarkEnd w:id="96"/>
      <w:r w:rsidR="00361852">
        <w:t>:</w:t>
      </w:r>
      <w:r w:rsidRPr="001712FE">
        <w:t xml:space="preserve"> </w:t>
      </w:r>
      <w:r w:rsidRPr="00477404">
        <w:t xml:space="preserve">Level of </w:t>
      </w:r>
      <w:r>
        <w:t>L</w:t>
      </w:r>
      <w:r w:rsidRPr="00477404">
        <w:t xml:space="preserve">ikelihood of an ICCI </w:t>
      </w:r>
      <w:r w:rsidR="00F5708D">
        <w:t>O</w:t>
      </w:r>
      <w:r w:rsidRPr="00477404">
        <w:t>ccurring</w:t>
      </w:r>
      <w:bookmarkEnd w:id="97"/>
      <w:bookmarkEnd w:id="98"/>
    </w:p>
    <w:tbl>
      <w:tblPr>
        <w:tblStyle w:val="AECOMtable"/>
        <w:tblW w:w="5000" w:type="pct"/>
        <w:tblInd w:w="-1" w:type="dxa"/>
        <w:tblLayout w:type="fixed"/>
        <w:tblCellMar>
          <w:right w:w="108" w:type="dxa"/>
        </w:tblCellMar>
        <w:tblLook w:val="04A0" w:firstRow="1" w:lastRow="0" w:firstColumn="1" w:lastColumn="0" w:noHBand="0" w:noVBand="1"/>
      </w:tblPr>
      <w:tblGrid>
        <w:gridCol w:w="2486"/>
        <w:gridCol w:w="6868"/>
      </w:tblGrid>
      <w:tr w:rsidR="00BE0E0B" w:rsidRPr="00CE4840" w14:paraId="6B18F78B" w14:textId="77777777" w:rsidTr="00A7414A">
        <w:trPr>
          <w:cnfStyle w:val="100000000000" w:firstRow="1" w:lastRow="0" w:firstColumn="0" w:lastColumn="0" w:oddVBand="0" w:evenVBand="0" w:oddHBand="0" w:evenHBand="0" w:firstRowFirstColumn="0" w:firstRowLastColumn="0" w:lastRowFirstColumn="0" w:lastRowLastColumn="0"/>
          <w:trHeight w:val="318"/>
          <w:tblHeader/>
        </w:trPr>
        <w:tc>
          <w:tcPr>
            <w:tcW w:w="2486" w:type="dxa"/>
          </w:tcPr>
          <w:p w14:paraId="4597850F" w14:textId="77777777" w:rsidR="00BE0E0B" w:rsidRPr="00CE4840" w:rsidRDefault="00BE0E0B">
            <w:pPr>
              <w:pStyle w:val="Tabletext"/>
            </w:pPr>
            <w:r>
              <w:t>Likelihood Category</w:t>
            </w:r>
          </w:p>
        </w:tc>
        <w:tc>
          <w:tcPr>
            <w:tcW w:w="6868" w:type="dxa"/>
          </w:tcPr>
          <w:p w14:paraId="60D8754D" w14:textId="77777777" w:rsidR="00BE0E0B" w:rsidRPr="00CE4840" w:rsidRDefault="00BE0E0B">
            <w:pPr>
              <w:pStyle w:val="Tabletext"/>
            </w:pPr>
            <w:r>
              <w:t>Description</w:t>
            </w:r>
          </w:p>
        </w:tc>
      </w:tr>
      <w:tr w:rsidR="00D40085" w:rsidRPr="00CE4840" w14:paraId="0EC91EC3" w14:textId="77777777" w:rsidTr="00A7414A">
        <w:trPr>
          <w:trHeight w:val="245"/>
        </w:trPr>
        <w:tc>
          <w:tcPr>
            <w:tcW w:w="2486" w:type="dxa"/>
          </w:tcPr>
          <w:p w14:paraId="45412CDA" w14:textId="4501AC73" w:rsidR="00D40085" w:rsidRPr="00CE4840" w:rsidRDefault="00D40085" w:rsidP="00D40085">
            <w:pPr>
              <w:pStyle w:val="Tabletext"/>
            </w:pPr>
            <w:r>
              <w:t>Very likely</w:t>
            </w:r>
          </w:p>
        </w:tc>
        <w:tc>
          <w:tcPr>
            <w:tcW w:w="6868" w:type="dxa"/>
          </w:tcPr>
          <w:p w14:paraId="2F8B98DB" w14:textId="77777777" w:rsidR="00D40085" w:rsidRDefault="00D40085" w:rsidP="00D40085">
            <w:pPr>
              <w:pStyle w:val="Tabletext"/>
            </w:pPr>
            <w:r>
              <w:t>90-100% probability that the impact will occur during the life of the project</w:t>
            </w:r>
          </w:p>
          <w:p w14:paraId="7062865A" w14:textId="6C4190A4" w:rsidR="00D40085" w:rsidRPr="00CE4840" w:rsidRDefault="00D40085" w:rsidP="00D40085">
            <w:pPr>
              <w:pStyle w:val="Tabletext"/>
            </w:pPr>
          </w:p>
        </w:tc>
      </w:tr>
      <w:tr w:rsidR="00D40085" w:rsidRPr="00CE4840" w14:paraId="452C6B23" w14:textId="77777777" w:rsidTr="00A7414A">
        <w:trPr>
          <w:trHeight w:val="245"/>
        </w:trPr>
        <w:tc>
          <w:tcPr>
            <w:tcW w:w="2486" w:type="dxa"/>
          </w:tcPr>
          <w:p w14:paraId="54ADE040" w14:textId="2A56CDC1" w:rsidR="00D40085" w:rsidRDefault="00D40085" w:rsidP="00D40085">
            <w:pPr>
              <w:pStyle w:val="Tabletext"/>
            </w:pPr>
            <w:r>
              <w:t>Likely</w:t>
            </w:r>
          </w:p>
        </w:tc>
        <w:tc>
          <w:tcPr>
            <w:tcW w:w="6868" w:type="dxa"/>
          </w:tcPr>
          <w:p w14:paraId="1973D517" w14:textId="77777777" w:rsidR="00D40085" w:rsidRDefault="00D40085" w:rsidP="00D40085">
            <w:pPr>
              <w:pStyle w:val="Tabletext"/>
            </w:pPr>
            <w:r>
              <w:t>66-90% probability that the impact will occur during the life of the project</w:t>
            </w:r>
          </w:p>
          <w:p w14:paraId="2D80E70B" w14:textId="5F20276C" w:rsidR="00D40085" w:rsidRDefault="00D40085" w:rsidP="00D40085">
            <w:pPr>
              <w:pStyle w:val="Tabletext"/>
            </w:pPr>
          </w:p>
        </w:tc>
      </w:tr>
      <w:tr w:rsidR="00D40085" w:rsidRPr="00CE4840" w14:paraId="0715C298" w14:textId="77777777" w:rsidTr="00A7414A">
        <w:trPr>
          <w:trHeight w:val="245"/>
        </w:trPr>
        <w:tc>
          <w:tcPr>
            <w:tcW w:w="2486" w:type="dxa"/>
          </w:tcPr>
          <w:p w14:paraId="5416E4E5" w14:textId="6F9550EB" w:rsidR="00D40085" w:rsidRDefault="00D40085" w:rsidP="00D40085">
            <w:pPr>
              <w:pStyle w:val="Tabletext"/>
            </w:pPr>
            <w:r>
              <w:t xml:space="preserve"> Possible</w:t>
            </w:r>
          </w:p>
        </w:tc>
        <w:tc>
          <w:tcPr>
            <w:tcW w:w="6868" w:type="dxa"/>
          </w:tcPr>
          <w:p w14:paraId="0BC28A6E" w14:textId="77777777" w:rsidR="00D40085" w:rsidRDefault="00D40085" w:rsidP="00D40085">
            <w:pPr>
              <w:pStyle w:val="Tabletext"/>
            </w:pPr>
            <w:r>
              <w:t>33-66% probability that the impact will occur during the life of the project</w:t>
            </w:r>
          </w:p>
          <w:p w14:paraId="0D581477" w14:textId="4E4E3CC8" w:rsidR="00D40085" w:rsidRDefault="00D40085" w:rsidP="00D40085">
            <w:pPr>
              <w:pStyle w:val="Tabletext"/>
            </w:pPr>
          </w:p>
        </w:tc>
      </w:tr>
      <w:tr w:rsidR="00D40085" w:rsidRPr="00CE4840" w14:paraId="4978527F" w14:textId="77777777" w:rsidTr="00A7414A">
        <w:trPr>
          <w:trHeight w:val="245"/>
        </w:trPr>
        <w:tc>
          <w:tcPr>
            <w:tcW w:w="2486" w:type="dxa"/>
          </w:tcPr>
          <w:p w14:paraId="739318E7" w14:textId="3B91B7FC" w:rsidR="00D40085" w:rsidRDefault="00D40085" w:rsidP="00D40085">
            <w:pPr>
              <w:pStyle w:val="Tabletext"/>
            </w:pPr>
            <w:r>
              <w:t>Unlikely</w:t>
            </w:r>
          </w:p>
        </w:tc>
        <w:tc>
          <w:tcPr>
            <w:tcW w:w="6868" w:type="dxa"/>
          </w:tcPr>
          <w:p w14:paraId="6D2F4509" w14:textId="414564D8" w:rsidR="00D40085" w:rsidRDefault="00D40085" w:rsidP="00D40085">
            <w:pPr>
              <w:pStyle w:val="Tabletext"/>
            </w:pPr>
            <w:r w:rsidRPr="00AA6B88">
              <w:t xml:space="preserve">10-33% probability that </w:t>
            </w:r>
            <w:r>
              <w:t>the impact will occur during the life of the project</w:t>
            </w:r>
          </w:p>
        </w:tc>
      </w:tr>
      <w:tr w:rsidR="00D40085" w:rsidRPr="00CE4840" w14:paraId="31E38483" w14:textId="77777777" w:rsidTr="00F4375B">
        <w:trPr>
          <w:trHeight w:val="245"/>
        </w:trPr>
        <w:tc>
          <w:tcPr>
            <w:tcW w:w="2486" w:type="dxa"/>
          </w:tcPr>
          <w:p w14:paraId="5D5C75F5" w14:textId="519F9B22" w:rsidR="00D40085" w:rsidRDefault="00D40085" w:rsidP="00D40085">
            <w:pPr>
              <w:pStyle w:val="Tabletext"/>
            </w:pPr>
            <w:r>
              <w:t>Very Unlikely</w:t>
            </w:r>
          </w:p>
        </w:tc>
        <w:tc>
          <w:tcPr>
            <w:tcW w:w="6868" w:type="dxa"/>
          </w:tcPr>
          <w:p w14:paraId="3F260D93" w14:textId="1E3A85DE" w:rsidR="00D40085" w:rsidRDefault="00D40085" w:rsidP="00D40085">
            <w:pPr>
              <w:pStyle w:val="Tabletext"/>
            </w:pPr>
            <w:r w:rsidRPr="00AA6B88">
              <w:t xml:space="preserve">0-10% probability that </w:t>
            </w:r>
            <w:r>
              <w:t>the impact will occur during the life of the project</w:t>
            </w:r>
          </w:p>
        </w:tc>
      </w:tr>
    </w:tbl>
    <w:p w14:paraId="59EECE75" w14:textId="77777777" w:rsidR="00F21C59" w:rsidRDefault="00F21C59" w:rsidP="00F21C59">
      <w:pPr>
        <w:pStyle w:val="BodyText"/>
      </w:pPr>
    </w:p>
    <w:p w14:paraId="21A3196B" w14:textId="15155D0E" w:rsidR="00251DF7" w:rsidRPr="00CB4CA8" w:rsidRDefault="00251DF7" w:rsidP="00A7414A">
      <w:pPr>
        <w:pStyle w:val="Caption"/>
      </w:pPr>
      <w:bookmarkStart w:id="99" w:name="_Ref214371358"/>
      <w:bookmarkStart w:id="100" w:name="_Toc216107535"/>
      <w:bookmarkStart w:id="101" w:name="_Toc238199685"/>
      <w:r w:rsidRPr="001712FE">
        <w:t xml:space="preserve">Table </w:t>
      </w:r>
      <w:r w:rsidR="00BE5583" w:rsidRPr="00CB4CA8">
        <w:fldChar w:fldCharType="begin"/>
      </w:r>
      <w:r w:rsidR="00BE5583">
        <w:instrText xml:space="preserve"> STYLEREF 1 \s </w:instrText>
      </w:r>
      <w:r w:rsidR="00BE5583" w:rsidRPr="00CB4CA8">
        <w:fldChar w:fldCharType="separate"/>
      </w:r>
      <w:r w:rsidR="00D83C6F">
        <w:rPr>
          <w:noProof/>
        </w:rPr>
        <w:t>10</w:t>
      </w:r>
      <w:r w:rsidR="00BE5583" w:rsidRPr="00CB4CA8">
        <w:fldChar w:fldCharType="end"/>
      </w:r>
      <w:r w:rsidR="00BE5583">
        <w:noBreakHyphen/>
      </w:r>
      <w:r w:rsidR="00BE5583" w:rsidRPr="00CB4CA8">
        <w:fldChar w:fldCharType="begin"/>
      </w:r>
      <w:r w:rsidR="00BE5583">
        <w:instrText xml:space="preserve"> SEQ Table \* ARABIC \s 1 </w:instrText>
      </w:r>
      <w:r w:rsidR="00BE5583" w:rsidRPr="00CB4CA8">
        <w:fldChar w:fldCharType="separate"/>
      </w:r>
      <w:r w:rsidR="00D83C6F">
        <w:rPr>
          <w:noProof/>
        </w:rPr>
        <w:t>10</w:t>
      </w:r>
      <w:r w:rsidR="00BE5583" w:rsidRPr="00CB4CA8">
        <w:fldChar w:fldCharType="end"/>
      </w:r>
      <w:bookmarkEnd w:id="99"/>
      <w:r w:rsidR="00361852">
        <w:t>:</w:t>
      </w:r>
      <w:r w:rsidRPr="001712FE">
        <w:t xml:space="preserve"> </w:t>
      </w:r>
      <w:r w:rsidRPr="00E36050">
        <w:t xml:space="preserve">Level of Consequence for </w:t>
      </w:r>
      <w:r w:rsidR="00F5708D">
        <w:t xml:space="preserve">the </w:t>
      </w:r>
      <w:r w:rsidRPr="00E36050">
        <w:t>ICCI Assessment</w:t>
      </w:r>
      <w:bookmarkEnd w:id="100"/>
      <w:bookmarkEnd w:id="101"/>
    </w:p>
    <w:tbl>
      <w:tblPr>
        <w:tblStyle w:val="AECOMtable"/>
        <w:tblW w:w="5000" w:type="pct"/>
        <w:tblInd w:w="-1" w:type="dxa"/>
        <w:tblLayout w:type="fixed"/>
        <w:tblCellMar>
          <w:right w:w="108" w:type="dxa"/>
        </w:tblCellMar>
        <w:tblLook w:val="04A0" w:firstRow="1" w:lastRow="0" w:firstColumn="1" w:lastColumn="0" w:noHBand="0" w:noVBand="1"/>
      </w:tblPr>
      <w:tblGrid>
        <w:gridCol w:w="2486"/>
        <w:gridCol w:w="6868"/>
      </w:tblGrid>
      <w:tr w:rsidR="00251DF7" w:rsidRPr="00CE4840" w14:paraId="1CC735A4" w14:textId="77777777">
        <w:trPr>
          <w:cnfStyle w:val="100000000000" w:firstRow="1" w:lastRow="0" w:firstColumn="0" w:lastColumn="0" w:oddVBand="0" w:evenVBand="0" w:oddHBand="0" w:evenHBand="0" w:firstRowFirstColumn="0" w:firstRowLastColumn="0" w:lastRowFirstColumn="0" w:lastRowLastColumn="0"/>
          <w:trHeight w:val="318"/>
          <w:tblHeader/>
        </w:trPr>
        <w:tc>
          <w:tcPr>
            <w:tcW w:w="2399" w:type="dxa"/>
          </w:tcPr>
          <w:p w14:paraId="0912E3EF" w14:textId="77777777" w:rsidR="00251DF7" w:rsidRPr="00CE4840" w:rsidRDefault="00251DF7">
            <w:pPr>
              <w:pStyle w:val="Tabletext"/>
            </w:pPr>
            <w:r>
              <w:t>Consequence of Impact</w:t>
            </w:r>
          </w:p>
        </w:tc>
        <w:tc>
          <w:tcPr>
            <w:tcW w:w="6627" w:type="dxa"/>
          </w:tcPr>
          <w:p w14:paraId="34BEF4EF" w14:textId="77777777" w:rsidR="00251DF7" w:rsidRPr="00CE4840" w:rsidRDefault="00251DF7">
            <w:pPr>
              <w:pStyle w:val="Tabletext"/>
            </w:pPr>
            <w:r>
              <w:t>Description</w:t>
            </w:r>
          </w:p>
        </w:tc>
      </w:tr>
      <w:tr w:rsidR="00251DF7" w:rsidRPr="00CE4840" w14:paraId="1C13F133" w14:textId="77777777">
        <w:trPr>
          <w:trHeight w:val="245"/>
        </w:trPr>
        <w:tc>
          <w:tcPr>
            <w:tcW w:w="2399" w:type="dxa"/>
          </w:tcPr>
          <w:p w14:paraId="21618CA0" w14:textId="77777777" w:rsidR="00251DF7" w:rsidRPr="00FF1DD1" w:rsidRDefault="00251DF7">
            <w:pPr>
              <w:pStyle w:val="Tabletext"/>
            </w:pPr>
            <w:r w:rsidRPr="00FF1DD1">
              <w:t>High</w:t>
            </w:r>
          </w:p>
        </w:tc>
        <w:tc>
          <w:tcPr>
            <w:tcW w:w="6627" w:type="dxa"/>
          </w:tcPr>
          <w:p w14:paraId="365CAADF" w14:textId="77777777" w:rsidR="00251DF7" w:rsidRDefault="00251DF7">
            <w:pPr>
              <w:pStyle w:val="Tabletext"/>
              <w:keepLines/>
            </w:pPr>
            <w:r>
              <w:t>The climate change parameter in-combination with the effect of the Proposed Development causes the significance of the impact of the Proposed Development on the resource/receptor, as defined by the topic, to increase from moderate to major.</w:t>
            </w:r>
          </w:p>
        </w:tc>
      </w:tr>
      <w:tr w:rsidR="00251DF7" w:rsidRPr="00CE4840" w14:paraId="2C732343" w14:textId="77777777">
        <w:trPr>
          <w:trHeight w:val="245"/>
        </w:trPr>
        <w:tc>
          <w:tcPr>
            <w:tcW w:w="2399" w:type="dxa"/>
          </w:tcPr>
          <w:p w14:paraId="4418F03E" w14:textId="77777777" w:rsidR="00251DF7" w:rsidRPr="00FF1DD1" w:rsidRDefault="00251DF7">
            <w:pPr>
              <w:pStyle w:val="Tabletext"/>
            </w:pPr>
            <w:r w:rsidRPr="00FF1DD1">
              <w:t>Medium</w:t>
            </w:r>
          </w:p>
        </w:tc>
        <w:tc>
          <w:tcPr>
            <w:tcW w:w="6627" w:type="dxa"/>
          </w:tcPr>
          <w:p w14:paraId="0BC555A4" w14:textId="77777777" w:rsidR="00251DF7" w:rsidRDefault="00251DF7">
            <w:pPr>
              <w:pStyle w:val="Tabletext"/>
            </w:pPr>
            <w:r>
              <w:t>The climate change parameter in-combination with the effect of the Proposed Development causes the significance of the impact of the Proposed Development on the resource/receptor, as defined by the topic, to increase from low to moderate.</w:t>
            </w:r>
          </w:p>
        </w:tc>
      </w:tr>
      <w:tr w:rsidR="00251DF7" w:rsidRPr="00CE4840" w14:paraId="042DE6E7" w14:textId="77777777">
        <w:trPr>
          <w:trHeight w:val="245"/>
        </w:trPr>
        <w:tc>
          <w:tcPr>
            <w:tcW w:w="2399" w:type="dxa"/>
          </w:tcPr>
          <w:p w14:paraId="581C7B09" w14:textId="77777777" w:rsidR="00251DF7" w:rsidRPr="00FF1DD1" w:rsidRDefault="00251DF7">
            <w:pPr>
              <w:pStyle w:val="Tabletext"/>
            </w:pPr>
            <w:r w:rsidRPr="00FF1DD1">
              <w:t>Low</w:t>
            </w:r>
          </w:p>
        </w:tc>
        <w:tc>
          <w:tcPr>
            <w:tcW w:w="6627" w:type="dxa"/>
          </w:tcPr>
          <w:p w14:paraId="57A8DCDD" w14:textId="77777777" w:rsidR="00251DF7" w:rsidRDefault="00251DF7">
            <w:pPr>
              <w:pStyle w:val="Tabletext"/>
            </w:pPr>
            <w:r>
              <w:t>The climate change parameter in-combination with the effect of the Proposed Development causes the significance of the impact of the Proposed Development on the resource/receptor, as defined by the topic, to increase from negligible to low.</w:t>
            </w:r>
          </w:p>
        </w:tc>
      </w:tr>
      <w:tr w:rsidR="00251DF7" w:rsidRPr="00CE4840" w14:paraId="45B347E1" w14:textId="77777777">
        <w:trPr>
          <w:trHeight w:val="245"/>
        </w:trPr>
        <w:tc>
          <w:tcPr>
            <w:tcW w:w="2399" w:type="dxa"/>
          </w:tcPr>
          <w:p w14:paraId="6FFFCC82" w14:textId="77777777" w:rsidR="00251DF7" w:rsidRPr="00FF1DD1" w:rsidRDefault="00251DF7">
            <w:pPr>
              <w:pStyle w:val="Tabletext"/>
            </w:pPr>
            <w:r w:rsidRPr="00FF1DD1">
              <w:t>Very Low</w:t>
            </w:r>
          </w:p>
        </w:tc>
        <w:tc>
          <w:tcPr>
            <w:tcW w:w="6627" w:type="dxa"/>
          </w:tcPr>
          <w:p w14:paraId="435597F4" w14:textId="77777777" w:rsidR="00251DF7" w:rsidRDefault="00251DF7">
            <w:pPr>
              <w:pStyle w:val="Tabletext"/>
            </w:pPr>
            <w:r>
              <w:t>The climate change parameter in-combination with the effect of the Proposed Development does not impact the significance of the impact of the Proposed Development on the resource/receptor, as defined by the topic.</w:t>
            </w:r>
          </w:p>
        </w:tc>
      </w:tr>
      <w:tr w:rsidR="00251DF7" w:rsidRPr="00CE4840" w14:paraId="32E0B57E" w14:textId="77777777">
        <w:trPr>
          <w:trHeight w:val="245"/>
        </w:trPr>
        <w:tc>
          <w:tcPr>
            <w:tcW w:w="2399" w:type="dxa"/>
          </w:tcPr>
          <w:p w14:paraId="09D94D38" w14:textId="77777777" w:rsidR="00251DF7" w:rsidRDefault="00251DF7">
            <w:pPr>
              <w:pStyle w:val="Tabletext"/>
              <w:jc w:val="left"/>
            </w:pPr>
          </w:p>
        </w:tc>
        <w:tc>
          <w:tcPr>
            <w:tcW w:w="6627" w:type="dxa"/>
          </w:tcPr>
          <w:p w14:paraId="707425F2" w14:textId="77777777" w:rsidR="00251DF7" w:rsidRDefault="00251DF7">
            <w:pPr>
              <w:pStyle w:val="Tabletext"/>
              <w:jc w:val="left"/>
            </w:pPr>
          </w:p>
        </w:tc>
      </w:tr>
    </w:tbl>
    <w:p w14:paraId="719F70EC" w14:textId="7529437A" w:rsidR="00251DF7" w:rsidRDefault="00251DF7" w:rsidP="00251DF7">
      <w:pPr>
        <w:pStyle w:val="BodyText"/>
        <w:tabs>
          <w:tab w:val="left" w:pos="3016"/>
        </w:tabs>
      </w:pPr>
      <w:r w:rsidRPr="00052B5C">
        <w:t xml:space="preserve">The significance of potential effects </w:t>
      </w:r>
      <w:r w:rsidR="004C66CC">
        <w:t>ha</w:t>
      </w:r>
      <w:r w:rsidRPr="00052B5C">
        <w:t xml:space="preserve">s </w:t>
      </w:r>
      <w:r w:rsidR="004C66CC">
        <w:t>been</w:t>
      </w:r>
      <w:r w:rsidRPr="00052B5C">
        <w:t xml:space="preserve"> determined using the </w:t>
      </w:r>
      <w:r w:rsidRPr="00466348">
        <w:t xml:space="preserve">matrix in </w:t>
      </w:r>
      <w:r w:rsidR="009E5F87" w:rsidRPr="008928B6">
        <w:rPr>
          <w:color w:val="000000" w:themeColor="text1"/>
          <w:lang w:val="en-IE"/>
        </w:rPr>
        <w:fldChar w:fldCharType="begin"/>
      </w:r>
      <w:r w:rsidR="009E5F87" w:rsidRPr="008928B6">
        <w:rPr>
          <w:color w:val="000000" w:themeColor="text1"/>
          <w:lang w:val="en-IE"/>
        </w:rPr>
        <w:instrText xml:space="preserve"> REF _Ref214371370 \h </w:instrText>
      </w:r>
      <w:r w:rsidR="002C00FC" w:rsidRPr="008928B6">
        <w:rPr>
          <w:color w:val="000000" w:themeColor="text1"/>
          <w:lang w:val="en-IE"/>
        </w:rPr>
        <w:instrText xml:space="preserve"> \* MERGEFORMAT </w:instrText>
      </w:r>
      <w:r w:rsidR="009E5F87" w:rsidRPr="00511353">
        <w:rPr>
          <w:color w:val="000000" w:themeColor="text1"/>
          <w:lang w:val="en-IE"/>
        </w:rPr>
      </w:r>
      <w:r w:rsidR="009E5F87" w:rsidRPr="008928B6">
        <w:rPr>
          <w:color w:val="000000" w:themeColor="text1"/>
          <w:lang w:val="en-IE"/>
        </w:rPr>
        <w:fldChar w:fldCharType="separate"/>
      </w:r>
      <w:r w:rsidR="00D83C6F" w:rsidRPr="005049F3">
        <w:rPr>
          <w:color w:val="000000" w:themeColor="text1"/>
          <w:lang w:val="en-IE"/>
        </w:rPr>
        <w:t>Table 10</w:t>
      </w:r>
      <w:r w:rsidR="00D83C6F" w:rsidRPr="005049F3">
        <w:rPr>
          <w:color w:val="000000" w:themeColor="text1"/>
          <w:lang w:val="en-IE"/>
        </w:rPr>
        <w:noBreakHyphen/>
        <w:t>11</w:t>
      </w:r>
      <w:r w:rsidR="009E5F87" w:rsidRPr="008928B6">
        <w:rPr>
          <w:color w:val="000000" w:themeColor="text1"/>
          <w:lang w:val="en-IE"/>
        </w:rPr>
        <w:fldChar w:fldCharType="end"/>
      </w:r>
      <w:r w:rsidRPr="008928B6">
        <w:rPr>
          <w:color w:val="000000" w:themeColor="text1"/>
          <w:lang w:val="en-IE"/>
        </w:rPr>
        <w:t>. Wh</w:t>
      </w:r>
      <w:r w:rsidRPr="00466348">
        <w:t xml:space="preserve">ere an effect has been identified as Moderate or Major, these </w:t>
      </w:r>
      <w:r w:rsidR="00AC08F2">
        <w:t>are</w:t>
      </w:r>
      <w:r w:rsidRPr="00466348">
        <w:t xml:space="preserve"> classed as </w:t>
      </w:r>
      <w:r w:rsidRPr="00052B5C">
        <w:t>a Significant ICCI effect. If likely significant ICCI effects are evaluated, then appropriate additional mitigation measures (secondary mitigation) are identified.</w:t>
      </w:r>
      <w:r>
        <w:tab/>
      </w:r>
    </w:p>
    <w:p w14:paraId="0CBBF8E3" w14:textId="61EB5CA8" w:rsidR="00251DF7" w:rsidRPr="00CB4CA8" w:rsidRDefault="00251DF7" w:rsidP="00A7414A">
      <w:pPr>
        <w:pStyle w:val="Caption"/>
      </w:pPr>
      <w:bookmarkStart w:id="102" w:name="_Ref214371370"/>
      <w:bookmarkStart w:id="103" w:name="_Toc216107536"/>
      <w:bookmarkStart w:id="104" w:name="_Toc238199686"/>
      <w:r w:rsidRPr="001712FE">
        <w:lastRenderedPageBreak/>
        <w:t xml:space="preserve">Table </w:t>
      </w:r>
      <w:r w:rsidR="00BE5583" w:rsidRPr="00CB4CA8">
        <w:fldChar w:fldCharType="begin"/>
      </w:r>
      <w:r w:rsidR="00BE5583">
        <w:instrText xml:space="preserve"> STYLEREF 1 \s </w:instrText>
      </w:r>
      <w:r w:rsidR="00BE5583" w:rsidRPr="00CB4CA8">
        <w:fldChar w:fldCharType="separate"/>
      </w:r>
      <w:r w:rsidR="00D83C6F">
        <w:rPr>
          <w:noProof/>
        </w:rPr>
        <w:t>10</w:t>
      </w:r>
      <w:r w:rsidR="00BE5583" w:rsidRPr="00CB4CA8">
        <w:fldChar w:fldCharType="end"/>
      </w:r>
      <w:r w:rsidR="00BE5583">
        <w:noBreakHyphen/>
      </w:r>
      <w:r w:rsidR="00BE5583" w:rsidRPr="00CB4CA8">
        <w:fldChar w:fldCharType="begin"/>
      </w:r>
      <w:r w:rsidR="00BE5583">
        <w:instrText xml:space="preserve"> SEQ Table \* ARABIC \s 1 </w:instrText>
      </w:r>
      <w:r w:rsidR="00BE5583" w:rsidRPr="00CB4CA8">
        <w:fldChar w:fldCharType="separate"/>
      </w:r>
      <w:r w:rsidR="00D83C6F">
        <w:rPr>
          <w:noProof/>
        </w:rPr>
        <w:t>11</w:t>
      </w:r>
      <w:r w:rsidR="00BE5583" w:rsidRPr="00CB4CA8">
        <w:fldChar w:fldCharType="end"/>
      </w:r>
      <w:bookmarkEnd w:id="102"/>
      <w:r w:rsidR="00361852">
        <w:t>:</w:t>
      </w:r>
      <w:r w:rsidRPr="001712FE">
        <w:t xml:space="preserve"> </w:t>
      </w:r>
      <w:r w:rsidRPr="00052B5C">
        <w:t xml:space="preserve">Significance Matrix for </w:t>
      </w:r>
      <w:r w:rsidR="00F5708D">
        <w:t xml:space="preserve">the </w:t>
      </w:r>
      <w:r w:rsidRPr="00052B5C">
        <w:t>ICCI Assessment</w:t>
      </w:r>
      <w:bookmarkEnd w:id="103"/>
      <w:bookmarkEnd w:id="104"/>
    </w:p>
    <w:tbl>
      <w:tblPr>
        <w:tblStyle w:val="AECOMtable"/>
        <w:tblW w:w="5001" w:type="pct"/>
        <w:tblInd w:w="-1" w:type="dxa"/>
        <w:tblLayout w:type="fixed"/>
        <w:tblCellMar>
          <w:right w:w="108" w:type="dxa"/>
        </w:tblCellMar>
        <w:tblLook w:val="04A0" w:firstRow="1" w:lastRow="0" w:firstColumn="1" w:lastColumn="0" w:noHBand="0" w:noVBand="1"/>
      </w:tblPr>
      <w:tblGrid>
        <w:gridCol w:w="646"/>
        <w:gridCol w:w="1140"/>
        <w:gridCol w:w="1514"/>
        <w:gridCol w:w="1514"/>
        <w:gridCol w:w="1514"/>
        <w:gridCol w:w="1514"/>
        <w:gridCol w:w="1514"/>
      </w:tblGrid>
      <w:tr w:rsidR="009958E9" w:rsidRPr="00CE4840" w14:paraId="2583795B" w14:textId="5AE7E716" w:rsidTr="009958E9">
        <w:trPr>
          <w:cnfStyle w:val="100000000000" w:firstRow="1" w:lastRow="0" w:firstColumn="0" w:lastColumn="0" w:oddVBand="0" w:evenVBand="0" w:oddHBand="0" w:evenHBand="0" w:firstRowFirstColumn="0" w:firstRowLastColumn="0" w:lastRowFirstColumn="0" w:lastRowLastColumn="0"/>
          <w:trHeight w:val="318"/>
          <w:tblHeader/>
        </w:trPr>
        <w:tc>
          <w:tcPr>
            <w:tcW w:w="646" w:type="dxa"/>
          </w:tcPr>
          <w:p w14:paraId="2247C65A" w14:textId="77777777" w:rsidR="009958E9" w:rsidRPr="00CE4840" w:rsidRDefault="009958E9">
            <w:pPr>
              <w:pStyle w:val="Tabletext"/>
            </w:pPr>
          </w:p>
        </w:tc>
        <w:tc>
          <w:tcPr>
            <w:tcW w:w="1140" w:type="dxa"/>
            <w:vAlign w:val="center"/>
          </w:tcPr>
          <w:p w14:paraId="369132C7" w14:textId="77777777" w:rsidR="009958E9" w:rsidRPr="00CE4840" w:rsidRDefault="009958E9">
            <w:pPr>
              <w:pStyle w:val="Tabletext"/>
              <w:jc w:val="center"/>
            </w:pPr>
          </w:p>
        </w:tc>
        <w:tc>
          <w:tcPr>
            <w:tcW w:w="7570" w:type="dxa"/>
            <w:gridSpan w:val="5"/>
            <w:vAlign w:val="center"/>
          </w:tcPr>
          <w:p w14:paraId="0D9919D3" w14:textId="6EC1F1E3" w:rsidR="009958E9" w:rsidRPr="00467CE9" w:rsidRDefault="009958E9">
            <w:pPr>
              <w:pStyle w:val="Tabletext"/>
              <w:jc w:val="center"/>
            </w:pPr>
            <w:r w:rsidRPr="00467CE9">
              <w:t>Likelihood of Climate-Related Impact Occurring</w:t>
            </w:r>
          </w:p>
        </w:tc>
      </w:tr>
      <w:tr w:rsidR="009958E9" w:rsidRPr="00CE4840" w14:paraId="2DDAB880" w14:textId="16A59018" w:rsidTr="00A7414A">
        <w:trPr>
          <w:cnfStyle w:val="100000000000" w:firstRow="1" w:lastRow="0" w:firstColumn="0" w:lastColumn="0" w:oddVBand="0" w:evenVBand="0" w:oddHBand="0" w:evenHBand="0" w:firstRowFirstColumn="0" w:firstRowLastColumn="0" w:lastRowFirstColumn="0" w:lastRowLastColumn="0"/>
          <w:trHeight w:val="318"/>
          <w:tblHeader/>
        </w:trPr>
        <w:tc>
          <w:tcPr>
            <w:tcW w:w="646" w:type="dxa"/>
            <w:tcBorders>
              <w:bottom w:val="nil"/>
            </w:tcBorders>
          </w:tcPr>
          <w:p w14:paraId="3FD35A38" w14:textId="77777777" w:rsidR="009958E9" w:rsidRPr="00CE4840" w:rsidRDefault="009958E9">
            <w:pPr>
              <w:pStyle w:val="Tabletext"/>
            </w:pPr>
          </w:p>
        </w:tc>
        <w:tc>
          <w:tcPr>
            <w:tcW w:w="1140" w:type="dxa"/>
            <w:tcBorders>
              <w:bottom w:val="nil"/>
            </w:tcBorders>
            <w:vAlign w:val="center"/>
          </w:tcPr>
          <w:p w14:paraId="2A38FF18" w14:textId="77777777" w:rsidR="009958E9" w:rsidRPr="00CE4840" w:rsidRDefault="009958E9">
            <w:pPr>
              <w:pStyle w:val="Tabletext"/>
              <w:jc w:val="center"/>
            </w:pPr>
          </w:p>
        </w:tc>
        <w:tc>
          <w:tcPr>
            <w:tcW w:w="1514" w:type="dxa"/>
            <w:vAlign w:val="center"/>
          </w:tcPr>
          <w:p w14:paraId="679F1302" w14:textId="59BC0DC7" w:rsidR="009958E9" w:rsidRPr="00CE4840" w:rsidRDefault="009958E9">
            <w:pPr>
              <w:pStyle w:val="Tabletext"/>
              <w:jc w:val="center"/>
            </w:pPr>
            <w:r>
              <w:t xml:space="preserve"> Very Unlikely</w:t>
            </w:r>
          </w:p>
        </w:tc>
        <w:tc>
          <w:tcPr>
            <w:tcW w:w="1514" w:type="dxa"/>
            <w:vAlign w:val="center"/>
          </w:tcPr>
          <w:p w14:paraId="5CA92504" w14:textId="1E6960F0" w:rsidR="009958E9" w:rsidRPr="00CE4840" w:rsidRDefault="009958E9">
            <w:pPr>
              <w:pStyle w:val="Tabletext"/>
              <w:jc w:val="center"/>
            </w:pPr>
            <w:r>
              <w:t xml:space="preserve"> Unlikely</w:t>
            </w:r>
          </w:p>
        </w:tc>
        <w:tc>
          <w:tcPr>
            <w:tcW w:w="1514" w:type="dxa"/>
            <w:vAlign w:val="center"/>
          </w:tcPr>
          <w:p w14:paraId="5FFDFCDE" w14:textId="4BB8A244" w:rsidR="009958E9" w:rsidRPr="00CE4840" w:rsidRDefault="009958E9">
            <w:pPr>
              <w:pStyle w:val="Tabletext"/>
              <w:jc w:val="center"/>
            </w:pPr>
            <w:r>
              <w:t xml:space="preserve"> Possible</w:t>
            </w:r>
          </w:p>
        </w:tc>
        <w:tc>
          <w:tcPr>
            <w:tcW w:w="1514" w:type="dxa"/>
          </w:tcPr>
          <w:p w14:paraId="0EDD91DC" w14:textId="03BA2756" w:rsidR="009958E9" w:rsidRDefault="009958E9">
            <w:pPr>
              <w:pStyle w:val="Tabletext"/>
              <w:jc w:val="center"/>
            </w:pPr>
            <w:r>
              <w:t>Likely</w:t>
            </w:r>
          </w:p>
        </w:tc>
        <w:tc>
          <w:tcPr>
            <w:tcW w:w="1514" w:type="dxa"/>
          </w:tcPr>
          <w:p w14:paraId="6895B3DF" w14:textId="2BCDB217" w:rsidR="009958E9" w:rsidRDefault="009958E9">
            <w:pPr>
              <w:pStyle w:val="Tabletext"/>
              <w:jc w:val="center"/>
            </w:pPr>
            <w:r>
              <w:t>Very Likely</w:t>
            </w:r>
          </w:p>
        </w:tc>
      </w:tr>
      <w:tr w:rsidR="007C5DCA" w:rsidRPr="00CE4840" w14:paraId="5613053A" w14:textId="6A8958A6" w:rsidTr="00A7414A">
        <w:trPr>
          <w:trHeight w:val="245"/>
        </w:trPr>
        <w:tc>
          <w:tcPr>
            <w:tcW w:w="646" w:type="dxa"/>
            <w:vMerge w:val="restart"/>
            <w:tcBorders>
              <w:top w:val="nil"/>
              <w:bottom w:val="nil"/>
            </w:tcBorders>
            <w:textDirection w:val="btLr"/>
          </w:tcPr>
          <w:p w14:paraId="3AE4D6E6" w14:textId="77777777" w:rsidR="007C5DCA" w:rsidRPr="005A528C" w:rsidRDefault="007C5DCA" w:rsidP="007C5DCA">
            <w:pPr>
              <w:pStyle w:val="Tabletext"/>
              <w:jc w:val="center"/>
              <w:rPr>
                <w:b/>
                <w:bCs/>
                <w:color w:val="008768" w:themeColor="accent1"/>
              </w:rPr>
            </w:pPr>
            <w:r>
              <w:rPr>
                <w:b/>
                <w:bCs/>
                <w:color w:val="008768" w:themeColor="accent1"/>
              </w:rPr>
              <w:t>Measure of Consequence</w:t>
            </w:r>
          </w:p>
        </w:tc>
        <w:tc>
          <w:tcPr>
            <w:tcW w:w="1140" w:type="dxa"/>
            <w:tcBorders>
              <w:top w:val="nil"/>
            </w:tcBorders>
          </w:tcPr>
          <w:p w14:paraId="78150B92" w14:textId="77777777" w:rsidR="007C5DCA" w:rsidRPr="005A528C" w:rsidRDefault="007C5DCA" w:rsidP="007C5DCA">
            <w:pPr>
              <w:pStyle w:val="Tabletext"/>
              <w:jc w:val="left"/>
              <w:rPr>
                <w:b/>
                <w:bCs/>
                <w:color w:val="008768" w:themeColor="accent1"/>
              </w:rPr>
            </w:pPr>
            <w:r>
              <w:rPr>
                <w:b/>
                <w:bCs/>
                <w:color w:val="008768" w:themeColor="accent1"/>
              </w:rPr>
              <w:t>Very Low</w:t>
            </w:r>
          </w:p>
        </w:tc>
        <w:tc>
          <w:tcPr>
            <w:tcW w:w="1514" w:type="dxa"/>
            <w:vAlign w:val="center"/>
          </w:tcPr>
          <w:p w14:paraId="5A69CDF5" w14:textId="77777777" w:rsidR="007C5DCA" w:rsidRPr="00CE4840" w:rsidRDefault="007C5DCA" w:rsidP="007C5DCA">
            <w:pPr>
              <w:pStyle w:val="Tabletext"/>
              <w:jc w:val="center"/>
            </w:pPr>
            <w:r>
              <w:t>Negligible (NS)</w:t>
            </w:r>
          </w:p>
        </w:tc>
        <w:tc>
          <w:tcPr>
            <w:tcW w:w="1514" w:type="dxa"/>
          </w:tcPr>
          <w:p w14:paraId="280F1BD4" w14:textId="77777777" w:rsidR="007C5DCA" w:rsidRPr="00CE4840" w:rsidRDefault="007C5DCA" w:rsidP="007C5DCA">
            <w:pPr>
              <w:pStyle w:val="Tabletext"/>
              <w:jc w:val="center"/>
            </w:pPr>
            <w:r>
              <w:t>Negligible (NS)</w:t>
            </w:r>
          </w:p>
        </w:tc>
        <w:tc>
          <w:tcPr>
            <w:tcW w:w="1514" w:type="dxa"/>
          </w:tcPr>
          <w:p w14:paraId="66AB561A" w14:textId="0535E4B2" w:rsidR="007C5DCA" w:rsidRPr="00CE4840" w:rsidRDefault="007C5DCA" w:rsidP="007C5DCA">
            <w:pPr>
              <w:pStyle w:val="Tabletext"/>
              <w:jc w:val="center"/>
            </w:pPr>
            <w:r>
              <w:t>Negligible (NS)</w:t>
            </w:r>
          </w:p>
        </w:tc>
        <w:tc>
          <w:tcPr>
            <w:tcW w:w="1514" w:type="dxa"/>
          </w:tcPr>
          <w:p w14:paraId="1C1D2676" w14:textId="28F7E946" w:rsidR="007C5DCA" w:rsidRDefault="007C5DCA" w:rsidP="007C5DCA">
            <w:pPr>
              <w:pStyle w:val="Tabletext"/>
              <w:jc w:val="center"/>
            </w:pPr>
            <w:r>
              <w:t>Negligible (NS)</w:t>
            </w:r>
          </w:p>
        </w:tc>
        <w:tc>
          <w:tcPr>
            <w:tcW w:w="1514" w:type="dxa"/>
          </w:tcPr>
          <w:p w14:paraId="321ACA1F" w14:textId="3813B8EC" w:rsidR="007C5DCA" w:rsidRDefault="007C5DCA" w:rsidP="007C5DCA">
            <w:pPr>
              <w:pStyle w:val="Tabletext"/>
              <w:jc w:val="center"/>
            </w:pPr>
            <w:r>
              <w:t>Negligible (NS)</w:t>
            </w:r>
          </w:p>
        </w:tc>
      </w:tr>
      <w:tr w:rsidR="007C5DCA" w:rsidRPr="00CE4840" w14:paraId="178A78AE" w14:textId="5BC2DF35" w:rsidTr="00A7414A">
        <w:trPr>
          <w:trHeight w:val="245"/>
        </w:trPr>
        <w:tc>
          <w:tcPr>
            <w:tcW w:w="646" w:type="dxa"/>
            <w:vMerge/>
            <w:tcBorders>
              <w:top w:val="single" w:sz="4" w:space="0" w:color="auto"/>
              <w:bottom w:val="nil"/>
            </w:tcBorders>
          </w:tcPr>
          <w:p w14:paraId="32BC5D7C" w14:textId="77777777" w:rsidR="007C5DCA" w:rsidRPr="005A528C" w:rsidRDefault="007C5DCA" w:rsidP="007C5DCA">
            <w:pPr>
              <w:pStyle w:val="Tabletext"/>
              <w:jc w:val="left"/>
              <w:rPr>
                <w:b/>
                <w:bCs/>
                <w:color w:val="008768" w:themeColor="accent1"/>
              </w:rPr>
            </w:pPr>
          </w:p>
        </w:tc>
        <w:tc>
          <w:tcPr>
            <w:tcW w:w="1140" w:type="dxa"/>
          </w:tcPr>
          <w:p w14:paraId="7F5B2899" w14:textId="77777777" w:rsidR="007C5DCA" w:rsidRPr="005A528C" w:rsidRDefault="007C5DCA" w:rsidP="007C5DCA">
            <w:pPr>
              <w:pStyle w:val="Tabletext"/>
              <w:jc w:val="left"/>
              <w:rPr>
                <w:b/>
                <w:bCs/>
                <w:color w:val="008768" w:themeColor="accent1"/>
              </w:rPr>
            </w:pPr>
            <w:r>
              <w:rPr>
                <w:b/>
                <w:bCs/>
                <w:color w:val="008768" w:themeColor="accent1"/>
              </w:rPr>
              <w:t>Low</w:t>
            </w:r>
          </w:p>
        </w:tc>
        <w:tc>
          <w:tcPr>
            <w:tcW w:w="1514" w:type="dxa"/>
          </w:tcPr>
          <w:p w14:paraId="67316B84" w14:textId="77777777" w:rsidR="007C5DCA" w:rsidRDefault="007C5DCA" w:rsidP="007C5DCA">
            <w:pPr>
              <w:pStyle w:val="Tabletext"/>
              <w:jc w:val="center"/>
            </w:pPr>
            <w:r>
              <w:t>Negligible (NS)</w:t>
            </w:r>
          </w:p>
        </w:tc>
        <w:tc>
          <w:tcPr>
            <w:tcW w:w="1514" w:type="dxa"/>
          </w:tcPr>
          <w:p w14:paraId="6DF6A38E" w14:textId="77777777" w:rsidR="007C5DCA" w:rsidRDefault="007C5DCA" w:rsidP="007C5DCA">
            <w:pPr>
              <w:pStyle w:val="Tabletext"/>
              <w:jc w:val="center"/>
            </w:pPr>
            <w:r>
              <w:t>Minor (NS)</w:t>
            </w:r>
          </w:p>
        </w:tc>
        <w:tc>
          <w:tcPr>
            <w:tcW w:w="1514" w:type="dxa"/>
          </w:tcPr>
          <w:p w14:paraId="29ED816A" w14:textId="7F9339E8" w:rsidR="007C5DCA" w:rsidRDefault="007C5DCA" w:rsidP="007C5DCA">
            <w:pPr>
              <w:pStyle w:val="Tabletext"/>
              <w:jc w:val="center"/>
            </w:pPr>
            <w:r>
              <w:t>Minor (NS)</w:t>
            </w:r>
          </w:p>
        </w:tc>
        <w:tc>
          <w:tcPr>
            <w:tcW w:w="1514" w:type="dxa"/>
          </w:tcPr>
          <w:p w14:paraId="17520285" w14:textId="49BCEE7B" w:rsidR="007C5DCA" w:rsidRDefault="007C5DCA" w:rsidP="007C5DCA">
            <w:pPr>
              <w:pStyle w:val="Tabletext"/>
              <w:jc w:val="center"/>
            </w:pPr>
            <w:r>
              <w:t>Minor (NS)</w:t>
            </w:r>
          </w:p>
        </w:tc>
        <w:tc>
          <w:tcPr>
            <w:tcW w:w="1514" w:type="dxa"/>
          </w:tcPr>
          <w:p w14:paraId="5DF9D7FB" w14:textId="67A9F45F" w:rsidR="007C5DCA" w:rsidRDefault="007C5DCA" w:rsidP="007C5DCA">
            <w:pPr>
              <w:pStyle w:val="Tabletext"/>
              <w:jc w:val="center"/>
            </w:pPr>
            <w:r>
              <w:t>Minor (NS)</w:t>
            </w:r>
          </w:p>
        </w:tc>
      </w:tr>
      <w:tr w:rsidR="007C5DCA" w:rsidRPr="00CE4840" w14:paraId="0CDA0E99" w14:textId="06325CD7" w:rsidTr="00A7414A">
        <w:trPr>
          <w:trHeight w:val="36"/>
        </w:trPr>
        <w:tc>
          <w:tcPr>
            <w:tcW w:w="646" w:type="dxa"/>
            <w:vMerge/>
            <w:tcBorders>
              <w:top w:val="single" w:sz="4" w:space="0" w:color="auto"/>
              <w:bottom w:val="nil"/>
            </w:tcBorders>
          </w:tcPr>
          <w:p w14:paraId="36447564" w14:textId="77777777" w:rsidR="007C5DCA" w:rsidRPr="005A528C" w:rsidRDefault="007C5DCA" w:rsidP="007C5DCA">
            <w:pPr>
              <w:pStyle w:val="Tabletext"/>
              <w:jc w:val="left"/>
              <w:rPr>
                <w:b/>
                <w:bCs/>
                <w:color w:val="008768" w:themeColor="accent1"/>
              </w:rPr>
            </w:pPr>
          </w:p>
        </w:tc>
        <w:tc>
          <w:tcPr>
            <w:tcW w:w="1140" w:type="dxa"/>
          </w:tcPr>
          <w:p w14:paraId="7B58506C" w14:textId="77777777" w:rsidR="007C5DCA" w:rsidRPr="005A528C" w:rsidRDefault="007C5DCA" w:rsidP="007C5DCA">
            <w:pPr>
              <w:pStyle w:val="Tabletext"/>
              <w:jc w:val="left"/>
              <w:rPr>
                <w:b/>
                <w:bCs/>
                <w:color w:val="008768" w:themeColor="accent1"/>
              </w:rPr>
            </w:pPr>
            <w:r>
              <w:rPr>
                <w:b/>
                <w:bCs/>
                <w:color w:val="008768" w:themeColor="accent1"/>
              </w:rPr>
              <w:t>Medium</w:t>
            </w:r>
          </w:p>
        </w:tc>
        <w:tc>
          <w:tcPr>
            <w:tcW w:w="1514" w:type="dxa"/>
          </w:tcPr>
          <w:p w14:paraId="061229F0" w14:textId="4E2170CB" w:rsidR="007C5DCA" w:rsidRDefault="007C5DCA" w:rsidP="007C5DCA">
            <w:pPr>
              <w:pStyle w:val="Tabletext"/>
              <w:jc w:val="center"/>
            </w:pPr>
            <w:r>
              <w:t>Negligible (NS)</w:t>
            </w:r>
          </w:p>
        </w:tc>
        <w:tc>
          <w:tcPr>
            <w:tcW w:w="1514" w:type="dxa"/>
            <w:vAlign w:val="center"/>
          </w:tcPr>
          <w:p w14:paraId="01DF827B" w14:textId="73F0EACB" w:rsidR="007C5DCA" w:rsidRDefault="007C5DCA" w:rsidP="007C5DCA">
            <w:pPr>
              <w:pStyle w:val="Tabletext"/>
              <w:jc w:val="center"/>
            </w:pPr>
            <w:r>
              <w:t>Minor (NS)</w:t>
            </w:r>
          </w:p>
        </w:tc>
        <w:tc>
          <w:tcPr>
            <w:tcW w:w="1514" w:type="dxa"/>
          </w:tcPr>
          <w:p w14:paraId="769D5530" w14:textId="4B0E90D6" w:rsidR="007C5DCA" w:rsidRDefault="007C5DCA" w:rsidP="007C5DCA">
            <w:pPr>
              <w:pStyle w:val="Tabletext"/>
              <w:jc w:val="center"/>
            </w:pPr>
            <w:r>
              <w:t>Moderate (S)</w:t>
            </w:r>
          </w:p>
        </w:tc>
        <w:tc>
          <w:tcPr>
            <w:tcW w:w="1514" w:type="dxa"/>
          </w:tcPr>
          <w:p w14:paraId="0CD81DDA" w14:textId="08D742C7" w:rsidR="007C5DCA" w:rsidRPr="000E5C30" w:rsidRDefault="007C5DCA" w:rsidP="007C5DCA">
            <w:pPr>
              <w:pStyle w:val="Tabletext"/>
              <w:jc w:val="center"/>
            </w:pPr>
            <w:r>
              <w:t>Moderate (S)</w:t>
            </w:r>
          </w:p>
        </w:tc>
        <w:tc>
          <w:tcPr>
            <w:tcW w:w="1514" w:type="dxa"/>
          </w:tcPr>
          <w:p w14:paraId="552044FF" w14:textId="45298863" w:rsidR="007C5DCA" w:rsidRPr="000E5C30" w:rsidRDefault="007C5DCA" w:rsidP="007C5DCA">
            <w:pPr>
              <w:pStyle w:val="Tabletext"/>
              <w:jc w:val="center"/>
            </w:pPr>
            <w:r>
              <w:t>Moderate (S)</w:t>
            </w:r>
          </w:p>
        </w:tc>
      </w:tr>
      <w:tr w:rsidR="007C5DCA" w:rsidRPr="00CE4840" w14:paraId="57B9CE46" w14:textId="3E1CA73A" w:rsidTr="004F04CB">
        <w:trPr>
          <w:trHeight w:val="245"/>
        </w:trPr>
        <w:tc>
          <w:tcPr>
            <w:tcW w:w="646" w:type="dxa"/>
            <w:vMerge/>
            <w:tcBorders>
              <w:top w:val="single" w:sz="4" w:space="0" w:color="auto"/>
              <w:bottom w:val="single" w:sz="4" w:space="0" w:color="auto"/>
            </w:tcBorders>
          </w:tcPr>
          <w:p w14:paraId="246ECD3D" w14:textId="77777777" w:rsidR="007C5DCA" w:rsidRPr="005A528C" w:rsidRDefault="007C5DCA" w:rsidP="007C5DCA">
            <w:pPr>
              <w:pStyle w:val="Tabletext"/>
              <w:jc w:val="left"/>
              <w:rPr>
                <w:b/>
                <w:bCs/>
                <w:color w:val="008768" w:themeColor="accent1"/>
              </w:rPr>
            </w:pPr>
          </w:p>
        </w:tc>
        <w:tc>
          <w:tcPr>
            <w:tcW w:w="1140" w:type="dxa"/>
          </w:tcPr>
          <w:p w14:paraId="49C465D7" w14:textId="77777777" w:rsidR="007C5DCA" w:rsidRPr="005A528C" w:rsidRDefault="007C5DCA" w:rsidP="007C5DCA">
            <w:pPr>
              <w:pStyle w:val="Tabletext"/>
              <w:jc w:val="left"/>
              <w:rPr>
                <w:b/>
                <w:bCs/>
                <w:color w:val="008768" w:themeColor="accent1"/>
              </w:rPr>
            </w:pPr>
            <w:r>
              <w:rPr>
                <w:b/>
                <w:bCs/>
                <w:color w:val="008768" w:themeColor="accent1"/>
              </w:rPr>
              <w:t>High</w:t>
            </w:r>
          </w:p>
        </w:tc>
        <w:tc>
          <w:tcPr>
            <w:tcW w:w="1514" w:type="dxa"/>
            <w:vAlign w:val="center"/>
          </w:tcPr>
          <w:p w14:paraId="0E83CA4A" w14:textId="64A38D8A" w:rsidR="007C5DCA" w:rsidRDefault="007C5DCA" w:rsidP="00A7414A">
            <w:pPr>
              <w:pStyle w:val="Tabletext"/>
            </w:pPr>
            <w:r>
              <w:t>Negligible (NS)</w:t>
            </w:r>
          </w:p>
        </w:tc>
        <w:tc>
          <w:tcPr>
            <w:tcW w:w="1514" w:type="dxa"/>
            <w:vAlign w:val="center"/>
          </w:tcPr>
          <w:p w14:paraId="70F442E9" w14:textId="7179DA25" w:rsidR="007C5DCA" w:rsidRDefault="007C5DCA" w:rsidP="007C5DCA">
            <w:pPr>
              <w:pStyle w:val="Tabletext"/>
              <w:jc w:val="center"/>
            </w:pPr>
            <w:r>
              <w:t>Minor (NS)</w:t>
            </w:r>
          </w:p>
        </w:tc>
        <w:tc>
          <w:tcPr>
            <w:tcW w:w="1514" w:type="dxa"/>
          </w:tcPr>
          <w:p w14:paraId="65B7D02A" w14:textId="65620B5D" w:rsidR="007C5DCA" w:rsidRDefault="007C5DCA" w:rsidP="007C5DCA">
            <w:pPr>
              <w:pStyle w:val="Tabletext"/>
              <w:jc w:val="center"/>
            </w:pPr>
            <w:r>
              <w:t>Moderate (S)</w:t>
            </w:r>
          </w:p>
        </w:tc>
        <w:tc>
          <w:tcPr>
            <w:tcW w:w="1514" w:type="dxa"/>
          </w:tcPr>
          <w:p w14:paraId="60796524" w14:textId="13E1C40F" w:rsidR="007C5DCA" w:rsidRPr="000E5C30" w:rsidRDefault="007C5DCA" w:rsidP="007C5DCA">
            <w:pPr>
              <w:pStyle w:val="Tabletext"/>
              <w:jc w:val="center"/>
            </w:pPr>
            <w:r>
              <w:t>Major (S)</w:t>
            </w:r>
          </w:p>
        </w:tc>
        <w:tc>
          <w:tcPr>
            <w:tcW w:w="1514" w:type="dxa"/>
          </w:tcPr>
          <w:p w14:paraId="6C481ED4" w14:textId="67AF27FB" w:rsidR="007C5DCA" w:rsidRPr="000E5C30" w:rsidRDefault="007C5DCA" w:rsidP="007C5DCA">
            <w:pPr>
              <w:pStyle w:val="Tabletext"/>
              <w:jc w:val="center"/>
            </w:pPr>
            <w:r>
              <w:t>Major (S)</w:t>
            </w:r>
          </w:p>
        </w:tc>
      </w:tr>
      <w:tr w:rsidR="00AA2085" w:rsidRPr="00CE4840" w14:paraId="10ED08C3" w14:textId="77777777">
        <w:trPr>
          <w:trHeight w:val="245"/>
        </w:trPr>
        <w:tc>
          <w:tcPr>
            <w:tcW w:w="646" w:type="dxa"/>
            <w:tcBorders>
              <w:top w:val="single" w:sz="4" w:space="0" w:color="auto"/>
              <w:bottom w:val="nil"/>
            </w:tcBorders>
          </w:tcPr>
          <w:p w14:paraId="29C4D87E" w14:textId="77777777" w:rsidR="00AA2085" w:rsidRPr="005A528C" w:rsidRDefault="00AA2085" w:rsidP="007C5DCA">
            <w:pPr>
              <w:pStyle w:val="Tabletext"/>
              <w:jc w:val="left"/>
              <w:rPr>
                <w:b/>
                <w:bCs/>
                <w:color w:val="008768" w:themeColor="accent1"/>
              </w:rPr>
            </w:pPr>
          </w:p>
        </w:tc>
        <w:tc>
          <w:tcPr>
            <w:tcW w:w="8710" w:type="dxa"/>
            <w:gridSpan w:val="6"/>
          </w:tcPr>
          <w:p w14:paraId="4AED694A" w14:textId="44D3B5F3" w:rsidR="00AA2085" w:rsidRDefault="00AA2085" w:rsidP="004F04CB">
            <w:pPr>
              <w:pStyle w:val="Tabletext"/>
              <w:jc w:val="left"/>
            </w:pPr>
            <w:r w:rsidRPr="00E830E7">
              <w:rPr>
                <w:i/>
                <w:iCs/>
              </w:rPr>
              <w:t>S = Significant, NS = Not Significant</w:t>
            </w:r>
          </w:p>
        </w:tc>
      </w:tr>
    </w:tbl>
    <w:p w14:paraId="6C32E785" w14:textId="77777777" w:rsidR="00251DF7" w:rsidRPr="00F21C59" w:rsidRDefault="00251DF7" w:rsidP="00F21C59">
      <w:pPr>
        <w:pStyle w:val="BodyText"/>
      </w:pPr>
    </w:p>
    <w:p w14:paraId="3EFD58AE" w14:textId="278ACC4D" w:rsidR="00DC7936" w:rsidRDefault="00DD621C" w:rsidP="00DC7936">
      <w:pPr>
        <w:pStyle w:val="Heading3"/>
      </w:pPr>
      <w:bookmarkStart w:id="105" w:name="_Toc239776189"/>
      <w:r>
        <w:t>Assumptions &amp; Limitations</w:t>
      </w:r>
      <w:bookmarkEnd w:id="105"/>
    </w:p>
    <w:p w14:paraId="1C60312E" w14:textId="08DA0035" w:rsidR="00DD621C" w:rsidRDefault="00DD621C" w:rsidP="00DD621C">
      <w:pPr>
        <w:pStyle w:val="Heading4"/>
      </w:pPr>
      <w:r>
        <w:t>Lifecycle GHG Assessment</w:t>
      </w:r>
    </w:p>
    <w:p w14:paraId="3E078138" w14:textId="16FEA10B" w:rsidR="00B425AD" w:rsidRPr="00A7414A" w:rsidRDefault="00B425AD" w:rsidP="00B425AD">
      <w:pPr>
        <w:pStyle w:val="BodyText"/>
      </w:pPr>
      <w:r w:rsidRPr="00A7414A">
        <w:t xml:space="preserve">The assumptions for the GHG Assessment </w:t>
      </w:r>
      <w:r w:rsidR="00F763F5">
        <w:t>a</w:t>
      </w:r>
      <w:r w:rsidRPr="00A7414A">
        <w:t>re aligned with industry best practices, incorporating the GHG Protocol accounting methodology to co</w:t>
      </w:r>
      <w:r w:rsidR="00083766">
        <w:t>nside</w:t>
      </w:r>
      <w:r w:rsidRPr="00A7414A">
        <w:t xml:space="preserve">r </w:t>
      </w:r>
      <w:r w:rsidR="00226C08">
        <w:t>up</w:t>
      </w:r>
      <w:r w:rsidR="00083766">
        <w:t>stream and downstream</w:t>
      </w:r>
      <w:r w:rsidR="00442F1C">
        <w:t xml:space="preserve"> emissions</w:t>
      </w:r>
      <w:r w:rsidRPr="00A7414A">
        <w:t>. Where applicable, assumptions were based on EU and Irish policies</w:t>
      </w:r>
      <w:r w:rsidR="00F763F5">
        <w:t>. I</w:t>
      </w:r>
      <w:r w:rsidRPr="00A7414A">
        <w:t xml:space="preserve">n the absence of such policies, industry references </w:t>
      </w:r>
      <w:r w:rsidR="00F763F5">
        <w:t xml:space="preserve">have been </w:t>
      </w:r>
      <w:r w:rsidRPr="00A7414A">
        <w:t>utilised to justify specific assumptions.</w:t>
      </w:r>
    </w:p>
    <w:p w14:paraId="1551C086" w14:textId="77777777" w:rsidR="00B425AD" w:rsidRPr="00A7414A" w:rsidRDefault="00B425AD" w:rsidP="00B425AD">
      <w:pPr>
        <w:pStyle w:val="BodyText"/>
      </w:pPr>
      <w:r w:rsidRPr="00A7414A">
        <w:t xml:space="preserve">Where detailed information is not available regarding types and quantities of materials used, energy use or the embodied carbon of key features of the assets, precautionary assumptions have been made based on industry approximations and professional good practice. </w:t>
      </w:r>
    </w:p>
    <w:p w14:paraId="2AEC26E4" w14:textId="1FCFE22C" w:rsidR="00DF68D8" w:rsidRDefault="00600E2E" w:rsidP="00B425AD">
      <w:pPr>
        <w:pStyle w:val="BodyText"/>
      </w:pPr>
      <w:r>
        <w:t xml:space="preserve">The </w:t>
      </w:r>
      <w:r w:rsidR="00073BDA">
        <w:t>GHG emissions resulting from the construction and operation</w:t>
      </w:r>
      <w:r w:rsidR="000703F5">
        <w:t xml:space="preserve"> of the residential buildings within the Proposed Development have been determined using industry benchmarks </w:t>
      </w:r>
      <w:r w:rsidR="00021678">
        <w:t xml:space="preserve">(FHH, 2025) </w:t>
      </w:r>
      <w:r w:rsidR="001928AC">
        <w:t xml:space="preserve">due to the </w:t>
      </w:r>
      <w:r w:rsidR="00FA2912">
        <w:t xml:space="preserve">unavailability of material quantities at the time of </w:t>
      </w:r>
      <w:r w:rsidR="00F763F5">
        <w:t xml:space="preserve">writing </w:t>
      </w:r>
      <w:r w:rsidR="00FA2912">
        <w:t>the assessment.</w:t>
      </w:r>
    </w:p>
    <w:p w14:paraId="62DC8E84" w14:textId="3D4B5233" w:rsidR="006766FC" w:rsidRDefault="00A50E5D" w:rsidP="00B425AD">
      <w:pPr>
        <w:pStyle w:val="BodyText"/>
      </w:pPr>
      <w:r>
        <w:t>Additiona</w:t>
      </w:r>
      <w:r w:rsidR="004E2EF1">
        <w:t>l assumption</w:t>
      </w:r>
      <w:r w:rsidR="00A2111B">
        <w:t>s</w:t>
      </w:r>
      <w:r w:rsidR="004E2EF1">
        <w:t xml:space="preserve"> relevant to the as</w:t>
      </w:r>
      <w:r w:rsidR="00B35F20">
        <w:t>sessment of GHG emissions include:</w:t>
      </w:r>
    </w:p>
    <w:p w14:paraId="7D13B3B5" w14:textId="5228A975" w:rsidR="00237820" w:rsidRDefault="003D4AB8" w:rsidP="00635F91">
      <w:pPr>
        <w:pStyle w:val="BulletPoint1"/>
      </w:pPr>
      <w:r>
        <w:t xml:space="preserve">The construction period is expected to </w:t>
      </w:r>
      <w:r w:rsidR="007E3082" w:rsidRPr="007E3082">
        <w:t>span</w:t>
      </w:r>
      <w:r>
        <w:t xml:space="preserve"> approximately </w:t>
      </w:r>
      <w:r w:rsidR="007E3082" w:rsidRPr="007E3082">
        <w:t>two</w:t>
      </w:r>
      <w:r>
        <w:t xml:space="preserve"> years</w:t>
      </w:r>
      <w:r w:rsidR="007E3082" w:rsidRPr="007E3082">
        <w:t>,</w:t>
      </w:r>
      <w:r>
        <w:t xml:space="preserve"> </w:t>
      </w:r>
      <w:r w:rsidR="00AC1294">
        <w:t xml:space="preserve">from </w:t>
      </w:r>
      <w:r w:rsidR="007E3082" w:rsidRPr="007E3082">
        <w:t>June 2027 to May 2029. On-site construction is expected to begin in January</w:t>
      </w:r>
      <w:r w:rsidR="00AC1294">
        <w:t xml:space="preserve"> 2028 </w:t>
      </w:r>
      <w:r w:rsidR="007E3082" w:rsidRPr="007E3082">
        <w:t>and to complete in May</w:t>
      </w:r>
      <w:r w:rsidR="00AC1294">
        <w:t xml:space="preserve"> 2029</w:t>
      </w:r>
      <w:r w:rsidR="00BA146B">
        <w:t xml:space="preserve">, with </w:t>
      </w:r>
      <w:r w:rsidR="007E3082" w:rsidRPr="007E3082">
        <w:t>handover expected to be completed in</w:t>
      </w:r>
      <w:r w:rsidR="00BA146B">
        <w:t xml:space="preserve"> </w:t>
      </w:r>
      <w:r w:rsidR="000549CC">
        <w:t>2030</w:t>
      </w:r>
      <w:r w:rsidR="00F763F5">
        <w:t>;</w:t>
      </w:r>
    </w:p>
    <w:p w14:paraId="22717220" w14:textId="7CF9D26E" w:rsidR="000549CC" w:rsidRDefault="000549CC" w:rsidP="00635F91">
      <w:pPr>
        <w:pStyle w:val="BulletPoint1"/>
      </w:pPr>
      <w:r>
        <w:t>The nominal design life over which operational emissions are assessed is 60 years</w:t>
      </w:r>
      <w:r w:rsidR="00F763F5">
        <w:t>;</w:t>
      </w:r>
    </w:p>
    <w:p w14:paraId="3A092031" w14:textId="170AB981" w:rsidR="00A2111B" w:rsidRDefault="00A77E9D" w:rsidP="00635F91">
      <w:pPr>
        <w:pStyle w:val="BulletPoint1"/>
      </w:pPr>
      <w:r>
        <w:t xml:space="preserve">It is estimated that 1,299 m of new roads will be required to be constructed for the Proposed Development. </w:t>
      </w:r>
      <w:r w:rsidR="00BD78F6">
        <w:t xml:space="preserve">It is assumed all roads will be 6 m wide </w:t>
      </w:r>
      <w:r w:rsidR="00736E02">
        <w:t xml:space="preserve">and be constructed in line with the SDCC </w:t>
      </w:r>
      <w:r w:rsidR="008336DF" w:rsidRPr="008336DF">
        <w:t>Taking in Charge</w:t>
      </w:r>
      <w:r w:rsidR="008336DF">
        <w:t xml:space="preserve"> (</w:t>
      </w:r>
      <w:r w:rsidR="00736E02">
        <w:t>TIC</w:t>
      </w:r>
      <w:r w:rsidR="008336DF">
        <w:t>)</w:t>
      </w:r>
      <w:r w:rsidR="00736E02">
        <w:t xml:space="preserve"> Policy Appendix 6 – Roads Minimum Standards</w:t>
      </w:r>
      <w:r w:rsidR="00A0533D">
        <w:t>, IS EN 13108</w:t>
      </w:r>
      <w:r w:rsidR="00FB1EF8">
        <w:t xml:space="preserve"> and SR28</w:t>
      </w:r>
      <w:r w:rsidR="00F763F5">
        <w:t>;</w:t>
      </w:r>
    </w:p>
    <w:p w14:paraId="0EFF364D" w14:textId="117B40F0" w:rsidR="00E47943" w:rsidRDefault="00214F5F" w:rsidP="00635F91">
      <w:pPr>
        <w:pStyle w:val="BulletPoint1"/>
      </w:pPr>
      <w:r>
        <w:t xml:space="preserve">All emissions relating to the construction installation process (including worker travel) </w:t>
      </w:r>
      <w:r w:rsidR="00316B6B">
        <w:t>and land use change</w:t>
      </w:r>
      <w:r>
        <w:t xml:space="preserve"> </w:t>
      </w:r>
      <w:r w:rsidR="00E80FBA">
        <w:t>for residential buildings are</w:t>
      </w:r>
      <w:r>
        <w:t xml:space="preserve"> accounted for</w:t>
      </w:r>
      <w:r w:rsidR="00C924A8">
        <w:t xml:space="preserve"> within the benchmark factors</w:t>
      </w:r>
      <w:r w:rsidR="00F763F5">
        <w:t>;</w:t>
      </w:r>
      <w:r>
        <w:t xml:space="preserve"> </w:t>
      </w:r>
    </w:p>
    <w:p w14:paraId="0DB842A1" w14:textId="4076FE12" w:rsidR="00C63B34" w:rsidRDefault="00282E5F" w:rsidP="00635F91">
      <w:pPr>
        <w:pStyle w:val="BulletPoint1"/>
      </w:pPr>
      <w:r>
        <w:t>Maintenance plans</w:t>
      </w:r>
      <w:r w:rsidR="00C4787C">
        <w:t xml:space="preserve"> for residential buildings</w:t>
      </w:r>
      <w:r>
        <w:t xml:space="preserve"> are aligned with the carbon intensity of utilised benchmarks</w:t>
      </w:r>
      <w:r w:rsidR="00F763F5">
        <w:t>;</w:t>
      </w:r>
    </w:p>
    <w:p w14:paraId="30A3FC27" w14:textId="2FFDCBF0" w:rsidR="00A87DD1" w:rsidRDefault="00C63B34" w:rsidP="00635F91">
      <w:pPr>
        <w:pStyle w:val="BulletPoint1"/>
      </w:pPr>
      <w:r>
        <w:t xml:space="preserve">Maintenance and repair emissions associated with the new roads </w:t>
      </w:r>
      <w:r w:rsidR="005B2979">
        <w:t xml:space="preserve">have been calculated using standard RICS </w:t>
      </w:r>
      <w:r w:rsidR="00B250A0">
        <w:t>(2023)</w:t>
      </w:r>
      <w:r w:rsidR="005B2979">
        <w:t xml:space="preserve"> assumptions</w:t>
      </w:r>
      <w:r w:rsidR="00FC70F8">
        <w:t>. Replacement emissions assume</w:t>
      </w:r>
      <w:r w:rsidR="007909FB">
        <w:t xml:space="preserve"> one</w:t>
      </w:r>
      <w:r w:rsidR="00FC70F8">
        <w:t xml:space="preserve"> </w:t>
      </w:r>
      <w:r w:rsidR="007909FB">
        <w:t xml:space="preserve">road </w:t>
      </w:r>
      <w:r w:rsidR="00FC70F8">
        <w:t xml:space="preserve">resurfacing </w:t>
      </w:r>
      <w:r w:rsidR="007909FB">
        <w:t>during the stated operational period of the Proposed Development</w:t>
      </w:r>
      <w:r w:rsidR="00F763F5">
        <w:t>;</w:t>
      </w:r>
    </w:p>
    <w:p w14:paraId="352C4531" w14:textId="36857008" w:rsidR="009073CE" w:rsidRDefault="009073CE" w:rsidP="00635F91">
      <w:pPr>
        <w:pStyle w:val="BulletPoint1"/>
      </w:pPr>
      <w:r>
        <w:t xml:space="preserve">Energy demand and emissions projections are </w:t>
      </w:r>
      <w:r w:rsidR="000219C8">
        <w:t xml:space="preserve">based on UK data in the absence of </w:t>
      </w:r>
      <w:r w:rsidR="00026FEF">
        <w:t>Ireland</w:t>
      </w:r>
      <w:r w:rsidR="000219C8">
        <w:t xml:space="preserve"> specific information</w:t>
      </w:r>
      <w:r w:rsidR="00F763F5">
        <w:t>;</w:t>
      </w:r>
    </w:p>
    <w:p w14:paraId="3FF39E6C" w14:textId="3827C570" w:rsidR="00B579CB" w:rsidRDefault="00A07DCF" w:rsidP="00635F91">
      <w:pPr>
        <w:pStyle w:val="BulletPoint1"/>
      </w:pPr>
      <w:r>
        <w:t xml:space="preserve">Operational energy </w:t>
      </w:r>
      <w:r w:rsidR="002E1897">
        <w:t>emissions</w:t>
      </w:r>
      <w:r>
        <w:t xml:space="preserve"> for the substation are not considered within this assessment as they are not expected to materially contribute to the carbon footprint of the Proposed Development.</w:t>
      </w:r>
      <w:r w:rsidR="00805877">
        <w:t xml:space="preserve"> Operational energy emissions related to the Proposed Development are considered to be captured by the </w:t>
      </w:r>
      <w:r w:rsidR="008E03AA">
        <w:t>energy demand of the residential component</w:t>
      </w:r>
      <w:r w:rsidR="00F763F5">
        <w:t>;</w:t>
      </w:r>
    </w:p>
    <w:p w14:paraId="2D33C12F" w14:textId="48C9BD28" w:rsidR="009678B0" w:rsidRDefault="009678B0" w:rsidP="00635F91">
      <w:pPr>
        <w:pStyle w:val="BulletPoint1"/>
      </w:pPr>
      <w:r>
        <w:t xml:space="preserve">User utilisation emissions (B8) </w:t>
      </w:r>
      <w:r w:rsidR="00F6679B">
        <w:t xml:space="preserve">have been </w:t>
      </w:r>
      <w:r>
        <w:t xml:space="preserve">estimated </w:t>
      </w:r>
      <w:r w:rsidR="00032556">
        <w:t xml:space="preserve">based on the assumption that </w:t>
      </w:r>
      <w:r w:rsidR="005846A7">
        <w:t>7</w:t>
      </w:r>
      <w:r w:rsidR="00032556">
        <w:t xml:space="preserve">0% of the 272 total residents will commute daily to </w:t>
      </w:r>
      <w:r w:rsidR="00CB7C2C">
        <w:t>Dublin</w:t>
      </w:r>
      <w:r w:rsidR="005846A7">
        <w:t>, with an average return journey of 20 km</w:t>
      </w:r>
      <w:r w:rsidR="00CB7C2C">
        <w:t xml:space="preserve">. </w:t>
      </w:r>
      <w:r w:rsidR="005846A7">
        <w:t xml:space="preserve">There is assumed to be an </w:t>
      </w:r>
      <w:r w:rsidR="00D775D3">
        <w:t>even split between light rail, bus and personal car modes of transport</w:t>
      </w:r>
      <w:r w:rsidR="00F763F5">
        <w:t>; and</w:t>
      </w:r>
    </w:p>
    <w:p w14:paraId="4FD24764" w14:textId="3417558D" w:rsidR="00430BA7" w:rsidRPr="00B425AD" w:rsidRDefault="009E3CD2" w:rsidP="00635F91">
      <w:pPr>
        <w:pStyle w:val="BulletPoint1"/>
      </w:pPr>
      <w:r>
        <w:lastRenderedPageBreak/>
        <w:t>Emissions</w:t>
      </w:r>
      <w:r w:rsidR="00430BA7">
        <w:t xml:space="preserve"> relating to the decommissioning phase have not been considered as the Proposed Development is expected to continue opera</w:t>
      </w:r>
      <w:r w:rsidR="00B42708">
        <w:t>tion beyond its stated design life.</w:t>
      </w:r>
    </w:p>
    <w:p w14:paraId="5EB77CC0" w14:textId="6192986B" w:rsidR="00DD621C" w:rsidRDefault="00DD621C" w:rsidP="00DD621C">
      <w:pPr>
        <w:pStyle w:val="Heading4"/>
      </w:pPr>
      <w:r>
        <w:t>Climate Change Risk Assessment</w:t>
      </w:r>
    </w:p>
    <w:p w14:paraId="731C78D7" w14:textId="79B498AF" w:rsidR="00715001" w:rsidRPr="002015F6" w:rsidRDefault="00715001" w:rsidP="00715001">
      <w:pPr>
        <w:pStyle w:val="BodyText"/>
      </w:pPr>
      <w:r w:rsidRPr="002015F6">
        <w:t>The methodology for the CCRA has been developed in line with appropriate industry guidance for assessing climate change resilience and adaptation</w:t>
      </w:r>
      <w:r w:rsidRPr="00F74AA4">
        <w:t>, including ISEP</w:t>
      </w:r>
      <w:r w:rsidR="00F74AA4" w:rsidRPr="00A7414A">
        <w:t xml:space="preserve"> (2020)</w:t>
      </w:r>
      <w:r w:rsidRPr="00F74AA4">
        <w:t xml:space="preserve"> </w:t>
      </w:r>
      <w:r w:rsidRPr="00833377">
        <w:t xml:space="preserve">and in accordance with the EU Commission Notice (2021/C 373/01) Technical </w:t>
      </w:r>
      <w:r w:rsidR="00F6679B">
        <w:t>G</w:t>
      </w:r>
      <w:r w:rsidRPr="00833377">
        <w:t>uidance</w:t>
      </w:r>
      <w:r w:rsidR="00833377" w:rsidRPr="00A7414A">
        <w:t xml:space="preserve"> (European Commission, 2021</w:t>
      </w:r>
      <w:r w:rsidR="00F74AA4">
        <w:t>d</w:t>
      </w:r>
      <w:r w:rsidR="00833377" w:rsidRPr="00A7414A">
        <w:t>)</w:t>
      </w:r>
      <w:r w:rsidR="00A54F6B" w:rsidRPr="00833377">
        <w:t xml:space="preserve">. </w:t>
      </w:r>
      <w:r w:rsidRPr="00833377">
        <w:t>Following desk-based research to obtain qualitative and quantitative baseline climate data and future climate</w:t>
      </w:r>
      <w:r w:rsidRPr="002015F6">
        <w:t xml:space="preserve"> change projections data, a risk assessment </w:t>
      </w:r>
      <w:r w:rsidR="00E92449">
        <w:t xml:space="preserve">has been </w:t>
      </w:r>
      <w:r w:rsidRPr="002015F6">
        <w:t xml:space="preserve">undertaken to identify potential physical climate risks that could pose a threat to the Proposed Development during </w:t>
      </w:r>
      <w:r w:rsidR="00E92449">
        <w:t xml:space="preserve">its </w:t>
      </w:r>
      <w:r w:rsidRPr="002015F6">
        <w:t xml:space="preserve">construction and operation. </w:t>
      </w:r>
    </w:p>
    <w:p w14:paraId="2654D4A8" w14:textId="2A484454" w:rsidR="00715001" w:rsidRPr="002015F6" w:rsidRDefault="00715001" w:rsidP="00715001">
      <w:pPr>
        <w:pStyle w:val="BodyText"/>
      </w:pPr>
      <w:r w:rsidRPr="002015F6">
        <w:t>The CCRA includes all infrastructure and assets associated with the Proposed Development during its construction and operational phase, as well as human receptors. This assessment looks at the resilience against both gradual climate change, i.e. chronic climate-related hazards, and the risks associated with an increased frequency of severe weather events, i.e. acute events.</w:t>
      </w:r>
    </w:p>
    <w:p w14:paraId="1F6EF0F3" w14:textId="77960880" w:rsidR="00715001" w:rsidRPr="002015F6" w:rsidRDefault="00715001" w:rsidP="00715001">
      <w:pPr>
        <w:pStyle w:val="BodyText"/>
      </w:pPr>
      <w:r w:rsidRPr="002015F6">
        <w:t xml:space="preserve">In order to understand how the global climate may change in the future, the IPCC's fifth Assessment Report (AR5) </w:t>
      </w:r>
      <w:r w:rsidR="00C348F3">
        <w:t xml:space="preserve">(IPCC, 2014) </w:t>
      </w:r>
      <w:r w:rsidRPr="002015F6">
        <w:t xml:space="preserve">developed Representative Concentration Pathways (RCPs) that describe four different 21st Century </w:t>
      </w:r>
      <w:r w:rsidRPr="008A088A">
        <w:t xml:space="preserve">pathways of GHG emissions depending on the level of mitigation action undertaken between now and </w:t>
      </w:r>
      <w:r w:rsidR="0089039A" w:rsidRPr="0089039A">
        <w:t>the end of the century</w:t>
      </w:r>
      <w:r w:rsidR="0003793C">
        <w:t xml:space="preserve">. </w:t>
      </w:r>
      <w:r w:rsidRPr="008A088A">
        <w:t>The RCPs are based on global research and existing literature and comprise a stringent mitigation pathway (RCP2.6), two intermediate scenarios (RCP4.5 and RCP6.0) and a high emissions scenario (RCP8.5).</w:t>
      </w:r>
      <w:r w:rsidRPr="002015F6">
        <w:t xml:space="preserve"> </w:t>
      </w:r>
    </w:p>
    <w:p w14:paraId="7E1E4B6D" w14:textId="77777777" w:rsidR="00715001" w:rsidRDefault="00715001" w:rsidP="00715001">
      <w:pPr>
        <w:pStyle w:val="BodyText"/>
      </w:pPr>
      <w:r w:rsidRPr="002015F6">
        <w:t>It is important to un</w:t>
      </w:r>
      <w:r>
        <w:t>derstand when using climate change projections, that they contain inherent uncertainty. This uncertainty is the result of limitations of available measurements and challenges in evaluating causation in complex and multi-component processes. Uncertainty in climate change projections is derived from multiple sources including:</w:t>
      </w:r>
    </w:p>
    <w:p w14:paraId="6B409ACB" w14:textId="6DD22033" w:rsidR="00715001" w:rsidRDefault="00715001" w:rsidP="008928B6">
      <w:pPr>
        <w:pStyle w:val="BulletPoint1"/>
      </w:pPr>
      <w:r>
        <w:t>Uncertainty in how GHG emissions will change over time due to key unknowns in the drivers of this change; such drivers include economic and population growth, lifestyle and behavioural changes, associated changes in energy use and land use, technology, and climate policy</w:t>
      </w:r>
      <w:r w:rsidR="000036FC">
        <w:t>; and</w:t>
      </w:r>
    </w:p>
    <w:p w14:paraId="287F43E0" w14:textId="6B817476" w:rsidR="00715001" w:rsidRDefault="00715001" w:rsidP="008928B6">
      <w:pPr>
        <w:pStyle w:val="BulletPoint1"/>
      </w:pPr>
      <w:r>
        <w:t>Variable confidence levels in how well the climate models predict different climate variables; for example, climate models perform less well in their simulation of large-scale precipitation patterns than for surface temperature</w:t>
      </w:r>
      <w:r w:rsidR="000036FC">
        <w:t>.</w:t>
      </w:r>
    </w:p>
    <w:p w14:paraId="56904005" w14:textId="12109382" w:rsidR="00DC7936" w:rsidRDefault="00715001" w:rsidP="00715001">
      <w:pPr>
        <w:pStyle w:val="ListBullet"/>
        <w:tabs>
          <w:tab w:val="clear" w:pos="425"/>
        </w:tabs>
        <w:ind w:left="0" w:firstLine="1"/>
      </w:pPr>
      <w:r w:rsidRPr="00B87A35">
        <w:t>For these reasons, it is best practice to use a range of projection scenarios when considering how the climate may change in the future. As a result, two RCP scenarios were used in this CCRA as they will provide decision-makers with a more holistic understanding of the range of potential climate futures possible, which is essential when understanding risk and developing appropriate adaptation measures.</w:t>
      </w:r>
    </w:p>
    <w:p w14:paraId="78DC6B72" w14:textId="082686CA" w:rsidR="00911729" w:rsidRDefault="00C55045" w:rsidP="00F425BB">
      <w:pPr>
        <w:pStyle w:val="Heading2"/>
      </w:pPr>
      <w:bookmarkStart w:id="106" w:name="_Toc239776190"/>
      <w:r>
        <w:t>Baseline Environment</w:t>
      </w:r>
      <w:bookmarkEnd w:id="106"/>
    </w:p>
    <w:p w14:paraId="211A7B26" w14:textId="3F1FD38F" w:rsidR="00DD621C" w:rsidRDefault="00DD621C" w:rsidP="00DD621C">
      <w:pPr>
        <w:pStyle w:val="Heading3"/>
      </w:pPr>
      <w:bookmarkStart w:id="107" w:name="_Toc239776191"/>
      <w:r>
        <w:t>Lifecycle GHG Assessment</w:t>
      </w:r>
      <w:bookmarkEnd w:id="107"/>
    </w:p>
    <w:p w14:paraId="0A25E45E" w14:textId="77777777" w:rsidR="00B44F01" w:rsidRDefault="00B44F01" w:rsidP="00B44F01">
      <w:pPr>
        <w:pStyle w:val="BodyText"/>
      </w:pPr>
      <w:r>
        <w:t xml:space="preserve">For the purposes of the Lifecycle GHG Assessment, the baseline represents a business-as-usual scenario in which the Proposed Development does not proceed. </w:t>
      </w:r>
    </w:p>
    <w:p w14:paraId="5BD64DA4" w14:textId="7E04411D" w:rsidR="00715001" w:rsidRPr="00715001" w:rsidRDefault="001847A0" w:rsidP="00B44F01">
      <w:pPr>
        <w:pStyle w:val="BodyText"/>
      </w:pPr>
      <w:r>
        <w:t xml:space="preserve">For </w:t>
      </w:r>
      <w:r w:rsidR="00B44F01">
        <w:t xml:space="preserve">a conservative and transparent comparison, the baseline is treated as a </w:t>
      </w:r>
      <w:r w:rsidR="00A015C7">
        <w:t>‘</w:t>
      </w:r>
      <w:r w:rsidR="00B44F01">
        <w:t>zero-emissions</w:t>
      </w:r>
      <w:r w:rsidR="00A015C7">
        <w:t>’</w:t>
      </w:r>
      <w:r w:rsidR="00B44F01">
        <w:t xml:space="preserve"> scenario, meaning all emissions from the Proposed Development are considered additional. This approach provides a worst-case benchmark against which the net GHG impacts of the Proposed Development can be assessed.</w:t>
      </w:r>
    </w:p>
    <w:p w14:paraId="3D1C0806" w14:textId="0E6B7814" w:rsidR="00DD621C" w:rsidRDefault="00DD621C" w:rsidP="00DD621C">
      <w:pPr>
        <w:pStyle w:val="Heading3"/>
      </w:pPr>
      <w:bookmarkStart w:id="108" w:name="_Toc239776192"/>
      <w:r>
        <w:t>Climate Change Risk Assessment</w:t>
      </w:r>
      <w:bookmarkEnd w:id="108"/>
    </w:p>
    <w:p w14:paraId="394BE50E" w14:textId="77777777" w:rsidR="00A125AF" w:rsidRDefault="00A125AF" w:rsidP="00A125AF">
      <w:pPr>
        <w:pStyle w:val="BodyText"/>
      </w:pPr>
      <w:r>
        <w:t xml:space="preserve">This section outlines the historic climate baseline data used for undertaking the CCRA. The subsequent section outlines the climate projection data gathered, the justification for the chosen future time period and the RCP scenarios used in this CCRA. </w:t>
      </w:r>
    </w:p>
    <w:p w14:paraId="6AF97D9A" w14:textId="6218ACFA" w:rsidR="00B44F01" w:rsidRPr="006F6A57" w:rsidRDefault="00A125AF" w:rsidP="00A125AF">
      <w:pPr>
        <w:pStyle w:val="BodyText"/>
      </w:pPr>
      <w:r>
        <w:t xml:space="preserve">For the purposes of this CCRA, the baseline conditions were based upon historic qualitative and quantitative climate data obtained from Met Éireann. The quantitative data used was sourced from Met </w:t>
      </w:r>
      <w:r>
        <w:lastRenderedPageBreak/>
        <w:t xml:space="preserve">Éireann’s </w:t>
      </w:r>
      <w:r w:rsidR="00FF22EB">
        <w:t>Casement</w:t>
      </w:r>
      <w:r>
        <w:t xml:space="preserve"> Weather Station due to it being located within </w:t>
      </w:r>
      <w:r w:rsidR="006513E2">
        <w:t>8</w:t>
      </w:r>
      <w:r w:rsidR="00A015C7">
        <w:t xml:space="preserve"> </w:t>
      </w:r>
      <w:r w:rsidR="006513E2" w:rsidRPr="00A555A5">
        <w:t>km of the Proposed Development</w:t>
      </w:r>
      <w:r w:rsidRPr="00A555A5">
        <w:t xml:space="preserve">, as well as its data availability for the required climate variables and baseline period </w:t>
      </w:r>
      <w:r w:rsidR="006513E2" w:rsidRPr="00A555A5">
        <w:t xml:space="preserve">of </w:t>
      </w:r>
      <w:r w:rsidRPr="001E0FEC">
        <w:t>19</w:t>
      </w:r>
      <w:r w:rsidR="006513E2" w:rsidRPr="001E0FEC">
        <w:t>81</w:t>
      </w:r>
      <w:r w:rsidRPr="001E0FEC">
        <w:t>-20</w:t>
      </w:r>
      <w:r w:rsidR="006E7E41" w:rsidRPr="001E0FEC">
        <w:t>10</w:t>
      </w:r>
      <w:r w:rsidRPr="006F6A57">
        <w:t xml:space="preserve">. </w:t>
      </w:r>
    </w:p>
    <w:p w14:paraId="33F1F379" w14:textId="5D8B5F30" w:rsidR="00A125AF" w:rsidRPr="006F6A57" w:rsidRDefault="00A125AF" w:rsidP="00A125AF">
      <w:pPr>
        <w:pStyle w:val="Heading5"/>
      </w:pPr>
      <w:r w:rsidRPr="006F6A57">
        <w:t>Past Extreme Weather Events</w:t>
      </w:r>
    </w:p>
    <w:p w14:paraId="0C8B5E2E" w14:textId="67B0E7EE" w:rsidR="0081188E" w:rsidRPr="006F6A57" w:rsidRDefault="0081188E" w:rsidP="0081188E">
      <w:pPr>
        <w:pStyle w:val="BodyText"/>
      </w:pPr>
      <w:r w:rsidRPr="006F6A57">
        <w:t xml:space="preserve">The following past extreme weather events </w:t>
      </w:r>
      <w:r w:rsidR="008D33AA">
        <w:t xml:space="preserve">of relevance to Proposed Development have been </w:t>
      </w:r>
      <w:r w:rsidRPr="006F6A57">
        <w:t xml:space="preserve">identified: </w:t>
      </w:r>
    </w:p>
    <w:p w14:paraId="59A8B87E" w14:textId="08BE91FF" w:rsidR="0081188E" w:rsidRPr="006F6A57" w:rsidRDefault="0081188E" w:rsidP="008928B6">
      <w:pPr>
        <w:pStyle w:val="BulletPoint1"/>
      </w:pPr>
      <w:r w:rsidRPr="006F6A57">
        <w:t xml:space="preserve">Wettest </w:t>
      </w:r>
      <w:r w:rsidR="00765001" w:rsidRPr="006F6A57">
        <w:t>year on record</w:t>
      </w:r>
      <w:r w:rsidRPr="006F6A57">
        <w:t xml:space="preserve">: </w:t>
      </w:r>
      <w:r w:rsidR="00EB3D7E" w:rsidRPr="006F6A57">
        <w:t>Ireland</w:t>
      </w:r>
      <w:r w:rsidRPr="006F6A57">
        <w:t xml:space="preserve"> recorded it</w:t>
      </w:r>
      <w:r w:rsidR="00EB3D7E" w:rsidRPr="006F6A57">
        <w:t>s</w:t>
      </w:r>
      <w:r w:rsidRPr="006F6A57">
        <w:t xml:space="preserve"> wettest </w:t>
      </w:r>
      <w:r w:rsidR="00765001" w:rsidRPr="006F6A57">
        <w:t xml:space="preserve">year on record </w:t>
      </w:r>
      <w:r w:rsidR="004A6A3D" w:rsidRPr="006F6A57">
        <w:t>(since 1941)</w:t>
      </w:r>
      <w:r w:rsidR="002108B3" w:rsidRPr="006F6A57">
        <w:t xml:space="preserve"> in 2023</w:t>
      </w:r>
      <w:r w:rsidRPr="006F6A57">
        <w:t xml:space="preserve">, with </w:t>
      </w:r>
      <w:r w:rsidR="00FA76C5" w:rsidRPr="006F6A57">
        <w:t>1510.9</w:t>
      </w:r>
      <w:r w:rsidR="008D33AA">
        <w:t xml:space="preserve"> </w:t>
      </w:r>
      <w:r w:rsidRPr="006F6A57">
        <w:t>mm of rainfall</w:t>
      </w:r>
      <w:r w:rsidR="00740D8E" w:rsidRPr="006F6A57">
        <w:t xml:space="preserve"> for the year</w:t>
      </w:r>
      <w:r w:rsidR="0015674F" w:rsidRPr="006F6A57">
        <w:t xml:space="preserve"> (Met Éireann, 2024)</w:t>
      </w:r>
      <w:r w:rsidR="008D33AA">
        <w:t>;</w:t>
      </w:r>
      <w:r w:rsidR="00740D8E" w:rsidRPr="006F6A57">
        <w:t xml:space="preserve"> </w:t>
      </w:r>
      <w:r w:rsidR="00273DDC" w:rsidRPr="006F6A57">
        <w:t xml:space="preserve"> </w:t>
      </w:r>
    </w:p>
    <w:p w14:paraId="38BA92F0" w14:textId="11F392C5" w:rsidR="0081188E" w:rsidRPr="00A7414A" w:rsidRDefault="0081188E" w:rsidP="008928B6">
      <w:pPr>
        <w:pStyle w:val="BulletPoint1"/>
      </w:pPr>
      <w:r w:rsidRPr="00A7414A">
        <w:t xml:space="preserve">Storm </w:t>
      </w:r>
      <w:r w:rsidR="000C0B76">
        <w:t>Betty</w:t>
      </w:r>
      <w:r w:rsidRPr="00A7414A">
        <w:t>: Dublin Airport recorded its highest gust for August since 1988, with 47 knots (87</w:t>
      </w:r>
      <w:r w:rsidR="008D33AA">
        <w:t xml:space="preserve"> </w:t>
      </w:r>
      <w:r w:rsidRPr="00A7414A">
        <w:t>km/h) being recorded early on Saturday 19 August 2023</w:t>
      </w:r>
      <w:r w:rsidR="00AB2F77" w:rsidRPr="00A7414A">
        <w:t xml:space="preserve"> </w:t>
      </w:r>
      <w:r w:rsidR="00A074EE" w:rsidRPr="006F6A57">
        <w:t>(</w:t>
      </w:r>
      <w:r w:rsidR="00AB2F77" w:rsidRPr="006F6A57">
        <w:t>Met Éireann)</w:t>
      </w:r>
      <w:r w:rsidR="008D33AA">
        <w:t>;</w:t>
      </w:r>
      <w:r w:rsidRPr="00A7414A">
        <w:t xml:space="preserve"> </w:t>
      </w:r>
    </w:p>
    <w:p w14:paraId="68A3E0DE" w14:textId="48524CB5" w:rsidR="0081188E" w:rsidRPr="00A7414A" w:rsidRDefault="0081188E" w:rsidP="008928B6">
      <w:pPr>
        <w:pStyle w:val="BulletPoint1"/>
      </w:pPr>
      <w:r w:rsidRPr="00A7414A">
        <w:t>Highest temperature</w:t>
      </w:r>
      <w:r w:rsidR="00AC6ED5" w:rsidRPr="00A7414A">
        <w:t xml:space="preserve"> </w:t>
      </w:r>
      <w:r w:rsidR="00223524" w:rsidRPr="00A7414A">
        <w:t xml:space="preserve">recorded in Phoenix Park, Dublin, </w:t>
      </w:r>
      <w:r w:rsidR="00AC6ED5" w:rsidRPr="00A7414A">
        <w:t>since 1887</w:t>
      </w:r>
      <w:r w:rsidRPr="00A7414A">
        <w:t xml:space="preserve">: </w:t>
      </w:r>
      <w:r w:rsidR="008B5622" w:rsidRPr="00A7414A">
        <w:t>33</w:t>
      </w:r>
      <w:r w:rsidRPr="00A7414A">
        <w:t>ºC recorded in July 2022</w:t>
      </w:r>
      <w:r w:rsidR="00223524" w:rsidRPr="00A7414A">
        <w:t xml:space="preserve"> </w:t>
      </w:r>
      <w:r w:rsidR="00223524" w:rsidRPr="006F6A57">
        <w:t>(Met Éireann, 2022)</w:t>
      </w:r>
      <w:r w:rsidR="008D33AA">
        <w:t>;</w:t>
      </w:r>
      <w:r w:rsidR="00223524" w:rsidRPr="006F6A57">
        <w:t xml:space="preserve">  </w:t>
      </w:r>
    </w:p>
    <w:p w14:paraId="71F6A320" w14:textId="18559DFD" w:rsidR="0081188E" w:rsidRPr="00A7414A" w:rsidRDefault="0081188E" w:rsidP="008928B6">
      <w:pPr>
        <w:pStyle w:val="BulletPoint1"/>
      </w:pPr>
      <w:r w:rsidRPr="00A7414A">
        <w:t xml:space="preserve">Highest daily rainfall recorded in the last 10 years was </w:t>
      </w:r>
      <w:r w:rsidR="002D5ECC">
        <w:t>67</w:t>
      </w:r>
      <w:r w:rsidR="008D33AA">
        <w:t xml:space="preserve"> </w:t>
      </w:r>
      <w:r w:rsidRPr="00A7414A">
        <w:t xml:space="preserve">mm in </w:t>
      </w:r>
      <w:r w:rsidR="002D5ECC">
        <w:t>November</w:t>
      </w:r>
      <w:r w:rsidRPr="00A7414A">
        <w:t xml:space="preserve"> 20</w:t>
      </w:r>
      <w:r w:rsidR="002D5ECC">
        <w:t>25</w:t>
      </w:r>
      <w:r w:rsidR="00A66D2F" w:rsidRPr="00A7414A">
        <w:t xml:space="preserve"> </w:t>
      </w:r>
      <w:r w:rsidR="00DA33D7" w:rsidRPr="006F6A57">
        <w:t>(Met Éireann)</w:t>
      </w:r>
      <w:r w:rsidR="008D33AA">
        <w:t>;</w:t>
      </w:r>
    </w:p>
    <w:p w14:paraId="1DDCF3D8" w14:textId="279AAB68" w:rsidR="0081188E" w:rsidRPr="00A7414A" w:rsidRDefault="001056F5" w:rsidP="008928B6">
      <w:pPr>
        <w:pStyle w:val="BulletPoint1"/>
      </w:pPr>
      <w:r w:rsidRPr="001056F5">
        <w:t xml:space="preserve">Low </w:t>
      </w:r>
      <w:r>
        <w:t>t</w:t>
      </w:r>
      <w:r w:rsidRPr="001056F5">
        <w:t xml:space="preserve">emperature </w:t>
      </w:r>
      <w:r>
        <w:t>e</w:t>
      </w:r>
      <w:r w:rsidRPr="001056F5">
        <w:t>vent: Ireland experienced its coldest December since 2010, with severe frosts, ice days and snowfall affecting large parts of the country during the first half of the month (Met Éireann, 2023)</w:t>
      </w:r>
      <w:r w:rsidR="008D33AA">
        <w:t>; and</w:t>
      </w:r>
    </w:p>
    <w:p w14:paraId="40836AA1" w14:textId="7A5AC289" w:rsidR="0081188E" w:rsidRPr="00A7414A" w:rsidRDefault="00A06788" w:rsidP="008928B6">
      <w:pPr>
        <w:pStyle w:val="BulletPoint1"/>
      </w:pPr>
      <w:r>
        <w:t xml:space="preserve">Flood Event: </w:t>
      </w:r>
      <w:r w:rsidR="00FC7E94" w:rsidRPr="00FC7E94">
        <w:t>Heavy rainfall associated with Storm Antoni caused flash flooding across parts of Dublin on 5 August 2023. Met Éireann reported that August 2023 was characterised by very heavy ra</w:t>
      </w:r>
      <w:r w:rsidR="00A15761">
        <w:t>any</w:t>
      </w:r>
      <w:r w:rsidR="00FC7E94" w:rsidRPr="00FC7E94">
        <w:t>infall events which resulted in flash flooding, particularly in eastern areas of the country</w:t>
      </w:r>
      <w:r>
        <w:t xml:space="preserve"> </w:t>
      </w:r>
      <w:r w:rsidRPr="006F6A57">
        <w:t>(Met Éireann, 20</w:t>
      </w:r>
      <w:r>
        <w:t>23</w:t>
      </w:r>
      <w:r w:rsidRPr="006F6A57">
        <w:t>)</w:t>
      </w:r>
      <w:r w:rsidR="00FC7E94" w:rsidRPr="00FC7E94">
        <w:t>.</w:t>
      </w:r>
      <w:r w:rsidR="0081188E" w:rsidRPr="00A7414A">
        <w:t xml:space="preserve"> </w:t>
      </w:r>
    </w:p>
    <w:p w14:paraId="680AF82D" w14:textId="73AE8CF8" w:rsidR="0081188E" w:rsidRPr="00D613CA" w:rsidRDefault="0081188E" w:rsidP="0081188E">
      <w:pPr>
        <w:pStyle w:val="BodyText"/>
      </w:pPr>
      <w:r w:rsidRPr="006F6A57">
        <w:t>The following factors were taken into account when identifying and assessing climate risks predicted to impact the Proposed Development</w:t>
      </w:r>
      <w:r w:rsidR="008D33AA">
        <w:t xml:space="preserve"> - </w:t>
      </w:r>
      <w:r w:rsidRPr="006F6A57">
        <w:t xml:space="preserve">the </w:t>
      </w:r>
      <w:r w:rsidR="005E7C2C">
        <w:t xml:space="preserve">historic </w:t>
      </w:r>
      <w:r w:rsidRPr="006F6A57">
        <w:t xml:space="preserve">baseline climate data results </w:t>
      </w:r>
      <w:r w:rsidRPr="008928B6">
        <w:rPr>
          <w:color w:val="000000" w:themeColor="text1"/>
          <w:lang w:val="en-IE"/>
        </w:rPr>
        <w:t xml:space="preserve">in </w:t>
      </w:r>
      <w:r w:rsidR="00A52111" w:rsidRPr="008928B6">
        <w:rPr>
          <w:color w:val="000000" w:themeColor="text1"/>
          <w:lang w:val="en-IE"/>
        </w:rPr>
        <w:fldChar w:fldCharType="begin"/>
      </w:r>
      <w:r w:rsidR="00A52111" w:rsidRPr="008928B6">
        <w:rPr>
          <w:color w:val="000000" w:themeColor="text1"/>
          <w:lang w:val="en-IE"/>
        </w:rPr>
        <w:instrText xml:space="preserve"> REF _Ref222240743 \h  \* MERGEFORMAT </w:instrText>
      </w:r>
      <w:r w:rsidR="00A52111" w:rsidRPr="00511353">
        <w:rPr>
          <w:color w:val="000000" w:themeColor="text1"/>
          <w:lang w:val="en-IE"/>
        </w:rPr>
      </w:r>
      <w:r w:rsidR="00A52111" w:rsidRPr="008928B6">
        <w:rPr>
          <w:color w:val="000000" w:themeColor="text1"/>
          <w:lang w:val="en-IE"/>
        </w:rPr>
        <w:fldChar w:fldCharType="separate"/>
      </w:r>
      <w:r w:rsidR="00D83C6F" w:rsidRPr="005049F3">
        <w:rPr>
          <w:color w:val="000000" w:themeColor="text1"/>
          <w:lang w:val="en-IE"/>
        </w:rPr>
        <w:t>Table 10</w:t>
      </w:r>
      <w:r w:rsidR="00D83C6F" w:rsidRPr="005049F3">
        <w:rPr>
          <w:color w:val="000000" w:themeColor="text1"/>
          <w:lang w:val="en-IE"/>
        </w:rPr>
        <w:noBreakHyphen/>
        <w:t>14</w:t>
      </w:r>
      <w:r w:rsidR="00A52111" w:rsidRPr="008928B6">
        <w:rPr>
          <w:color w:val="000000" w:themeColor="text1"/>
          <w:lang w:val="en-IE"/>
        </w:rPr>
        <w:fldChar w:fldCharType="end"/>
      </w:r>
      <w:r w:rsidR="00DC7080" w:rsidRPr="008928B6">
        <w:rPr>
          <w:color w:val="000000" w:themeColor="text1"/>
          <w:lang w:val="en-IE"/>
        </w:rPr>
        <w:t>,</w:t>
      </w:r>
      <w:r>
        <w:rPr>
          <w:color w:val="000000" w:themeColor="text1"/>
          <w:lang w:val="en-IE"/>
        </w:rPr>
        <w:t xml:space="preserve"> </w:t>
      </w:r>
      <w:r w:rsidR="00C5251F" w:rsidRPr="00C5251F">
        <w:rPr>
          <w:color w:val="000000" w:themeColor="text1"/>
        </w:rPr>
        <w:t xml:space="preserve">future </w:t>
      </w:r>
      <w:r w:rsidR="005E7C2C">
        <w:rPr>
          <w:color w:val="000000" w:themeColor="text1"/>
        </w:rPr>
        <w:t>baseline</w:t>
      </w:r>
      <w:r w:rsidR="00C5251F" w:rsidRPr="00C5251F">
        <w:rPr>
          <w:color w:val="000000" w:themeColor="text1"/>
        </w:rPr>
        <w:t xml:space="preserve"> climate projection data based on the RCP scenarios,</w:t>
      </w:r>
      <w:r>
        <w:rPr>
          <w:color w:val="000000" w:themeColor="text1"/>
        </w:rPr>
        <w:t xml:space="preserve"> </w:t>
      </w:r>
      <w:r w:rsidRPr="006F6A57">
        <w:t xml:space="preserve">qualitative data on past extreme weather events </w:t>
      </w:r>
      <w:r w:rsidR="005F4542">
        <w:t xml:space="preserve">above </w:t>
      </w:r>
      <w:r w:rsidRPr="006F6A57">
        <w:t>and the location of the Proposed Development. In addition to the above considerations, the types of assets and infrastructure associated with the Proposed Development were also taken into account when undertaking the CCRA. The following chronic and acute variables were deemed relevant based on the above factors:</w:t>
      </w:r>
      <w:r w:rsidRPr="00D613CA">
        <w:t xml:space="preserve"> </w:t>
      </w:r>
    </w:p>
    <w:p w14:paraId="07DFD55B" w14:textId="0A62FE48" w:rsidR="0081188E" w:rsidRPr="00D613CA" w:rsidRDefault="0081188E" w:rsidP="008928B6">
      <w:pPr>
        <w:pStyle w:val="BulletPoint1"/>
      </w:pPr>
      <w:r w:rsidRPr="00D613CA">
        <w:t>Temperature related: changing air temperature, temperature variability, heat stress</w:t>
      </w:r>
      <w:r w:rsidR="00283A12">
        <w:t>;</w:t>
      </w:r>
      <w:r w:rsidRPr="00D613CA">
        <w:t xml:space="preserve"> </w:t>
      </w:r>
    </w:p>
    <w:p w14:paraId="3108B2F7" w14:textId="12C1D11F" w:rsidR="0081188E" w:rsidRPr="00D613CA" w:rsidRDefault="0081188E" w:rsidP="008928B6">
      <w:pPr>
        <w:pStyle w:val="BulletPoint1"/>
      </w:pPr>
      <w:r w:rsidRPr="00D613CA">
        <w:t>Wind related: changing wind patterns, increase in storm events</w:t>
      </w:r>
      <w:r w:rsidR="00283A12">
        <w:t>; and</w:t>
      </w:r>
      <w:r w:rsidRPr="00D613CA">
        <w:t xml:space="preserve"> </w:t>
      </w:r>
    </w:p>
    <w:p w14:paraId="4AD9C652" w14:textId="765433F5" w:rsidR="00A125AF" w:rsidRDefault="0081188E" w:rsidP="008928B6">
      <w:pPr>
        <w:pStyle w:val="BulletPoint1"/>
      </w:pPr>
      <w:r w:rsidRPr="00D613CA">
        <w:t>Water related: changing precipitation patterns, sea level rise, heavy precipitation, fluvial flooding, coastal flooding, pluvial flooding and groundwater flooding.</w:t>
      </w:r>
    </w:p>
    <w:p w14:paraId="3FA002B3" w14:textId="1CE3EF11" w:rsidR="004D1A29" w:rsidRDefault="00CF207D" w:rsidP="004D1A29">
      <w:pPr>
        <w:pStyle w:val="Heading3"/>
      </w:pPr>
      <w:r>
        <w:t xml:space="preserve"> </w:t>
      </w:r>
      <w:bookmarkStart w:id="109" w:name="_Toc239776193"/>
      <w:r w:rsidR="004D1A29" w:rsidRPr="001043AA">
        <w:t>Future Receiving Environment</w:t>
      </w:r>
      <w:bookmarkEnd w:id="109"/>
    </w:p>
    <w:p w14:paraId="78946F68" w14:textId="3B7D9422" w:rsidR="004D1A29" w:rsidRDefault="004D1A29" w:rsidP="004D1A29">
      <w:pPr>
        <w:pStyle w:val="BodyText"/>
      </w:pPr>
      <w:r>
        <w:t>This section highlights the predicted climate trends that are expected to be experienced across the Island of Ireland, as well as those at a more local level to the Proposed Developmen</w:t>
      </w:r>
      <w:r w:rsidRPr="00946641">
        <w:t>t.</w:t>
      </w:r>
      <w:r w:rsidR="00E67E7A">
        <w:t xml:space="preserve"> </w:t>
      </w:r>
      <w:r w:rsidR="00E67E7A" w:rsidRPr="008928B6">
        <w:rPr>
          <w:color w:val="000000" w:themeColor="text1"/>
          <w:lang w:val="en-IE"/>
        </w:rPr>
        <w:fldChar w:fldCharType="begin"/>
      </w:r>
      <w:r w:rsidR="00E67E7A" w:rsidRPr="008928B6">
        <w:rPr>
          <w:color w:val="000000" w:themeColor="text1"/>
          <w:lang w:val="en-IE"/>
        </w:rPr>
        <w:instrText xml:space="preserve"> REF _Ref222308810 \h  \* MERGEFORMAT </w:instrText>
      </w:r>
      <w:r w:rsidR="00E67E7A" w:rsidRPr="00511353">
        <w:rPr>
          <w:color w:val="000000" w:themeColor="text1"/>
          <w:lang w:val="en-IE"/>
        </w:rPr>
      </w:r>
      <w:r w:rsidR="00E67E7A" w:rsidRPr="008928B6">
        <w:rPr>
          <w:color w:val="000000" w:themeColor="text1"/>
          <w:lang w:val="en-IE"/>
        </w:rPr>
        <w:fldChar w:fldCharType="separate"/>
      </w:r>
      <w:r w:rsidR="00D83C6F" w:rsidRPr="005049F3">
        <w:rPr>
          <w:color w:val="000000" w:themeColor="text1"/>
          <w:lang w:val="en-IE"/>
        </w:rPr>
        <w:t>Table 10</w:t>
      </w:r>
      <w:r w:rsidR="00D83C6F" w:rsidRPr="005049F3">
        <w:rPr>
          <w:color w:val="000000" w:themeColor="text1"/>
          <w:lang w:val="en-IE"/>
        </w:rPr>
        <w:noBreakHyphen/>
        <w:t>12</w:t>
      </w:r>
      <w:r w:rsidR="00E67E7A" w:rsidRPr="008928B6">
        <w:rPr>
          <w:color w:val="000000" w:themeColor="text1"/>
          <w:lang w:val="en-IE"/>
        </w:rPr>
        <w:fldChar w:fldCharType="end"/>
      </w:r>
      <w:r w:rsidR="00E67E7A" w:rsidRPr="008928B6">
        <w:rPr>
          <w:color w:val="000000" w:themeColor="text1"/>
          <w:lang w:val="en-IE"/>
        </w:rPr>
        <w:t xml:space="preserve"> </w:t>
      </w:r>
      <w:r w:rsidRPr="008928B6">
        <w:rPr>
          <w:color w:val="000000" w:themeColor="text1"/>
          <w:lang w:val="en-IE"/>
        </w:rPr>
        <w:t xml:space="preserve">and </w:t>
      </w:r>
      <w:r w:rsidR="00A52111" w:rsidRPr="008928B6">
        <w:rPr>
          <w:color w:val="000000" w:themeColor="text1"/>
          <w:lang w:val="en-IE"/>
        </w:rPr>
        <w:fldChar w:fldCharType="begin"/>
      </w:r>
      <w:r w:rsidR="00A52111" w:rsidRPr="008928B6">
        <w:rPr>
          <w:color w:val="000000" w:themeColor="text1"/>
          <w:lang w:val="en-IE"/>
        </w:rPr>
        <w:instrText xml:space="preserve"> REF _Ref214371400 \h </w:instrText>
      </w:r>
      <w:r w:rsidR="002C00FC" w:rsidRPr="008928B6">
        <w:rPr>
          <w:color w:val="000000" w:themeColor="text1"/>
          <w:lang w:val="en-IE"/>
        </w:rPr>
        <w:instrText xml:space="preserve"> \* MERGEFORMAT </w:instrText>
      </w:r>
      <w:r w:rsidR="00A52111" w:rsidRPr="00511353">
        <w:rPr>
          <w:color w:val="000000" w:themeColor="text1"/>
          <w:lang w:val="en-IE"/>
        </w:rPr>
      </w:r>
      <w:r w:rsidR="00A52111" w:rsidRPr="008928B6">
        <w:rPr>
          <w:color w:val="000000" w:themeColor="text1"/>
          <w:lang w:val="en-IE"/>
        </w:rPr>
        <w:fldChar w:fldCharType="separate"/>
      </w:r>
      <w:r w:rsidR="00D83C6F" w:rsidRPr="005049F3">
        <w:rPr>
          <w:color w:val="000000" w:themeColor="text1"/>
          <w:lang w:val="en-IE"/>
        </w:rPr>
        <w:t>Table 10</w:t>
      </w:r>
      <w:r w:rsidR="00D83C6F" w:rsidRPr="005049F3">
        <w:rPr>
          <w:color w:val="000000" w:themeColor="text1"/>
          <w:lang w:val="en-IE"/>
        </w:rPr>
        <w:noBreakHyphen/>
        <w:t>13</w:t>
      </w:r>
      <w:r w:rsidR="00A52111" w:rsidRPr="008928B6">
        <w:rPr>
          <w:color w:val="000000" w:themeColor="text1"/>
          <w:lang w:val="en-IE"/>
        </w:rPr>
        <w:fldChar w:fldCharType="end"/>
      </w:r>
      <w:r w:rsidR="00A52111" w:rsidRPr="008928B6">
        <w:rPr>
          <w:color w:val="000000" w:themeColor="text1"/>
          <w:lang w:val="en-IE"/>
        </w:rPr>
        <w:t xml:space="preserve"> </w:t>
      </w:r>
      <w:r w:rsidRPr="008928B6">
        <w:rPr>
          <w:color w:val="000000" w:themeColor="text1"/>
          <w:lang w:val="en-IE"/>
        </w:rPr>
        <w:t xml:space="preserve">present the qualitative findings for projected climate trends in Ireland, while </w:t>
      </w:r>
      <w:r w:rsidR="00A52111" w:rsidRPr="008928B6">
        <w:rPr>
          <w:color w:val="000000" w:themeColor="text1"/>
          <w:lang w:val="en-IE"/>
        </w:rPr>
        <w:fldChar w:fldCharType="begin"/>
      </w:r>
      <w:r w:rsidR="00A52111" w:rsidRPr="008928B6">
        <w:rPr>
          <w:color w:val="000000" w:themeColor="text1"/>
          <w:lang w:val="en-IE"/>
        </w:rPr>
        <w:instrText xml:space="preserve"> REF _Ref222240743 \h  \* MERGEFORMAT </w:instrText>
      </w:r>
      <w:r w:rsidR="00A52111" w:rsidRPr="00511353">
        <w:rPr>
          <w:color w:val="000000" w:themeColor="text1"/>
          <w:lang w:val="en-IE"/>
        </w:rPr>
      </w:r>
      <w:r w:rsidR="00A52111" w:rsidRPr="008928B6">
        <w:rPr>
          <w:color w:val="000000" w:themeColor="text1"/>
          <w:lang w:val="en-IE"/>
        </w:rPr>
        <w:fldChar w:fldCharType="separate"/>
      </w:r>
      <w:r w:rsidR="00D83C6F" w:rsidRPr="005049F3">
        <w:rPr>
          <w:color w:val="000000" w:themeColor="text1"/>
          <w:lang w:val="en-IE"/>
        </w:rPr>
        <w:t>Table 10</w:t>
      </w:r>
      <w:r w:rsidR="00D83C6F" w:rsidRPr="005049F3">
        <w:rPr>
          <w:color w:val="000000" w:themeColor="text1"/>
          <w:lang w:val="en-IE"/>
        </w:rPr>
        <w:noBreakHyphen/>
        <w:t>14</w:t>
      </w:r>
      <w:r w:rsidR="00A52111" w:rsidRPr="008928B6">
        <w:rPr>
          <w:color w:val="000000" w:themeColor="text1"/>
          <w:lang w:val="en-IE"/>
        </w:rPr>
        <w:fldChar w:fldCharType="end"/>
      </w:r>
      <w:r w:rsidR="00A52111">
        <w:t xml:space="preserve"> </w:t>
      </w:r>
      <w:r w:rsidRPr="00946641">
        <w:t xml:space="preserve">shows the quantitative climate change projection data for the Proposed Development. </w:t>
      </w:r>
    </w:p>
    <w:p w14:paraId="43485EB7" w14:textId="0119E38B" w:rsidR="004D1A29" w:rsidRDefault="004D1A29" w:rsidP="004D1A29">
      <w:pPr>
        <w:pStyle w:val="Heading5"/>
      </w:pPr>
      <w:r>
        <w:t xml:space="preserve">Qualitative </w:t>
      </w:r>
      <w:r w:rsidR="00690F13">
        <w:t>C</w:t>
      </w:r>
      <w:r>
        <w:t xml:space="preserve">limate </w:t>
      </w:r>
      <w:r w:rsidR="00690F13">
        <w:t>C</w:t>
      </w:r>
      <w:r>
        <w:t xml:space="preserve">hange </w:t>
      </w:r>
      <w:r w:rsidR="00690F13">
        <w:t>P</w:t>
      </w:r>
      <w:r>
        <w:t xml:space="preserve">roject </w:t>
      </w:r>
      <w:r w:rsidR="00690F13">
        <w:t>D</w:t>
      </w:r>
      <w:r>
        <w:t xml:space="preserve">ata </w:t>
      </w:r>
    </w:p>
    <w:p w14:paraId="4A666520" w14:textId="593AEC9D" w:rsidR="004D1A29" w:rsidRDefault="004D1A29" w:rsidP="004D1A29">
      <w:pPr>
        <w:pStyle w:val="BodyText"/>
        <w:keepLines/>
      </w:pPr>
      <w:r>
        <w:t xml:space="preserve">Future trends for key climate variables in Ireland are summarised </w:t>
      </w:r>
      <w:r w:rsidRPr="00466348">
        <w:t>in</w:t>
      </w:r>
      <w:r w:rsidRPr="00320B00">
        <w:rPr>
          <w:b/>
          <w:bCs/>
        </w:rPr>
        <w:t xml:space="preserve"> </w:t>
      </w:r>
      <w:r w:rsidR="00320B00" w:rsidRPr="008928B6">
        <w:rPr>
          <w:color w:val="000000" w:themeColor="text1"/>
          <w:lang w:val="en-IE"/>
        </w:rPr>
        <w:fldChar w:fldCharType="begin"/>
      </w:r>
      <w:r w:rsidR="00320B00" w:rsidRPr="008928B6">
        <w:rPr>
          <w:color w:val="000000" w:themeColor="text1"/>
          <w:lang w:val="en-IE"/>
        </w:rPr>
        <w:instrText xml:space="preserve"> REF _Ref222308810 \h  \* MERGEFORMAT </w:instrText>
      </w:r>
      <w:r w:rsidR="00320B00" w:rsidRPr="00511353">
        <w:rPr>
          <w:color w:val="000000" w:themeColor="text1"/>
          <w:lang w:val="en-IE"/>
        </w:rPr>
      </w:r>
      <w:r w:rsidR="00320B00" w:rsidRPr="008928B6">
        <w:rPr>
          <w:color w:val="000000" w:themeColor="text1"/>
          <w:lang w:val="en-IE"/>
        </w:rPr>
        <w:fldChar w:fldCharType="separate"/>
      </w:r>
      <w:r w:rsidR="00D83C6F" w:rsidRPr="005049F3">
        <w:rPr>
          <w:color w:val="000000" w:themeColor="text1"/>
          <w:lang w:val="en-IE"/>
        </w:rPr>
        <w:t>Table 10</w:t>
      </w:r>
      <w:r w:rsidR="00D83C6F" w:rsidRPr="005049F3">
        <w:rPr>
          <w:color w:val="000000" w:themeColor="text1"/>
          <w:lang w:val="en-IE"/>
        </w:rPr>
        <w:noBreakHyphen/>
        <w:t>12</w:t>
      </w:r>
      <w:r w:rsidR="00320B00" w:rsidRPr="008928B6">
        <w:rPr>
          <w:color w:val="000000" w:themeColor="text1"/>
          <w:lang w:val="en-IE"/>
        </w:rPr>
        <w:fldChar w:fldCharType="end"/>
      </w:r>
      <w:r w:rsidRPr="008928B6">
        <w:rPr>
          <w:color w:val="000000" w:themeColor="text1"/>
          <w:lang w:val="en-IE"/>
        </w:rPr>
        <w:t>, b</w:t>
      </w:r>
      <w:r>
        <w:t xml:space="preserve">ased on information from Climate Ireland which </w:t>
      </w:r>
      <w:r w:rsidR="00C309F5">
        <w:t>outlines both</w:t>
      </w:r>
      <w:r>
        <w:t xml:space="preserve"> observed and projected </w:t>
      </w:r>
      <w:r w:rsidR="008B34FE">
        <w:t xml:space="preserve">climatic </w:t>
      </w:r>
      <w:r>
        <w:t xml:space="preserve">changes </w:t>
      </w:r>
      <w:r w:rsidR="004A69E1">
        <w:t>at a national scale</w:t>
      </w:r>
      <w:r>
        <w:t xml:space="preserve">. </w:t>
      </w:r>
      <w:r w:rsidR="008B34FE">
        <w:t>Considering th</w:t>
      </w:r>
      <w:r w:rsidR="003A2B8B">
        <w:t>ese national climate projection</w:t>
      </w:r>
      <w:r w:rsidR="00CA3398">
        <w:t>s enables a more comprehensive assessment</w:t>
      </w:r>
      <w:r w:rsidR="00374E4D">
        <w:t xml:space="preserve"> of the </w:t>
      </w:r>
      <w:r>
        <w:t>climate hazards and extreme weather events that are increasing in frequency and intensity across Ireland</w:t>
      </w:r>
      <w:r w:rsidR="00374E4D">
        <w:t>.</w:t>
      </w:r>
      <w:r>
        <w:t xml:space="preserve"> </w:t>
      </w:r>
      <w:r w:rsidR="00B84DA6">
        <w:t>These climate variables should be</w:t>
      </w:r>
      <w:r>
        <w:t xml:space="preserve"> </w:t>
      </w:r>
      <w:r w:rsidR="00B84DA6">
        <w:t>considered</w:t>
      </w:r>
      <w:r>
        <w:t xml:space="preserve"> when assessing the hazards </w:t>
      </w:r>
      <w:r w:rsidR="00B84DA6">
        <w:t>that could</w:t>
      </w:r>
      <w:r>
        <w:t xml:space="preserve"> impact the Proposed Development in the future.</w:t>
      </w:r>
    </w:p>
    <w:p w14:paraId="554263E0" w14:textId="0F7E5C1A" w:rsidR="004D1A29" w:rsidRPr="00A7414A" w:rsidRDefault="00077B77" w:rsidP="00077B77">
      <w:pPr>
        <w:pStyle w:val="Caption"/>
      </w:pPr>
      <w:bookmarkStart w:id="110" w:name="_Ref222308810"/>
      <w:bookmarkStart w:id="111" w:name="_Toc216107537"/>
      <w:bookmarkStart w:id="112" w:name="_Toc238199687"/>
      <w:r>
        <w:t xml:space="preserve">Table </w:t>
      </w:r>
      <w:r>
        <w:fldChar w:fldCharType="begin"/>
      </w:r>
      <w:r>
        <w:instrText>STYLEREF 1 \s</w:instrText>
      </w:r>
      <w:r>
        <w:fldChar w:fldCharType="separate"/>
      </w:r>
      <w:r w:rsidR="00D83C6F">
        <w:rPr>
          <w:noProof/>
        </w:rPr>
        <w:t>10</w:t>
      </w:r>
      <w:r>
        <w:fldChar w:fldCharType="end"/>
      </w:r>
      <w:r w:rsidR="00BE5583">
        <w:noBreakHyphen/>
      </w:r>
      <w:r>
        <w:fldChar w:fldCharType="begin"/>
      </w:r>
      <w:r>
        <w:instrText>SEQ Table \* ARABIC \s 1</w:instrText>
      </w:r>
      <w:r>
        <w:fldChar w:fldCharType="separate"/>
      </w:r>
      <w:r w:rsidR="00D83C6F">
        <w:rPr>
          <w:noProof/>
        </w:rPr>
        <w:t>12</w:t>
      </w:r>
      <w:r>
        <w:fldChar w:fldCharType="end"/>
      </w:r>
      <w:bookmarkEnd w:id="110"/>
      <w:r w:rsidR="00361852">
        <w:t>:</w:t>
      </w:r>
      <w:r w:rsidR="004D1A29" w:rsidRPr="001712FE">
        <w:t xml:space="preserve"> </w:t>
      </w:r>
      <w:r w:rsidR="004D1A29" w:rsidRPr="00471CA4">
        <w:t>Key Trends - Climate Change Projections for Ireland</w:t>
      </w:r>
      <w:bookmarkEnd w:id="111"/>
      <w:bookmarkEnd w:id="112"/>
    </w:p>
    <w:tbl>
      <w:tblPr>
        <w:tblStyle w:val="AECOMtable"/>
        <w:tblW w:w="5000" w:type="pct"/>
        <w:tblLayout w:type="fixed"/>
        <w:tblLook w:val="04A0" w:firstRow="1" w:lastRow="0" w:firstColumn="1" w:lastColumn="0" w:noHBand="0" w:noVBand="1"/>
      </w:tblPr>
      <w:tblGrid>
        <w:gridCol w:w="734"/>
        <w:gridCol w:w="1763"/>
        <w:gridCol w:w="3502"/>
        <w:gridCol w:w="3355"/>
      </w:tblGrid>
      <w:tr w:rsidR="004D1A29" w:rsidRPr="001F4B84" w14:paraId="411D5DE7" w14:textId="77777777">
        <w:trPr>
          <w:cnfStyle w:val="100000000000" w:firstRow="1" w:lastRow="0" w:firstColumn="0" w:lastColumn="0" w:oddVBand="0" w:evenVBand="0" w:oddHBand="0" w:evenHBand="0" w:firstRowFirstColumn="0" w:firstRowLastColumn="0" w:lastRowFirstColumn="0" w:lastRowLastColumn="0"/>
          <w:tblHeader/>
        </w:trPr>
        <w:tc>
          <w:tcPr>
            <w:tcW w:w="2410" w:type="dxa"/>
            <w:gridSpan w:val="2"/>
          </w:tcPr>
          <w:p w14:paraId="6EFE6DC0" w14:textId="77777777" w:rsidR="004D1A29" w:rsidRPr="001F4B84" w:rsidRDefault="004D1A29">
            <w:pPr>
              <w:pStyle w:val="Tabletext"/>
              <w:jc w:val="left"/>
            </w:pPr>
            <w:r w:rsidRPr="001F4B84">
              <w:t>Climate Variable</w:t>
            </w:r>
          </w:p>
        </w:tc>
        <w:tc>
          <w:tcPr>
            <w:tcW w:w="3379" w:type="dxa"/>
          </w:tcPr>
          <w:p w14:paraId="31C555BD" w14:textId="77777777" w:rsidR="004D1A29" w:rsidRPr="001F4B84" w:rsidRDefault="004D1A29">
            <w:pPr>
              <w:pStyle w:val="Tabletext"/>
              <w:jc w:val="left"/>
            </w:pPr>
            <w:r w:rsidRPr="001F4B84">
              <w:t>Key Trend</w:t>
            </w:r>
          </w:p>
        </w:tc>
        <w:tc>
          <w:tcPr>
            <w:tcW w:w="3237" w:type="dxa"/>
          </w:tcPr>
          <w:p w14:paraId="7A76F837" w14:textId="77777777" w:rsidR="004D1A29" w:rsidRPr="001F4B84" w:rsidRDefault="004D1A29">
            <w:pPr>
              <w:pStyle w:val="Tabletext"/>
              <w:jc w:val="left"/>
            </w:pPr>
            <w:r w:rsidRPr="001F4B84">
              <w:t>Key Message</w:t>
            </w:r>
          </w:p>
        </w:tc>
      </w:tr>
      <w:tr w:rsidR="004D1A29" w:rsidRPr="000C334B" w14:paraId="6227DC9E" w14:textId="77777777" w:rsidTr="00A7414A">
        <w:trPr>
          <w:trHeight w:val="238"/>
        </w:trPr>
        <w:tc>
          <w:tcPr>
            <w:tcW w:w="709" w:type="dxa"/>
            <w:tcBorders>
              <w:top w:val="single" w:sz="12" w:space="0" w:color="008768" w:themeColor="accent1"/>
            </w:tcBorders>
            <w:vAlign w:val="center"/>
          </w:tcPr>
          <w:p w14:paraId="1EA82D94" w14:textId="77777777" w:rsidR="004D1A29" w:rsidRDefault="004D1A29">
            <w:pPr>
              <w:pStyle w:val="Tabletext"/>
              <w:jc w:val="left"/>
              <w:rPr>
                <w:noProof/>
              </w:rPr>
            </w:pPr>
            <w:r>
              <w:rPr>
                <w:noProof/>
              </w:rPr>
              <w:drawing>
                <wp:inline distT="0" distB="0" distL="0" distR="0" wp14:anchorId="62CA4A7A" wp14:editId="05981BB1">
                  <wp:extent cx="359410" cy="359410"/>
                  <wp:effectExtent l="0" t="0" r="0" b="2540"/>
                  <wp:docPr id="1000716277" name="Picture 1" descr="A green thermometer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6277" name="Picture 1" descr="A green thermometer on a black background&#10;&#10;AI-generated content may be incorrec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59410" cy="359410"/>
                          </a:xfrm>
                          <a:prstGeom prst="rect">
                            <a:avLst/>
                          </a:prstGeom>
                          <a:noFill/>
                        </pic:spPr>
                      </pic:pic>
                    </a:graphicData>
                  </a:graphic>
                </wp:inline>
              </w:drawing>
            </w:r>
          </w:p>
        </w:tc>
        <w:tc>
          <w:tcPr>
            <w:tcW w:w="1701" w:type="dxa"/>
            <w:tcBorders>
              <w:top w:val="single" w:sz="12" w:space="0" w:color="008768" w:themeColor="accent1"/>
            </w:tcBorders>
            <w:vAlign w:val="center"/>
          </w:tcPr>
          <w:p w14:paraId="34E94542" w14:textId="77777777" w:rsidR="004D1A29" w:rsidRPr="000C334B" w:rsidRDefault="004D1A29">
            <w:pPr>
              <w:pStyle w:val="Tabletext"/>
              <w:jc w:val="left"/>
            </w:pPr>
            <w:r>
              <w:t>Surface air temperature</w:t>
            </w:r>
          </w:p>
        </w:tc>
        <w:tc>
          <w:tcPr>
            <w:tcW w:w="3379" w:type="dxa"/>
            <w:tcBorders>
              <w:top w:val="single" w:sz="12" w:space="0" w:color="008768" w:themeColor="accent1"/>
            </w:tcBorders>
            <w:vAlign w:val="center"/>
          </w:tcPr>
          <w:p w14:paraId="7412BB2E" w14:textId="77777777" w:rsidR="004D1A29" w:rsidRPr="000C334B" w:rsidRDefault="004D1A29" w:rsidP="00A7414A">
            <w:pPr>
              <w:pStyle w:val="Tabletext"/>
              <w:jc w:val="left"/>
            </w:pPr>
            <w:r w:rsidRPr="00FC4482">
              <w:t>Average surface air temperatures are expected to increase everywhere and across all seasons.</w:t>
            </w:r>
          </w:p>
        </w:tc>
        <w:tc>
          <w:tcPr>
            <w:tcW w:w="3237" w:type="dxa"/>
            <w:tcBorders>
              <w:top w:val="single" w:sz="12" w:space="0" w:color="008768" w:themeColor="accent1"/>
            </w:tcBorders>
            <w:vAlign w:val="center"/>
          </w:tcPr>
          <w:p w14:paraId="0DA3DB7C" w14:textId="77777777" w:rsidR="004D1A29" w:rsidRPr="000C334B" w:rsidRDefault="004D1A29" w:rsidP="00A7414A">
            <w:pPr>
              <w:pStyle w:val="Tabletext"/>
              <w:jc w:val="left"/>
            </w:pPr>
            <w:r w:rsidRPr="00C03CE2">
              <w:t>An increase in the intensity and duration of heatwaves is expected.</w:t>
            </w:r>
          </w:p>
        </w:tc>
      </w:tr>
      <w:tr w:rsidR="004D1A29" w:rsidRPr="000C334B" w14:paraId="3CC2A9B3" w14:textId="77777777" w:rsidTr="00A7414A">
        <w:trPr>
          <w:trHeight w:val="238"/>
        </w:trPr>
        <w:tc>
          <w:tcPr>
            <w:tcW w:w="709" w:type="dxa"/>
            <w:vAlign w:val="center"/>
          </w:tcPr>
          <w:p w14:paraId="2E47788F" w14:textId="77777777" w:rsidR="004D1A29" w:rsidRDefault="004D1A29">
            <w:pPr>
              <w:pStyle w:val="Tabletext"/>
              <w:jc w:val="left"/>
              <w:rPr>
                <w:noProof/>
              </w:rPr>
            </w:pPr>
            <w:r>
              <w:rPr>
                <w:noProof/>
              </w:rPr>
              <w:drawing>
                <wp:inline distT="0" distB="0" distL="0" distR="0" wp14:anchorId="376B01F5" wp14:editId="1F36F7BC">
                  <wp:extent cx="359410" cy="359410"/>
                  <wp:effectExtent l="0" t="0" r="0" b="0"/>
                  <wp:docPr id="1828116564" name="Picture 2" descr="A green cloud with rain drop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116564" name="Picture 2" descr="A green cloud with rain drops&#10;&#10;AI-generated content may be incorrec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59410" cy="359410"/>
                          </a:xfrm>
                          <a:prstGeom prst="rect">
                            <a:avLst/>
                          </a:prstGeom>
                          <a:noFill/>
                        </pic:spPr>
                      </pic:pic>
                    </a:graphicData>
                  </a:graphic>
                </wp:inline>
              </w:drawing>
            </w:r>
          </w:p>
        </w:tc>
        <w:tc>
          <w:tcPr>
            <w:tcW w:w="1701" w:type="dxa"/>
            <w:vAlign w:val="center"/>
          </w:tcPr>
          <w:p w14:paraId="06E8D3A7" w14:textId="77777777" w:rsidR="004D1A29" w:rsidRDefault="004D1A29">
            <w:pPr>
              <w:pStyle w:val="Tabletext"/>
              <w:jc w:val="left"/>
            </w:pPr>
            <w:r>
              <w:t>Precipitation</w:t>
            </w:r>
          </w:p>
        </w:tc>
        <w:tc>
          <w:tcPr>
            <w:tcW w:w="3379" w:type="dxa"/>
            <w:vAlign w:val="center"/>
          </w:tcPr>
          <w:p w14:paraId="2D0C6F02" w14:textId="77777777" w:rsidR="004D1A29" w:rsidRPr="000C334B" w:rsidRDefault="004D1A29" w:rsidP="00A7414A">
            <w:pPr>
              <w:pStyle w:val="Tabletext"/>
              <w:jc w:val="left"/>
            </w:pPr>
            <w:r w:rsidRPr="00285B3B">
              <w:t>An increase in seasonality in precipitation can be expected with significant decreases projected for spring and summer and increases for winter.</w:t>
            </w:r>
          </w:p>
        </w:tc>
        <w:tc>
          <w:tcPr>
            <w:tcW w:w="3237" w:type="dxa"/>
            <w:vAlign w:val="center"/>
          </w:tcPr>
          <w:p w14:paraId="510B6230" w14:textId="77777777" w:rsidR="004D1A29" w:rsidRPr="000C334B" w:rsidRDefault="004D1A29" w:rsidP="00A7414A">
            <w:pPr>
              <w:pStyle w:val="Tabletext"/>
              <w:jc w:val="left"/>
            </w:pPr>
            <w:r w:rsidRPr="00CE4E84">
              <w:t>An increase in the occurrence of extreme rainfall events is likely.</w:t>
            </w:r>
          </w:p>
        </w:tc>
      </w:tr>
      <w:tr w:rsidR="004D1A29" w:rsidRPr="000C334B" w14:paraId="1BC28738" w14:textId="77777777" w:rsidTr="00A7414A">
        <w:trPr>
          <w:trHeight w:val="238"/>
        </w:trPr>
        <w:tc>
          <w:tcPr>
            <w:tcW w:w="709" w:type="dxa"/>
            <w:vAlign w:val="center"/>
          </w:tcPr>
          <w:p w14:paraId="12F4FED6" w14:textId="77777777" w:rsidR="004D1A29" w:rsidRDefault="004D1A29">
            <w:pPr>
              <w:pStyle w:val="Tabletext"/>
              <w:jc w:val="left"/>
              <w:rPr>
                <w:noProof/>
              </w:rPr>
            </w:pPr>
            <w:r>
              <w:rPr>
                <w:noProof/>
              </w:rPr>
              <w:lastRenderedPageBreak/>
              <w:drawing>
                <wp:inline distT="0" distB="0" distL="0" distR="0" wp14:anchorId="1ACAB812" wp14:editId="6E045D08">
                  <wp:extent cx="359410" cy="359410"/>
                  <wp:effectExtent l="0" t="0" r="0" b="2540"/>
                  <wp:docPr id="2007024912" name="Picture 3" descr="A green drop of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024912" name="Picture 3" descr="A green drop of water&#10;&#10;AI-generated content may be incorrec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59410" cy="359410"/>
                          </a:xfrm>
                          <a:prstGeom prst="rect">
                            <a:avLst/>
                          </a:prstGeom>
                          <a:noFill/>
                        </pic:spPr>
                      </pic:pic>
                    </a:graphicData>
                  </a:graphic>
                </wp:inline>
              </w:drawing>
            </w:r>
          </w:p>
        </w:tc>
        <w:tc>
          <w:tcPr>
            <w:tcW w:w="1701" w:type="dxa"/>
            <w:vAlign w:val="center"/>
          </w:tcPr>
          <w:p w14:paraId="5BE1242B" w14:textId="77777777" w:rsidR="004D1A29" w:rsidRDefault="004D1A29">
            <w:pPr>
              <w:pStyle w:val="Tabletext"/>
              <w:jc w:val="left"/>
            </w:pPr>
            <w:r>
              <w:t>Hydrology</w:t>
            </w:r>
          </w:p>
        </w:tc>
        <w:tc>
          <w:tcPr>
            <w:tcW w:w="3379" w:type="dxa"/>
            <w:vAlign w:val="center"/>
          </w:tcPr>
          <w:p w14:paraId="673569F3" w14:textId="77777777" w:rsidR="004D1A29" w:rsidRPr="000C334B" w:rsidRDefault="004D1A29" w:rsidP="00A7414A">
            <w:pPr>
              <w:pStyle w:val="Tabletext"/>
              <w:jc w:val="left"/>
            </w:pPr>
            <w:r w:rsidRPr="00285B3B">
              <w:t>Increasing seasonality in hydrological regimes can be expected with decreased summer and increased winter flows likely.</w:t>
            </w:r>
          </w:p>
        </w:tc>
        <w:tc>
          <w:tcPr>
            <w:tcW w:w="3237" w:type="dxa"/>
            <w:vAlign w:val="center"/>
          </w:tcPr>
          <w:p w14:paraId="072E7170" w14:textId="77777777" w:rsidR="004D1A29" w:rsidRPr="000C334B" w:rsidRDefault="004D1A29" w:rsidP="00A7414A">
            <w:pPr>
              <w:pStyle w:val="Tabletext"/>
              <w:jc w:val="left"/>
            </w:pPr>
            <w:r w:rsidRPr="00CE4E84">
              <w:t>Flood risk is expected to increase across Ireland while increases in the frequency of drought conditions is also expected.</w:t>
            </w:r>
          </w:p>
        </w:tc>
      </w:tr>
      <w:tr w:rsidR="004D1A29" w:rsidRPr="000C334B" w14:paraId="7758FD51" w14:textId="77777777" w:rsidTr="00A7414A">
        <w:trPr>
          <w:trHeight w:val="238"/>
        </w:trPr>
        <w:tc>
          <w:tcPr>
            <w:tcW w:w="709" w:type="dxa"/>
            <w:vAlign w:val="center"/>
          </w:tcPr>
          <w:p w14:paraId="10CA254C" w14:textId="77777777" w:rsidR="004D1A29" w:rsidRDefault="004D1A29">
            <w:pPr>
              <w:pStyle w:val="Tabletext"/>
              <w:jc w:val="left"/>
              <w:rPr>
                <w:noProof/>
              </w:rPr>
            </w:pPr>
            <w:r>
              <w:rPr>
                <w:noProof/>
              </w:rPr>
              <w:drawing>
                <wp:inline distT="0" distB="0" distL="0" distR="0" wp14:anchorId="3871FB96" wp14:editId="07CD70C1">
                  <wp:extent cx="359410" cy="359410"/>
                  <wp:effectExtent l="0" t="0" r="2540" b="0"/>
                  <wp:docPr id="1038685898" name="Picture 4" descr="A green wind sign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685898" name="Picture 4" descr="A green wind sign on a black background&#10;&#10;AI-generated content may be incorrec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59410" cy="359410"/>
                          </a:xfrm>
                          <a:prstGeom prst="rect">
                            <a:avLst/>
                          </a:prstGeom>
                          <a:noFill/>
                        </pic:spPr>
                      </pic:pic>
                    </a:graphicData>
                  </a:graphic>
                </wp:inline>
              </w:drawing>
            </w:r>
          </w:p>
        </w:tc>
        <w:tc>
          <w:tcPr>
            <w:tcW w:w="1701" w:type="dxa"/>
            <w:vAlign w:val="center"/>
          </w:tcPr>
          <w:p w14:paraId="36057FB2" w14:textId="77777777" w:rsidR="004D1A29" w:rsidRDefault="004D1A29">
            <w:pPr>
              <w:pStyle w:val="Tabletext"/>
              <w:jc w:val="left"/>
            </w:pPr>
            <w:r>
              <w:t>Windspeed</w:t>
            </w:r>
          </w:p>
        </w:tc>
        <w:tc>
          <w:tcPr>
            <w:tcW w:w="3379" w:type="dxa"/>
            <w:vAlign w:val="center"/>
          </w:tcPr>
          <w:p w14:paraId="0C009427" w14:textId="77777777" w:rsidR="004D1A29" w:rsidRPr="000C334B" w:rsidRDefault="004D1A29" w:rsidP="00A7414A">
            <w:pPr>
              <w:pStyle w:val="Tabletext"/>
              <w:jc w:val="left"/>
            </w:pPr>
            <w:r w:rsidRPr="000B61D7">
              <w:t>An increase in the intensity of extreme windstorms is expected.</w:t>
            </w:r>
          </w:p>
        </w:tc>
        <w:tc>
          <w:tcPr>
            <w:tcW w:w="3237" w:type="dxa"/>
            <w:vAlign w:val="center"/>
          </w:tcPr>
          <w:p w14:paraId="0D405065" w14:textId="3C68BD87" w:rsidR="004D1A29" w:rsidRPr="000C334B" w:rsidRDefault="004D1A29" w:rsidP="00A7414A">
            <w:pPr>
              <w:pStyle w:val="Tabletext"/>
              <w:jc w:val="left"/>
            </w:pPr>
            <w:r w:rsidRPr="00CE4E84">
              <w:t xml:space="preserve">Projections indicate a decrease in wind speeds for summer and </w:t>
            </w:r>
            <w:r w:rsidR="00A43DDF" w:rsidRPr="00CE4E84">
              <w:t>increase</w:t>
            </w:r>
            <w:r w:rsidRPr="00CE4E84">
              <w:t xml:space="preserve"> for winter.</w:t>
            </w:r>
          </w:p>
        </w:tc>
      </w:tr>
      <w:tr w:rsidR="004D1A29" w:rsidRPr="000C334B" w14:paraId="66A5B11B" w14:textId="77777777" w:rsidTr="00A7414A">
        <w:trPr>
          <w:trHeight w:val="238"/>
        </w:trPr>
        <w:tc>
          <w:tcPr>
            <w:tcW w:w="709" w:type="dxa"/>
            <w:tcBorders>
              <w:bottom w:val="single" w:sz="4" w:space="0" w:color="auto"/>
            </w:tcBorders>
            <w:vAlign w:val="center"/>
          </w:tcPr>
          <w:p w14:paraId="2BFB0955" w14:textId="77777777" w:rsidR="004D1A29" w:rsidRDefault="004D1A29">
            <w:pPr>
              <w:pStyle w:val="Tabletext"/>
              <w:jc w:val="left"/>
              <w:rPr>
                <w:noProof/>
              </w:rPr>
            </w:pPr>
            <w:r>
              <w:rPr>
                <w:noProof/>
              </w:rPr>
              <w:drawing>
                <wp:inline distT="0" distB="0" distL="0" distR="0" wp14:anchorId="6F6B459F" wp14:editId="015AD6BB">
                  <wp:extent cx="365760" cy="176530"/>
                  <wp:effectExtent l="0" t="0" r="0" b="0"/>
                  <wp:docPr id="202342845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65760" cy="176530"/>
                          </a:xfrm>
                          <a:prstGeom prst="rect">
                            <a:avLst/>
                          </a:prstGeom>
                          <a:noFill/>
                        </pic:spPr>
                      </pic:pic>
                    </a:graphicData>
                  </a:graphic>
                </wp:inline>
              </w:drawing>
            </w:r>
          </w:p>
        </w:tc>
        <w:tc>
          <w:tcPr>
            <w:tcW w:w="1701" w:type="dxa"/>
            <w:tcBorders>
              <w:bottom w:val="single" w:sz="4" w:space="0" w:color="auto"/>
            </w:tcBorders>
            <w:vAlign w:val="center"/>
          </w:tcPr>
          <w:p w14:paraId="58A1D3ED" w14:textId="77777777" w:rsidR="004D1A29" w:rsidRDefault="004D1A29">
            <w:pPr>
              <w:pStyle w:val="Tabletext"/>
              <w:jc w:val="left"/>
            </w:pPr>
            <w:r>
              <w:t>Sea level rise</w:t>
            </w:r>
          </w:p>
        </w:tc>
        <w:tc>
          <w:tcPr>
            <w:tcW w:w="3379" w:type="dxa"/>
            <w:tcBorders>
              <w:bottom w:val="single" w:sz="4" w:space="0" w:color="auto"/>
            </w:tcBorders>
            <w:vAlign w:val="center"/>
          </w:tcPr>
          <w:p w14:paraId="534C00F7" w14:textId="77777777" w:rsidR="004D1A29" w:rsidRPr="000C334B" w:rsidRDefault="004D1A29" w:rsidP="00A7414A">
            <w:pPr>
              <w:pStyle w:val="Tabletext"/>
              <w:jc w:val="left"/>
            </w:pPr>
            <w:r w:rsidRPr="000B61D7">
              <w:t>Sea levels are expected to increase for all Irish coastal areas.</w:t>
            </w:r>
          </w:p>
        </w:tc>
        <w:tc>
          <w:tcPr>
            <w:tcW w:w="3237" w:type="dxa"/>
            <w:tcBorders>
              <w:bottom w:val="single" w:sz="4" w:space="0" w:color="auto"/>
            </w:tcBorders>
            <w:vAlign w:val="center"/>
          </w:tcPr>
          <w:p w14:paraId="25CDE3B7" w14:textId="77777777" w:rsidR="004D1A29" w:rsidRPr="000C334B" w:rsidRDefault="004D1A29" w:rsidP="00A7414A">
            <w:pPr>
              <w:pStyle w:val="Tabletext"/>
              <w:jc w:val="left"/>
            </w:pPr>
            <w:r w:rsidRPr="00CE4E84">
              <w:t>Projected changes in sea level will magnify the impacts of changing storm surge and wave patterns in coastal areas</w:t>
            </w:r>
            <w:r>
              <w:t>.</w:t>
            </w:r>
          </w:p>
        </w:tc>
      </w:tr>
      <w:tr w:rsidR="004D1A29" w:rsidRPr="000C334B" w14:paraId="5F038BD2" w14:textId="77777777" w:rsidTr="00A7414A">
        <w:trPr>
          <w:trHeight w:val="238"/>
        </w:trPr>
        <w:tc>
          <w:tcPr>
            <w:tcW w:w="709" w:type="dxa"/>
            <w:tcBorders>
              <w:top w:val="single" w:sz="4" w:space="0" w:color="auto"/>
              <w:bottom w:val="single" w:sz="4" w:space="0" w:color="auto"/>
            </w:tcBorders>
            <w:vAlign w:val="center"/>
          </w:tcPr>
          <w:p w14:paraId="7D88398A" w14:textId="77777777" w:rsidR="004D1A29" w:rsidRDefault="004D1A29">
            <w:pPr>
              <w:pStyle w:val="Tabletext"/>
              <w:jc w:val="left"/>
              <w:rPr>
                <w:noProof/>
              </w:rPr>
            </w:pPr>
            <w:r>
              <w:rPr>
                <w:noProof/>
              </w:rPr>
              <w:drawing>
                <wp:inline distT="0" distB="0" distL="0" distR="0" wp14:anchorId="14EC820D" wp14:editId="5045F674">
                  <wp:extent cx="359410" cy="359410"/>
                  <wp:effectExtent l="0" t="0" r="2540" b="0"/>
                  <wp:docPr id="512506449" name="Picture 6" descr="A green wave logo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506449" name="Picture 6" descr="A green wave logo on a black background&#10;&#10;AI-generated content may be incorrect."/>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59410" cy="359410"/>
                          </a:xfrm>
                          <a:prstGeom prst="rect">
                            <a:avLst/>
                          </a:prstGeom>
                          <a:noFill/>
                        </pic:spPr>
                      </pic:pic>
                    </a:graphicData>
                  </a:graphic>
                </wp:inline>
              </w:drawing>
            </w:r>
          </w:p>
        </w:tc>
        <w:tc>
          <w:tcPr>
            <w:tcW w:w="1701" w:type="dxa"/>
            <w:tcBorders>
              <w:top w:val="single" w:sz="4" w:space="0" w:color="auto"/>
              <w:bottom w:val="single" w:sz="4" w:space="0" w:color="auto"/>
            </w:tcBorders>
            <w:vAlign w:val="center"/>
          </w:tcPr>
          <w:p w14:paraId="6E145013" w14:textId="77777777" w:rsidR="004D1A29" w:rsidRDefault="004D1A29">
            <w:pPr>
              <w:pStyle w:val="Tabletext"/>
              <w:jc w:val="left"/>
            </w:pPr>
            <w:r>
              <w:t>Waves and surges</w:t>
            </w:r>
          </w:p>
        </w:tc>
        <w:tc>
          <w:tcPr>
            <w:tcW w:w="3379" w:type="dxa"/>
            <w:tcBorders>
              <w:top w:val="single" w:sz="4" w:space="0" w:color="auto"/>
              <w:bottom w:val="single" w:sz="4" w:space="0" w:color="auto"/>
            </w:tcBorders>
            <w:vAlign w:val="center"/>
          </w:tcPr>
          <w:p w14:paraId="1C50ED4E" w14:textId="193BC0CF" w:rsidR="004D1A29" w:rsidRPr="000C334B" w:rsidRDefault="004D1A29" w:rsidP="00A7414A">
            <w:pPr>
              <w:pStyle w:val="Tabletext"/>
              <w:jc w:val="left"/>
            </w:pPr>
            <w:r w:rsidRPr="00925475">
              <w:t xml:space="preserve">A decrease in mean and extreme wave heights </w:t>
            </w:r>
            <w:r w:rsidR="009B1B43" w:rsidRPr="00925475">
              <w:t>is</w:t>
            </w:r>
            <w:r w:rsidRPr="00925475">
              <w:t xml:space="preserve"> expected by the end of the century.</w:t>
            </w:r>
          </w:p>
        </w:tc>
        <w:tc>
          <w:tcPr>
            <w:tcW w:w="3237" w:type="dxa"/>
            <w:tcBorders>
              <w:top w:val="single" w:sz="4" w:space="0" w:color="auto"/>
              <w:bottom w:val="single" w:sz="4" w:space="0" w:color="auto"/>
            </w:tcBorders>
            <w:vAlign w:val="center"/>
          </w:tcPr>
          <w:p w14:paraId="67AC7B50" w14:textId="77777777" w:rsidR="004D1A29" w:rsidRPr="000C334B" w:rsidRDefault="004D1A29" w:rsidP="00A7414A">
            <w:pPr>
              <w:pStyle w:val="Tabletext"/>
              <w:jc w:val="left"/>
            </w:pPr>
            <w:r w:rsidRPr="00995AD5">
              <w:t>The magnitude and intensity of storm wave heights are expected to increase.</w:t>
            </w:r>
          </w:p>
        </w:tc>
      </w:tr>
    </w:tbl>
    <w:p w14:paraId="2617D660" w14:textId="77777777" w:rsidR="004D1A29" w:rsidRDefault="004D1A29" w:rsidP="004D1A29">
      <w:pPr>
        <w:pStyle w:val="BodyText"/>
      </w:pPr>
    </w:p>
    <w:p w14:paraId="7B87E79B" w14:textId="77777777" w:rsidR="004D1A29" w:rsidRPr="002339F3" w:rsidRDefault="004D1A29" w:rsidP="004D1A29">
      <w:pPr>
        <w:pStyle w:val="BodyText"/>
      </w:pPr>
      <w:r w:rsidRPr="002339F3">
        <w:t xml:space="preserve">Storms and associated high wind speeds are a major natural hazard risk for many countries across Europe. For example, Ireland has been severely affected by an exceptional number of storms over the last 10 years, causing serious coastal damage and widespread, persistent flooding. Future projections show an increase in the number of very intense winter storms over Ireland from the middle of the century. It should be noted that because extreme storms are rare events, storm projections should be considered with a level of caution. </w:t>
      </w:r>
    </w:p>
    <w:p w14:paraId="27CD1122" w14:textId="77777777" w:rsidR="004D1A29" w:rsidRPr="003B6107" w:rsidRDefault="004D1A29" w:rsidP="004D1A29">
      <w:pPr>
        <w:pStyle w:val="BodyText"/>
      </w:pPr>
      <w:r w:rsidRPr="003B6107">
        <w:t xml:space="preserve">The number of very intense storms is projected to increase over the North Atlantic region in the future (2041-2060), under RCP 8.5. Projections suggest that the winter track of these storms may extend further south and over Ireland more often. Under RCP 4.5, the projections of future intense storm tracks have a similar, but weaker signal. </w:t>
      </w:r>
    </w:p>
    <w:p w14:paraId="6B881556" w14:textId="60AEE55F" w:rsidR="004D1A29" w:rsidRDefault="004D1A29" w:rsidP="004D1A29">
      <w:pPr>
        <w:pStyle w:val="BodyText"/>
      </w:pPr>
      <w:r w:rsidRPr="003B6107">
        <w:t xml:space="preserve">Met Éireann's report 'Ireland's Climate Averages 1991-2020' </w:t>
      </w:r>
      <w:r w:rsidR="00845413">
        <w:t>(</w:t>
      </w:r>
      <w:r w:rsidR="00845413" w:rsidRPr="006A6237">
        <w:t>Met Éireann</w:t>
      </w:r>
      <w:r w:rsidR="00845413">
        <w:t>, 2023)</w:t>
      </w:r>
      <w:r w:rsidR="00845413" w:rsidRPr="006A6237">
        <w:t xml:space="preserve"> </w:t>
      </w:r>
      <w:r w:rsidRPr="003B6107">
        <w:t xml:space="preserve">gives a comparison of the two </w:t>
      </w:r>
      <w:r w:rsidR="00706F2C">
        <w:t>30</w:t>
      </w:r>
      <w:r w:rsidRPr="003B6107">
        <w:t xml:space="preserve">-year time periods 1961-1990 and 1991-2020. This report outlines the climate averages for the period 1991-2020 for a range of parameters including air temperature, precipitation, sunshine and wind, in addition to giving a comparison against the previous reference period 1961-1990. By comparing the two reference periods and the observed trends it gives an indication into the climate trends that can be expected in the next 30-year reference period and reinforces the quantitative trends that are </w:t>
      </w:r>
      <w:r w:rsidRPr="00DE7525">
        <w:t xml:space="preserve">displayed </w:t>
      </w:r>
      <w:r w:rsidRPr="00A7414A">
        <w:t>in</w:t>
      </w:r>
      <w:r w:rsidR="00F7542F" w:rsidRPr="00A7414A">
        <w:t xml:space="preserve"> </w:t>
      </w:r>
      <w:r w:rsidR="00F7542F" w:rsidRPr="008928B6">
        <w:rPr>
          <w:color w:val="000000" w:themeColor="text1"/>
          <w:lang w:val="en-IE"/>
        </w:rPr>
        <w:fldChar w:fldCharType="begin"/>
      </w:r>
      <w:r w:rsidR="00F7542F" w:rsidRPr="008928B6">
        <w:rPr>
          <w:color w:val="000000" w:themeColor="text1"/>
          <w:lang w:val="en-IE"/>
        </w:rPr>
        <w:instrText xml:space="preserve"> REF _Ref222240743 \h  \* MERGEFORMAT </w:instrText>
      </w:r>
      <w:r w:rsidR="00F7542F" w:rsidRPr="00511353">
        <w:rPr>
          <w:color w:val="000000" w:themeColor="text1"/>
          <w:lang w:val="en-IE"/>
        </w:rPr>
      </w:r>
      <w:r w:rsidR="00F7542F" w:rsidRPr="008928B6">
        <w:rPr>
          <w:color w:val="000000" w:themeColor="text1"/>
          <w:lang w:val="en-IE"/>
        </w:rPr>
        <w:fldChar w:fldCharType="separate"/>
      </w:r>
      <w:r w:rsidR="00D83C6F" w:rsidRPr="005049F3">
        <w:rPr>
          <w:color w:val="000000" w:themeColor="text1"/>
          <w:lang w:val="en-IE"/>
        </w:rPr>
        <w:t>Table 10</w:t>
      </w:r>
      <w:r w:rsidR="00D83C6F" w:rsidRPr="005049F3">
        <w:rPr>
          <w:color w:val="000000" w:themeColor="text1"/>
          <w:lang w:val="en-IE"/>
        </w:rPr>
        <w:noBreakHyphen/>
        <w:t>14</w:t>
      </w:r>
      <w:r w:rsidR="00F7542F" w:rsidRPr="008928B6">
        <w:rPr>
          <w:color w:val="000000" w:themeColor="text1"/>
          <w:lang w:val="en-IE"/>
        </w:rPr>
        <w:fldChar w:fldCharType="end"/>
      </w:r>
      <w:r w:rsidRPr="008928B6">
        <w:rPr>
          <w:color w:val="000000" w:themeColor="text1"/>
          <w:lang w:val="en-IE"/>
        </w:rPr>
        <w:t xml:space="preserve">. </w:t>
      </w:r>
      <w:r w:rsidR="007069C0" w:rsidRPr="008928B6">
        <w:rPr>
          <w:color w:val="000000" w:themeColor="text1"/>
          <w:lang w:val="en-IE"/>
        </w:rPr>
        <w:fldChar w:fldCharType="begin"/>
      </w:r>
      <w:r w:rsidR="007069C0" w:rsidRPr="008928B6">
        <w:rPr>
          <w:color w:val="000000" w:themeColor="text1"/>
          <w:lang w:val="en-IE"/>
        </w:rPr>
        <w:instrText xml:space="preserve"> REF _Ref214371400 \h </w:instrText>
      </w:r>
      <w:r w:rsidR="002C00FC" w:rsidRPr="008928B6">
        <w:rPr>
          <w:color w:val="000000" w:themeColor="text1"/>
          <w:lang w:val="en-IE"/>
        </w:rPr>
        <w:instrText xml:space="preserve"> \* MERGEFORMAT </w:instrText>
      </w:r>
      <w:r w:rsidR="007069C0" w:rsidRPr="00511353">
        <w:rPr>
          <w:color w:val="000000" w:themeColor="text1"/>
          <w:lang w:val="en-IE"/>
        </w:rPr>
      </w:r>
      <w:r w:rsidR="007069C0" w:rsidRPr="008928B6">
        <w:rPr>
          <w:color w:val="000000" w:themeColor="text1"/>
          <w:lang w:val="en-IE"/>
        </w:rPr>
        <w:fldChar w:fldCharType="separate"/>
      </w:r>
      <w:r w:rsidR="00D83C6F" w:rsidRPr="005049F3">
        <w:rPr>
          <w:color w:val="000000" w:themeColor="text1"/>
          <w:lang w:val="en-IE"/>
        </w:rPr>
        <w:t>Table 10</w:t>
      </w:r>
      <w:r w:rsidR="00D83C6F" w:rsidRPr="005049F3">
        <w:rPr>
          <w:color w:val="000000" w:themeColor="text1"/>
          <w:lang w:val="en-IE"/>
        </w:rPr>
        <w:noBreakHyphen/>
        <w:t>13</w:t>
      </w:r>
      <w:r w:rsidR="007069C0" w:rsidRPr="008928B6">
        <w:rPr>
          <w:color w:val="000000" w:themeColor="text1"/>
          <w:lang w:val="en-IE"/>
        </w:rPr>
        <w:fldChar w:fldCharType="end"/>
      </w:r>
      <w:r w:rsidRPr="008928B6">
        <w:rPr>
          <w:color w:val="000000" w:themeColor="text1"/>
          <w:lang w:val="en-IE"/>
        </w:rPr>
        <w:t xml:space="preserve"> outlines some of the key climate trends that were observed in this reference </w:t>
      </w:r>
      <w:r w:rsidRPr="005F52CB">
        <w:rPr>
          <w:color w:val="000000" w:themeColor="text1"/>
          <w:lang w:val="en-IE"/>
        </w:rPr>
        <w:t>period</w:t>
      </w:r>
      <w:r w:rsidRPr="00A7414A">
        <w:t xml:space="preserve"> compared to those reported in 1961-1990.</w:t>
      </w:r>
    </w:p>
    <w:p w14:paraId="5EA781E6" w14:textId="6937A28B" w:rsidR="004D1A29" w:rsidRPr="001712FE" w:rsidRDefault="004D1A29" w:rsidP="00181882">
      <w:pPr>
        <w:pStyle w:val="Caption"/>
      </w:pPr>
      <w:bookmarkStart w:id="113" w:name="_Ref214371400"/>
      <w:bookmarkStart w:id="114" w:name="_Toc216107538"/>
      <w:bookmarkStart w:id="115" w:name="_Toc238199688"/>
      <w:r w:rsidRPr="001712FE">
        <w:t xml:space="preserve">Table </w:t>
      </w:r>
      <w:r>
        <w:fldChar w:fldCharType="begin"/>
      </w:r>
      <w:r>
        <w:instrText>STYLEREF 1 \s</w:instrText>
      </w:r>
      <w:r>
        <w:fldChar w:fldCharType="separate"/>
      </w:r>
      <w:r w:rsidR="00D83C6F">
        <w:rPr>
          <w:noProof/>
        </w:rPr>
        <w:t>10</w:t>
      </w:r>
      <w:r>
        <w:fldChar w:fldCharType="end"/>
      </w:r>
      <w:r w:rsidR="00BE5583">
        <w:noBreakHyphen/>
      </w:r>
      <w:r>
        <w:fldChar w:fldCharType="begin"/>
      </w:r>
      <w:r>
        <w:instrText>SEQ Table \* ARABIC \s 1</w:instrText>
      </w:r>
      <w:r>
        <w:fldChar w:fldCharType="separate"/>
      </w:r>
      <w:r w:rsidR="00D83C6F">
        <w:rPr>
          <w:noProof/>
        </w:rPr>
        <w:t>13</w:t>
      </w:r>
      <w:r>
        <w:fldChar w:fldCharType="end"/>
      </w:r>
      <w:bookmarkEnd w:id="113"/>
      <w:r w:rsidR="00361852">
        <w:t>:</w:t>
      </w:r>
      <w:r w:rsidRPr="001712FE">
        <w:t xml:space="preserve"> </w:t>
      </w:r>
      <w:r w:rsidRPr="00112A4E">
        <w:t>Observed Changes in Ireland's Climate Averages between 1991-2020 and 1961-1990</w:t>
      </w:r>
      <w:bookmarkEnd w:id="114"/>
      <w:bookmarkEnd w:id="115"/>
    </w:p>
    <w:tbl>
      <w:tblPr>
        <w:tblStyle w:val="AECOMtable"/>
        <w:tblW w:w="5000" w:type="pct"/>
        <w:tblInd w:w="-1" w:type="dxa"/>
        <w:tblLayout w:type="fixed"/>
        <w:tblCellMar>
          <w:right w:w="108" w:type="dxa"/>
        </w:tblCellMar>
        <w:tblLook w:val="04A0" w:firstRow="1" w:lastRow="0" w:firstColumn="1" w:lastColumn="0" w:noHBand="0" w:noVBand="1"/>
      </w:tblPr>
      <w:tblGrid>
        <w:gridCol w:w="2486"/>
        <w:gridCol w:w="6868"/>
      </w:tblGrid>
      <w:tr w:rsidR="004D1A29" w:rsidRPr="00CE4840" w14:paraId="656157FC" w14:textId="77777777">
        <w:trPr>
          <w:cnfStyle w:val="100000000000" w:firstRow="1" w:lastRow="0" w:firstColumn="0" w:lastColumn="0" w:oddVBand="0" w:evenVBand="0" w:oddHBand="0" w:evenHBand="0" w:firstRowFirstColumn="0" w:firstRowLastColumn="0" w:lastRowFirstColumn="0" w:lastRowLastColumn="0"/>
          <w:trHeight w:val="318"/>
          <w:tblHeader/>
        </w:trPr>
        <w:tc>
          <w:tcPr>
            <w:tcW w:w="2399" w:type="dxa"/>
          </w:tcPr>
          <w:p w14:paraId="5B2F2B18" w14:textId="77777777" w:rsidR="004D1A29" w:rsidRPr="00CE4840" w:rsidRDefault="004D1A29">
            <w:pPr>
              <w:pStyle w:val="Tabletext"/>
            </w:pPr>
            <w:r>
              <w:t>Climate Variable</w:t>
            </w:r>
          </w:p>
        </w:tc>
        <w:tc>
          <w:tcPr>
            <w:tcW w:w="6627" w:type="dxa"/>
          </w:tcPr>
          <w:p w14:paraId="3B95300E" w14:textId="77777777" w:rsidR="004D1A29" w:rsidRPr="00CE4840" w:rsidRDefault="004D1A29">
            <w:pPr>
              <w:pStyle w:val="Tabletext"/>
            </w:pPr>
            <w:r>
              <w:t>Observed Change</w:t>
            </w:r>
          </w:p>
        </w:tc>
      </w:tr>
      <w:tr w:rsidR="004D1A29" w:rsidRPr="00CE4840" w14:paraId="2A2E94A0" w14:textId="77777777">
        <w:trPr>
          <w:trHeight w:val="245"/>
        </w:trPr>
        <w:tc>
          <w:tcPr>
            <w:tcW w:w="2399" w:type="dxa"/>
            <w:tcBorders>
              <w:top w:val="single" w:sz="12" w:space="0" w:color="008768" w:themeColor="accent1"/>
              <w:bottom w:val="single" w:sz="4" w:space="0" w:color="auto"/>
            </w:tcBorders>
          </w:tcPr>
          <w:p w14:paraId="627942A6" w14:textId="77777777" w:rsidR="004D1A29" w:rsidRDefault="004D1A29">
            <w:pPr>
              <w:pStyle w:val="Tabletext"/>
              <w:keepNext/>
            </w:pPr>
            <w:r>
              <w:t>Annual Mean Temperature</w:t>
            </w:r>
          </w:p>
        </w:tc>
        <w:tc>
          <w:tcPr>
            <w:tcW w:w="6627" w:type="dxa"/>
            <w:tcBorders>
              <w:top w:val="single" w:sz="12" w:space="0" w:color="008768" w:themeColor="accent1"/>
              <w:bottom w:val="single" w:sz="4" w:space="0" w:color="auto"/>
            </w:tcBorders>
          </w:tcPr>
          <w:p w14:paraId="60FECDEB" w14:textId="77777777" w:rsidR="004D1A29" w:rsidRDefault="004D1A29">
            <w:pPr>
              <w:pStyle w:val="Tabletext"/>
              <w:keepNext/>
              <w:keepLines/>
            </w:pPr>
            <w:r>
              <w:t xml:space="preserve">Comparing the 1991-2020 annual mean air temperature for Ireland with that of the 1961-1990 period, there has been an increase of approximately 0.7°C. </w:t>
            </w:r>
          </w:p>
        </w:tc>
      </w:tr>
      <w:tr w:rsidR="004D1A29" w:rsidRPr="00CE4840" w14:paraId="4201AAD7" w14:textId="77777777">
        <w:trPr>
          <w:trHeight w:val="245"/>
        </w:trPr>
        <w:tc>
          <w:tcPr>
            <w:tcW w:w="2399" w:type="dxa"/>
            <w:tcBorders>
              <w:top w:val="single" w:sz="4" w:space="0" w:color="auto"/>
            </w:tcBorders>
          </w:tcPr>
          <w:p w14:paraId="58089950" w14:textId="77777777" w:rsidR="004D1A29" w:rsidRDefault="004D1A29">
            <w:pPr>
              <w:pStyle w:val="Tabletext"/>
              <w:keepLines/>
            </w:pPr>
            <w:r>
              <w:t>Seasonal Mean Temperature</w:t>
            </w:r>
          </w:p>
        </w:tc>
        <w:tc>
          <w:tcPr>
            <w:tcW w:w="6627" w:type="dxa"/>
            <w:tcBorders>
              <w:top w:val="single" w:sz="4" w:space="0" w:color="auto"/>
            </w:tcBorders>
          </w:tcPr>
          <w:p w14:paraId="5CEE6E13" w14:textId="77777777" w:rsidR="004D1A29" w:rsidRDefault="004D1A29">
            <w:pPr>
              <w:pStyle w:val="Tabletext"/>
              <w:keepLines/>
            </w:pPr>
            <w:r>
              <w:t>Mean air temperature has increased in all seasons. Spring shows the highest increase of approximately 0.8°C.</w:t>
            </w:r>
          </w:p>
        </w:tc>
      </w:tr>
      <w:tr w:rsidR="004D1A29" w:rsidRPr="00CE4840" w14:paraId="44FCBCFD" w14:textId="77777777">
        <w:trPr>
          <w:trHeight w:val="245"/>
        </w:trPr>
        <w:tc>
          <w:tcPr>
            <w:tcW w:w="2399" w:type="dxa"/>
          </w:tcPr>
          <w:p w14:paraId="5503CF13" w14:textId="77777777" w:rsidR="004D1A29" w:rsidRDefault="004D1A29">
            <w:pPr>
              <w:pStyle w:val="Tabletext"/>
              <w:keepLines/>
            </w:pPr>
            <w:r>
              <w:t>Annual Rainfall</w:t>
            </w:r>
          </w:p>
        </w:tc>
        <w:tc>
          <w:tcPr>
            <w:tcW w:w="6627" w:type="dxa"/>
          </w:tcPr>
          <w:p w14:paraId="0E2BE4FF" w14:textId="77777777" w:rsidR="004D1A29" w:rsidRDefault="004D1A29">
            <w:pPr>
              <w:pStyle w:val="Tabletext"/>
            </w:pPr>
            <w:r>
              <w:t>Annual average rainfall has increased by approximately 7% between the periods 1961-1990 and 1991-2020. Almost all regions have observed an increase in annual average rainfall between the two 30-year periods.</w:t>
            </w:r>
          </w:p>
        </w:tc>
      </w:tr>
      <w:tr w:rsidR="004D1A29" w:rsidRPr="00CE4840" w14:paraId="0011E721" w14:textId="77777777">
        <w:trPr>
          <w:trHeight w:val="245"/>
        </w:trPr>
        <w:tc>
          <w:tcPr>
            <w:tcW w:w="2399" w:type="dxa"/>
          </w:tcPr>
          <w:p w14:paraId="2EEB1226" w14:textId="77777777" w:rsidR="004D1A29" w:rsidRDefault="004D1A29">
            <w:pPr>
              <w:pStyle w:val="Tabletext"/>
            </w:pPr>
            <w:r>
              <w:t>Seasonal Rainfall</w:t>
            </w:r>
          </w:p>
        </w:tc>
        <w:tc>
          <w:tcPr>
            <w:tcW w:w="6627" w:type="dxa"/>
          </w:tcPr>
          <w:p w14:paraId="0B240649" w14:textId="77777777" w:rsidR="004D1A29" w:rsidRDefault="004D1A29">
            <w:pPr>
              <w:pStyle w:val="Tabletext"/>
              <w:keepLines/>
            </w:pPr>
            <w:r>
              <w:t>All seasons show a percentage increase in average rainfall amounts between the periods 1961-1990 and 1991-2020, although it should be noted that there were large regional variations. Summer rainfall had the greatest increase at 12%, with July experiencing the biggest variability of 22% between the two periods. Winter rainfall has increased by 7% between the two 30-year periods.</w:t>
            </w:r>
          </w:p>
        </w:tc>
      </w:tr>
      <w:tr w:rsidR="004D1A29" w:rsidRPr="00CE4840" w14:paraId="6DD2F465" w14:textId="77777777">
        <w:trPr>
          <w:trHeight w:val="245"/>
        </w:trPr>
        <w:tc>
          <w:tcPr>
            <w:tcW w:w="2399" w:type="dxa"/>
          </w:tcPr>
          <w:p w14:paraId="49DC90D7" w14:textId="77777777" w:rsidR="004D1A29" w:rsidRDefault="004D1A29">
            <w:pPr>
              <w:pStyle w:val="Tabletext"/>
            </w:pPr>
            <w:r>
              <w:t>Number of Rain Days</w:t>
            </w:r>
          </w:p>
        </w:tc>
        <w:tc>
          <w:tcPr>
            <w:tcW w:w="6627" w:type="dxa"/>
          </w:tcPr>
          <w:p w14:paraId="2DAD5642" w14:textId="77777777" w:rsidR="004D1A29" w:rsidRDefault="004D1A29">
            <w:pPr>
              <w:pStyle w:val="Tabletext"/>
            </w:pPr>
            <w:r>
              <w:t>There has been an increase in the average annual number of rain days, wet days and very wet days observed between the 1961-1990 and 1991-2020 periods. At a seasonal level winter, summer and autumn show an increase in the number of rain days, wet days and very wet days.</w:t>
            </w:r>
          </w:p>
        </w:tc>
      </w:tr>
    </w:tbl>
    <w:p w14:paraId="50F6BF66" w14:textId="77777777" w:rsidR="004D1A29" w:rsidRDefault="004D1A29" w:rsidP="004D1A29">
      <w:pPr>
        <w:pStyle w:val="Heading5"/>
      </w:pPr>
      <w:r>
        <w:lastRenderedPageBreak/>
        <w:t>Quantitative Projections</w:t>
      </w:r>
    </w:p>
    <w:p w14:paraId="25199DDF" w14:textId="449427D1" w:rsidR="004D1A29" w:rsidRPr="00E806A7" w:rsidRDefault="004D1A29" w:rsidP="004D1A29">
      <w:pPr>
        <w:pStyle w:val="BodyText"/>
      </w:pPr>
      <w:r w:rsidRPr="009F695A">
        <w:t xml:space="preserve">The quantitative climate change projection data for the Proposed Development </w:t>
      </w:r>
      <w:r w:rsidR="00BD39D5">
        <w:t>S</w:t>
      </w:r>
      <w:r w:rsidRPr="009F695A">
        <w:t xml:space="preserve">ite is presented </w:t>
      </w:r>
      <w:r w:rsidRPr="008928B6">
        <w:rPr>
          <w:color w:val="000000" w:themeColor="text1"/>
          <w:lang w:val="en-IE"/>
        </w:rPr>
        <w:t xml:space="preserve">in </w:t>
      </w:r>
      <w:r w:rsidR="009F695A" w:rsidRPr="008928B6">
        <w:rPr>
          <w:color w:val="000000" w:themeColor="text1"/>
          <w:lang w:val="en-IE"/>
        </w:rPr>
        <w:fldChar w:fldCharType="begin"/>
      </w:r>
      <w:r w:rsidR="009F695A" w:rsidRPr="008928B6">
        <w:rPr>
          <w:color w:val="000000" w:themeColor="text1"/>
          <w:lang w:val="en-IE"/>
        </w:rPr>
        <w:instrText xml:space="preserve"> REF _Ref222240743 \h  \* MERGEFORMAT </w:instrText>
      </w:r>
      <w:r w:rsidR="009F695A" w:rsidRPr="00511353">
        <w:rPr>
          <w:color w:val="000000" w:themeColor="text1"/>
          <w:lang w:val="en-IE"/>
        </w:rPr>
      </w:r>
      <w:r w:rsidR="009F695A" w:rsidRPr="008928B6">
        <w:rPr>
          <w:color w:val="000000" w:themeColor="text1"/>
          <w:lang w:val="en-IE"/>
        </w:rPr>
        <w:fldChar w:fldCharType="separate"/>
      </w:r>
      <w:r w:rsidR="00D83C6F" w:rsidRPr="005049F3">
        <w:rPr>
          <w:color w:val="000000" w:themeColor="text1"/>
          <w:lang w:val="en-IE"/>
        </w:rPr>
        <w:t>Table 10</w:t>
      </w:r>
      <w:r w:rsidR="00D83C6F" w:rsidRPr="005049F3">
        <w:rPr>
          <w:color w:val="000000" w:themeColor="text1"/>
          <w:lang w:val="en-IE"/>
        </w:rPr>
        <w:noBreakHyphen/>
        <w:t>14</w:t>
      </w:r>
      <w:r w:rsidR="009F695A" w:rsidRPr="008928B6">
        <w:rPr>
          <w:color w:val="000000" w:themeColor="text1"/>
          <w:lang w:val="en-IE"/>
        </w:rPr>
        <w:fldChar w:fldCharType="end"/>
      </w:r>
      <w:r w:rsidRPr="008928B6">
        <w:rPr>
          <w:color w:val="000000" w:themeColor="text1"/>
          <w:lang w:val="en-IE"/>
        </w:rPr>
        <w:t xml:space="preserve">, alongside the historic climate baseline data for the area. The historic time period is </w:t>
      </w:r>
      <w:r w:rsidR="000A477A" w:rsidRPr="008928B6">
        <w:rPr>
          <w:color w:val="000000" w:themeColor="text1"/>
          <w:lang w:val="en-IE"/>
        </w:rPr>
        <w:t>1981-20</w:t>
      </w:r>
      <w:r w:rsidR="000A477A" w:rsidRPr="009F695A">
        <w:t>10</w:t>
      </w:r>
      <w:r w:rsidRPr="009F695A">
        <w:t xml:space="preserve"> and the projection period is 2021-2050 (to cover the construction phase and the operational phase) and 2041-2070</w:t>
      </w:r>
      <w:r w:rsidR="000A477A" w:rsidRPr="009F695A">
        <w:t xml:space="preserve"> and 20</w:t>
      </w:r>
      <w:r w:rsidR="009F695A" w:rsidRPr="009F695A">
        <w:t>71-2100</w:t>
      </w:r>
      <w:r w:rsidRPr="009F695A">
        <w:t xml:space="preserve"> (to cover the operational phase only).</w:t>
      </w:r>
    </w:p>
    <w:p w14:paraId="320D687B" w14:textId="77777777" w:rsidR="004D1A29" w:rsidRPr="00D613CA" w:rsidRDefault="004D1A29" w:rsidP="004D1A29">
      <w:pPr>
        <w:pStyle w:val="ListBullet"/>
        <w:tabs>
          <w:tab w:val="clear" w:pos="425"/>
        </w:tabs>
        <w:ind w:left="0" w:firstLine="0"/>
      </w:pPr>
    </w:p>
    <w:p w14:paraId="7BA88EA1" w14:textId="59180453" w:rsidR="00AC7CB5" w:rsidRDefault="00AC7CB5" w:rsidP="00AC7CB5">
      <w:pPr>
        <w:pStyle w:val="ListBullet"/>
        <w:tabs>
          <w:tab w:val="clear" w:pos="425"/>
        </w:tabs>
        <w:rPr>
          <w:highlight w:val="yellow"/>
        </w:rPr>
      </w:pPr>
    </w:p>
    <w:p w14:paraId="004D979D" w14:textId="77777777" w:rsidR="007F198D" w:rsidRDefault="007F198D">
      <w:pPr>
        <w:tabs>
          <w:tab w:val="clear" w:pos="284"/>
        </w:tabs>
        <w:spacing w:line="240" w:lineRule="auto"/>
        <w:jc w:val="left"/>
        <w:rPr>
          <w:highlight w:val="yellow"/>
        </w:rPr>
        <w:sectPr w:rsidR="007F198D" w:rsidSect="00D2797C">
          <w:headerReference w:type="default" r:id="rId25"/>
          <w:footerReference w:type="default" r:id="rId26"/>
          <w:type w:val="continuous"/>
          <w:pgSz w:w="11906" w:h="16838"/>
          <w:pgMar w:top="1134" w:right="1134" w:bottom="851" w:left="1418" w:header="567" w:footer="284" w:gutter="0"/>
          <w:pgNumType w:start="1" w:chapStyle="1"/>
          <w:cols w:space="284"/>
          <w:docGrid w:linePitch="360"/>
        </w:sectPr>
      </w:pPr>
    </w:p>
    <w:p w14:paraId="06178AE6" w14:textId="5131523C" w:rsidR="00727C68" w:rsidRDefault="00727C68" w:rsidP="00727C68">
      <w:pPr>
        <w:pStyle w:val="Caption"/>
      </w:pPr>
      <w:bookmarkStart w:id="116" w:name="_Ref222240743"/>
      <w:bookmarkStart w:id="117" w:name="_Toc238199689"/>
      <w:r>
        <w:lastRenderedPageBreak/>
        <w:t xml:space="preserve">Table </w:t>
      </w:r>
      <w:r>
        <w:fldChar w:fldCharType="begin"/>
      </w:r>
      <w:r>
        <w:instrText>STYLEREF 1 \s</w:instrText>
      </w:r>
      <w:r>
        <w:fldChar w:fldCharType="separate"/>
      </w:r>
      <w:r w:rsidR="00D83C6F">
        <w:rPr>
          <w:noProof/>
        </w:rPr>
        <w:t>10</w:t>
      </w:r>
      <w:r>
        <w:fldChar w:fldCharType="end"/>
      </w:r>
      <w:r w:rsidR="00BE5583">
        <w:noBreakHyphen/>
      </w:r>
      <w:r>
        <w:fldChar w:fldCharType="begin"/>
      </w:r>
      <w:r>
        <w:instrText>SEQ Table \* ARABIC \s 1</w:instrText>
      </w:r>
      <w:r>
        <w:fldChar w:fldCharType="separate"/>
      </w:r>
      <w:r w:rsidR="00D83C6F">
        <w:rPr>
          <w:noProof/>
        </w:rPr>
        <w:t>14</w:t>
      </w:r>
      <w:r>
        <w:fldChar w:fldCharType="end"/>
      </w:r>
      <w:bookmarkEnd w:id="116"/>
      <w:r w:rsidR="00361852">
        <w:t>:</w:t>
      </w:r>
      <w:r w:rsidR="004818BC">
        <w:t xml:space="preserve"> </w:t>
      </w:r>
      <w:r w:rsidR="004818BC" w:rsidRPr="004818BC">
        <w:t>Climate Change Baseline and Projection Data for</w:t>
      </w:r>
      <w:r w:rsidR="004818BC">
        <w:t xml:space="preserve"> Casement Aerodrome</w:t>
      </w:r>
      <w:bookmarkEnd w:id="117"/>
    </w:p>
    <w:tbl>
      <w:tblPr>
        <w:tblStyle w:val="AECOMtable"/>
        <w:tblW w:w="0" w:type="auto"/>
        <w:tblInd w:w="-1" w:type="dxa"/>
        <w:tblCellMar>
          <w:right w:w="108" w:type="dxa"/>
        </w:tblCellMar>
        <w:tblLook w:val="04A0" w:firstRow="1" w:lastRow="0" w:firstColumn="1" w:lastColumn="0" w:noHBand="0" w:noVBand="1"/>
      </w:tblPr>
      <w:tblGrid>
        <w:gridCol w:w="1542"/>
        <w:gridCol w:w="1774"/>
        <w:gridCol w:w="1678"/>
        <w:gridCol w:w="1678"/>
        <w:gridCol w:w="462"/>
        <w:gridCol w:w="462"/>
        <w:gridCol w:w="1596"/>
        <w:gridCol w:w="1596"/>
        <w:gridCol w:w="1596"/>
        <w:gridCol w:w="1021"/>
        <w:gridCol w:w="1449"/>
      </w:tblGrid>
      <w:tr w:rsidR="00A83D1C" w:rsidRPr="00CE4840" w14:paraId="1D7097F9" w14:textId="77777777" w:rsidTr="0026359C">
        <w:trPr>
          <w:cnfStyle w:val="100000000000" w:firstRow="1" w:lastRow="0" w:firstColumn="0" w:lastColumn="0" w:oddVBand="0" w:evenVBand="0" w:oddHBand="0" w:evenHBand="0" w:firstRowFirstColumn="0" w:firstRowLastColumn="0" w:lastRowFirstColumn="0" w:lastRowLastColumn="0"/>
          <w:trHeight w:val="318"/>
          <w:tblHeader/>
        </w:trPr>
        <w:tc>
          <w:tcPr>
            <w:tcW w:w="0" w:type="auto"/>
          </w:tcPr>
          <w:p w14:paraId="596406EE" w14:textId="77777777" w:rsidR="00A83D1C" w:rsidRPr="00CE4840" w:rsidRDefault="00A83D1C" w:rsidP="00727C68">
            <w:pPr>
              <w:pStyle w:val="Tabletext"/>
            </w:pPr>
          </w:p>
        </w:tc>
        <w:tc>
          <w:tcPr>
            <w:tcW w:w="0" w:type="auto"/>
          </w:tcPr>
          <w:p w14:paraId="6D6AAE8D" w14:textId="77777777" w:rsidR="00A83D1C" w:rsidRPr="00CE4840" w:rsidRDefault="00A83D1C">
            <w:pPr>
              <w:pStyle w:val="Tabletext"/>
              <w:jc w:val="center"/>
            </w:pPr>
          </w:p>
        </w:tc>
        <w:tc>
          <w:tcPr>
            <w:tcW w:w="0" w:type="auto"/>
            <w:gridSpan w:val="3"/>
          </w:tcPr>
          <w:p w14:paraId="30B74C1D" w14:textId="77777777" w:rsidR="00A83D1C" w:rsidRPr="00CE4840" w:rsidRDefault="00A83D1C">
            <w:pPr>
              <w:pStyle w:val="Tabletext"/>
              <w:jc w:val="center"/>
            </w:pPr>
          </w:p>
        </w:tc>
        <w:tc>
          <w:tcPr>
            <w:tcW w:w="0" w:type="auto"/>
            <w:gridSpan w:val="4"/>
            <w:tcBorders>
              <w:bottom w:val="single" w:sz="12" w:space="0" w:color="008768" w:themeColor="accent1"/>
            </w:tcBorders>
          </w:tcPr>
          <w:p w14:paraId="02EFB5CD" w14:textId="5870C8FF" w:rsidR="00A83D1C" w:rsidRPr="00CE4840" w:rsidRDefault="00A83D1C">
            <w:pPr>
              <w:pStyle w:val="Tabletext"/>
              <w:jc w:val="center"/>
            </w:pPr>
            <w:r w:rsidRPr="00B33870">
              <w:t xml:space="preserve">Climate </w:t>
            </w:r>
            <w:r w:rsidR="00F5708D">
              <w:t>C</w:t>
            </w:r>
            <w:r w:rsidRPr="00B33870">
              <w:t xml:space="preserve">hange </w:t>
            </w:r>
            <w:r w:rsidR="00F5708D">
              <w:t>P</w:t>
            </w:r>
            <w:r w:rsidRPr="00B33870">
              <w:t>rojection</w:t>
            </w:r>
          </w:p>
        </w:tc>
        <w:tc>
          <w:tcPr>
            <w:tcW w:w="0" w:type="auto"/>
          </w:tcPr>
          <w:p w14:paraId="411E34F7" w14:textId="77777777" w:rsidR="00A83D1C" w:rsidRPr="00CE4840" w:rsidRDefault="00A83D1C">
            <w:pPr>
              <w:pStyle w:val="Tabletext"/>
              <w:jc w:val="center"/>
            </w:pPr>
          </w:p>
        </w:tc>
        <w:tc>
          <w:tcPr>
            <w:tcW w:w="0" w:type="auto"/>
          </w:tcPr>
          <w:p w14:paraId="3EE2CA1D" w14:textId="77777777" w:rsidR="00A83D1C" w:rsidRPr="00CE4840" w:rsidRDefault="00A83D1C">
            <w:pPr>
              <w:pStyle w:val="Tabletext"/>
              <w:jc w:val="center"/>
            </w:pPr>
          </w:p>
        </w:tc>
      </w:tr>
      <w:tr w:rsidR="00970A30" w:rsidRPr="00CE4840" w14:paraId="4AE7D9CC" w14:textId="77777777" w:rsidTr="0026359C">
        <w:trPr>
          <w:cnfStyle w:val="100000000000" w:firstRow="1" w:lastRow="0" w:firstColumn="0" w:lastColumn="0" w:oddVBand="0" w:evenVBand="0" w:oddHBand="0" w:evenHBand="0" w:firstRowFirstColumn="0" w:firstRowLastColumn="0" w:lastRowFirstColumn="0" w:lastRowLastColumn="0"/>
          <w:trHeight w:val="318"/>
          <w:tblHeader/>
        </w:trPr>
        <w:tc>
          <w:tcPr>
            <w:tcW w:w="0" w:type="auto"/>
          </w:tcPr>
          <w:p w14:paraId="0382F258" w14:textId="77777777" w:rsidR="00970A30" w:rsidRPr="00CE4840" w:rsidRDefault="00970A30" w:rsidP="00970A30">
            <w:pPr>
              <w:pStyle w:val="Tabletext"/>
              <w:jc w:val="center"/>
            </w:pPr>
            <w:r>
              <w:t>Climate Variable</w:t>
            </w:r>
          </w:p>
        </w:tc>
        <w:tc>
          <w:tcPr>
            <w:tcW w:w="0" w:type="auto"/>
          </w:tcPr>
          <w:p w14:paraId="5197C700" w14:textId="5B65B4B6" w:rsidR="00970A30" w:rsidRPr="00CE4840" w:rsidRDefault="00970A30" w:rsidP="00970A30">
            <w:pPr>
              <w:pStyle w:val="Tabletext"/>
              <w:jc w:val="center"/>
            </w:pPr>
            <w:r>
              <w:t>Baseline (1981-2010) Casement Aerodrome Weather Station</w:t>
            </w:r>
          </w:p>
        </w:tc>
        <w:tc>
          <w:tcPr>
            <w:tcW w:w="0" w:type="auto"/>
          </w:tcPr>
          <w:p w14:paraId="3ABDD31E" w14:textId="77777777" w:rsidR="00970A30" w:rsidRDefault="00970A30" w:rsidP="00970A30">
            <w:pPr>
              <w:pStyle w:val="Tabletext"/>
              <w:jc w:val="center"/>
              <w:rPr>
                <w:b w:val="0"/>
              </w:rPr>
            </w:pPr>
            <w:r w:rsidRPr="00B9119E">
              <w:t>Moderate Scenario</w:t>
            </w:r>
          </w:p>
          <w:p w14:paraId="1F58ECDC" w14:textId="77777777" w:rsidR="00970A30" w:rsidRDefault="00970A30" w:rsidP="00970A30">
            <w:pPr>
              <w:pStyle w:val="Tabletext"/>
              <w:jc w:val="center"/>
              <w:rPr>
                <w:b w:val="0"/>
              </w:rPr>
            </w:pPr>
            <w:r w:rsidRPr="00B9119E">
              <w:t>RCP4.5</w:t>
            </w:r>
          </w:p>
          <w:p w14:paraId="796B6602" w14:textId="318367EC" w:rsidR="00970A30" w:rsidRPr="00CE4840" w:rsidRDefault="00970A30" w:rsidP="00970A30">
            <w:pPr>
              <w:pStyle w:val="Tabletext"/>
              <w:jc w:val="center"/>
              <w:rPr>
                <w:b w:val="0"/>
              </w:rPr>
            </w:pPr>
            <w:r w:rsidRPr="00B9119E">
              <w:t>(2021-2050)</w:t>
            </w:r>
          </w:p>
        </w:tc>
        <w:tc>
          <w:tcPr>
            <w:tcW w:w="0" w:type="auto"/>
          </w:tcPr>
          <w:p w14:paraId="1936A4D3" w14:textId="77777777" w:rsidR="00970A30" w:rsidRDefault="00970A30" w:rsidP="00970A30">
            <w:pPr>
              <w:pStyle w:val="Tabletext"/>
              <w:jc w:val="center"/>
              <w:rPr>
                <w:b w:val="0"/>
              </w:rPr>
            </w:pPr>
            <w:r w:rsidRPr="00B9119E">
              <w:t>Moderate Scenario</w:t>
            </w:r>
          </w:p>
          <w:p w14:paraId="605DEF31" w14:textId="77777777" w:rsidR="00970A30" w:rsidRDefault="00970A30" w:rsidP="00970A30">
            <w:pPr>
              <w:pStyle w:val="Tabletext"/>
              <w:jc w:val="center"/>
              <w:rPr>
                <w:b w:val="0"/>
              </w:rPr>
            </w:pPr>
            <w:r w:rsidRPr="00B9119E">
              <w:t>RCP4.5</w:t>
            </w:r>
          </w:p>
          <w:p w14:paraId="46BA2B35" w14:textId="0EAE2204" w:rsidR="00970A30" w:rsidRPr="00CE4840" w:rsidRDefault="00970A30" w:rsidP="00970A30">
            <w:pPr>
              <w:pStyle w:val="Tabletext"/>
              <w:jc w:val="center"/>
            </w:pPr>
            <w:r w:rsidRPr="00B9119E">
              <w:t>(2041-2070)</w:t>
            </w:r>
          </w:p>
        </w:tc>
        <w:tc>
          <w:tcPr>
            <w:tcW w:w="0" w:type="auto"/>
            <w:gridSpan w:val="2"/>
          </w:tcPr>
          <w:p w14:paraId="6F1872C8" w14:textId="77777777" w:rsidR="00970A30" w:rsidRDefault="00970A30" w:rsidP="00970A30">
            <w:pPr>
              <w:pStyle w:val="Tabletext"/>
              <w:jc w:val="center"/>
              <w:rPr>
                <w:b w:val="0"/>
              </w:rPr>
            </w:pPr>
            <w:r w:rsidRPr="00B9119E">
              <w:t>Moderate Scenario</w:t>
            </w:r>
          </w:p>
          <w:p w14:paraId="17F85D64" w14:textId="77777777" w:rsidR="00970A30" w:rsidRDefault="00970A30" w:rsidP="00970A30">
            <w:pPr>
              <w:pStyle w:val="Tabletext"/>
              <w:jc w:val="center"/>
              <w:rPr>
                <w:b w:val="0"/>
              </w:rPr>
            </w:pPr>
            <w:r w:rsidRPr="00B9119E">
              <w:t>RCP4.5</w:t>
            </w:r>
          </w:p>
          <w:p w14:paraId="2E238D30" w14:textId="35BAE701" w:rsidR="00970A30" w:rsidRPr="00CE4840" w:rsidRDefault="00F93C7A" w:rsidP="00970A30">
            <w:pPr>
              <w:pStyle w:val="Tabletext"/>
              <w:jc w:val="center"/>
            </w:pPr>
            <w:r w:rsidRPr="00F93C7A">
              <w:t>(2071-2100)</w:t>
            </w:r>
          </w:p>
        </w:tc>
        <w:tc>
          <w:tcPr>
            <w:tcW w:w="0" w:type="auto"/>
          </w:tcPr>
          <w:p w14:paraId="1AE276BF" w14:textId="77777777" w:rsidR="00970A30" w:rsidRDefault="00970A30" w:rsidP="00970A30">
            <w:pPr>
              <w:pStyle w:val="Tabletext"/>
              <w:jc w:val="center"/>
              <w:rPr>
                <w:b w:val="0"/>
              </w:rPr>
            </w:pPr>
            <w:r w:rsidRPr="00B9119E">
              <w:t>Extreme Scenari</w:t>
            </w:r>
            <w:r>
              <w:t>o</w:t>
            </w:r>
          </w:p>
          <w:p w14:paraId="7CF235CE" w14:textId="77777777" w:rsidR="00970A30" w:rsidRDefault="00970A30" w:rsidP="00970A30">
            <w:pPr>
              <w:pStyle w:val="Tabletext"/>
              <w:jc w:val="center"/>
              <w:rPr>
                <w:b w:val="0"/>
              </w:rPr>
            </w:pPr>
            <w:r w:rsidRPr="00B9119E">
              <w:t>RCP8.5</w:t>
            </w:r>
          </w:p>
          <w:p w14:paraId="2E1EBEC7" w14:textId="7307176B" w:rsidR="00970A30" w:rsidRPr="00CE4840" w:rsidRDefault="00970A30" w:rsidP="00970A30">
            <w:pPr>
              <w:pStyle w:val="Tabletext"/>
              <w:jc w:val="center"/>
            </w:pPr>
            <w:r w:rsidRPr="00B9119E">
              <w:t>(2021-2050)</w:t>
            </w:r>
          </w:p>
        </w:tc>
        <w:tc>
          <w:tcPr>
            <w:tcW w:w="0" w:type="auto"/>
          </w:tcPr>
          <w:p w14:paraId="78E8855F" w14:textId="77777777" w:rsidR="00970A30" w:rsidRDefault="00970A30" w:rsidP="00970A30">
            <w:pPr>
              <w:pStyle w:val="Tabletext"/>
              <w:jc w:val="center"/>
              <w:rPr>
                <w:b w:val="0"/>
              </w:rPr>
            </w:pPr>
            <w:r w:rsidRPr="00B9119E">
              <w:t>Extreme Scenario</w:t>
            </w:r>
          </w:p>
          <w:p w14:paraId="0B51846D" w14:textId="77777777" w:rsidR="00970A30" w:rsidRDefault="00970A30" w:rsidP="00970A30">
            <w:pPr>
              <w:pStyle w:val="Tabletext"/>
              <w:jc w:val="center"/>
              <w:rPr>
                <w:b w:val="0"/>
              </w:rPr>
            </w:pPr>
            <w:r w:rsidRPr="00B9119E">
              <w:t>RCP8.5</w:t>
            </w:r>
          </w:p>
          <w:p w14:paraId="30835E87" w14:textId="51520743" w:rsidR="00970A30" w:rsidRPr="00CE4840" w:rsidRDefault="00970A30" w:rsidP="00970A30">
            <w:pPr>
              <w:pStyle w:val="Tabletext"/>
              <w:jc w:val="center"/>
            </w:pPr>
            <w:r w:rsidRPr="00B9119E">
              <w:t>(2041-2070)</w:t>
            </w:r>
          </w:p>
        </w:tc>
        <w:tc>
          <w:tcPr>
            <w:tcW w:w="0" w:type="auto"/>
          </w:tcPr>
          <w:p w14:paraId="3ACE2335" w14:textId="77777777" w:rsidR="00970A30" w:rsidRDefault="00970A30" w:rsidP="00970A30">
            <w:pPr>
              <w:pStyle w:val="Tabletext"/>
              <w:jc w:val="center"/>
              <w:rPr>
                <w:b w:val="0"/>
              </w:rPr>
            </w:pPr>
            <w:r w:rsidRPr="00B9119E">
              <w:t>Extreme Scenario</w:t>
            </w:r>
          </w:p>
          <w:p w14:paraId="11296AA5" w14:textId="77777777" w:rsidR="00970A30" w:rsidRDefault="00970A30" w:rsidP="00970A30">
            <w:pPr>
              <w:pStyle w:val="Tabletext"/>
              <w:jc w:val="center"/>
              <w:rPr>
                <w:b w:val="0"/>
              </w:rPr>
            </w:pPr>
            <w:r w:rsidRPr="00B9119E">
              <w:t>RCP8.5</w:t>
            </w:r>
          </w:p>
          <w:p w14:paraId="7CECECDE" w14:textId="444C8389" w:rsidR="00970A30" w:rsidRPr="003A368F" w:rsidRDefault="00F93C7A" w:rsidP="00970A30">
            <w:pPr>
              <w:pStyle w:val="Tabletext"/>
              <w:jc w:val="center"/>
              <w:rPr>
                <w:b w:val="0"/>
              </w:rPr>
            </w:pPr>
            <w:r w:rsidRPr="00F93C7A">
              <w:t>(2071-2100)</w:t>
            </w:r>
          </w:p>
        </w:tc>
        <w:tc>
          <w:tcPr>
            <w:tcW w:w="0" w:type="auto"/>
          </w:tcPr>
          <w:p w14:paraId="2847F1F1" w14:textId="77777777" w:rsidR="00970A30" w:rsidRPr="00CE4840" w:rsidRDefault="00970A30" w:rsidP="00970A30">
            <w:pPr>
              <w:pStyle w:val="Tabletext"/>
              <w:jc w:val="center"/>
            </w:pPr>
            <w:r w:rsidRPr="00B33870">
              <w:t>Projected Trend</w:t>
            </w:r>
          </w:p>
        </w:tc>
        <w:tc>
          <w:tcPr>
            <w:tcW w:w="0" w:type="auto"/>
          </w:tcPr>
          <w:p w14:paraId="6B19769A" w14:textId="77777777" w:rsidR="00970A30" w:rsidRPr="00CE4840" w:rsidRDefault="00970A30" w:rsidP="00970A30">
            <w:pPr>
              <w:pStyle w:val="Tabletext"/>
              <w:jc w:val="center"/>
            </w:pPr>
            <w:r w:rsidRPr="00B33870">
              <w:t>Source</w:t>
            </w:r>
          </w:p>
        </w:tc>
      </w:tr>
      <w:tr w:rsidR="00A83D1C" w:rsidRPr="00CE4840" w14:paraId="4CB30BFC" w14:textId="77777777" w:rsidTr="0026359C">
        <w:trPr>
          <w:trHeight w:val="245"/>
        </w:trPr>
        <w:tc>
          <w:tcPr>
            <w:tcW w:w="0" w:type="auto"/>
            <w:gridSpan w:val="11"/>
            <w:tcBorders>
              <w:top w:val="single" w:sz="12" w:space="0" w:color="008768" w:themeColor="accent1"/>
              <w:bottom w:val="single" w:sz="4" w:space="0" w:color="auto"/>
            </w:tcBorders>
            <w:shd w:val="clear" w:color="auto" w:fill="D9D9D9" w:themeFill="background1" w:themeFillShade="D9"/>
            <w:vAlign w:val="center"/>
          </w:tcPr>
          <w:p w14:paraId="3B9B37A8" w14:textId="77777777" w:rsidR="00A83D1C" w:rsidRPr="00064E60" w:rsidRDefault="00A83D1C">
            <w:pPr>
              <w:pStyle w:val="Tabletext"/>
              <w:jc w:val="center"/>
              <w:rPr>
                <w:b/>
                <w:bCs/>
              </w:rPr>
            </w:pPr>
            <w:r w:rsidRPr="00064E60">
              <w:rPr>
                <w:b/>
                <w:bCs/>
              </w:rPr>
              <w:t>Temperature</w:t>
            </w:r>
          </w:p>
        </w:tc>
      </w:tr>
      <w:tr w:rsidR="0026359C" w:rsidRPr="00CE4840" w14:paraId="7F1E31F1" w14:textId="77777777" w:rsidTr="0026359C">
        <w:trPr>
          <w:trHeight w:val="42"/>
        </w:trPr>
        <w:tc>
          <w:tcPr>
            <w:tcW w:w="0" w:type="auto"/>
            <w:vMerge w:val="restart"/>
            <w:tcBorders>
              <w:top w:val="single" w:sz="4" w:space="0" w:color="auto"/>
            </w:tcBorders>
            <w:vAlign w:val="center"/>
          </w:tcPr>
          <w:p w14:paraId="0BDFA83A" w14:textId="77777777" w:rsidR="0026359C" w:rsidRDefault="0026359C" w:rsidP="0026359C">
            <w:pPr>
              <w:pStyle w:val="Tabletext"/>
              <w:ind w:right="-113"/>
              <w:jc w:val="left"/>
            </w:pPr>
            <w:r w:rsidRPr="00347F52">
              <w:t>Mean annual maximum daily temperature (°C)</w:t>
            </w:r>
          </w:p>
        </w:tc>
        <w:tc>
          <w:tcPr>
            <w:tcW w:w="0" w:type="auto"/>
            <w:vMerge w:val="restart"/>
            <w:tcBorders>
              <w:top w:val="single" w:sz="4" w:space="0" w:color="auto"/>
            </w:tcBorders>
            <w:vAlign w:val="center"/>
          </w:tcPr>
          <w:p w14:paraId="49B64D5B" w14:textId="77777777" w:rsidR="0026359C" w:rsidRDefault="0026359C" w:rsidP="0026359C">
            <w:pPr>
              <w:pStyle w:val="Tabletext"/>
              <w:jc w:val="center"/>
            </w:pPr>
            <w:r w:rsidRPr="00D03888">
              <w:t>13.4</w:t>
            </w:r>
          </w:p>
          <w:p w14:paraId="1E457F35" w14:textId="76703536" w:rsidR="0026359C" w:rsidRDefault="0026359C" w:rsidP="0026359C">
            <w:pPr>
              <w:pStyle w:val="Tabletext"/>
              <w:jc w:val="center"/>
            </w:pPr>
          </w:p>
        </w:tc>
        <w:tc>
          <w:tcPr>
            <w:tcW w:w="0" w:type="auto"/>
            <w:tcBorders>
              <w:top w:val="single" w:sz="4" w:space="0" w:color="auto"/>
            </w:tcBorders>
          </w:tcPr>
          <w:p w14:paraId="3462D59D" w14:textId="0362ED17" w:rsidR="0026359C" w:rsidRDefault="0026359C" w:rsidP="0026359C">
            <w:pPr>
              <w:pStyle w:val="Tabletext"/>
              <w:jc w:val="center"/>
            </w:pPr>
            <w:r w:rsidRPr="00D47EB9">
              <w:t>0.45</w:t>
            </w:r>
          </w:p>
        </w:tc>
        <w:tc>
          <w:tcPr>
            <w:tcW w:w="0" w:type="auto"/>
            <w:tcBorders>
              <w:top w:val="single" w:sz="4" w:space="0" w:color="auto"/>
            </w:tcBorders>
          </w:tcPr>
          <w:p w14:paraId="6B2DC854" w14:textId="20B6115E" w:rsidR="0026359C" w:rsidRDefault="0026359C" w:rsidP="0026359C">
            <w:pPr>
              <w:pStyle w:val="Tabletext"/>
              <w:jc w:val="center"/>
            </w:pPr>
            <w:r w:rsidRPr="00555117">
              <w:t>0.71</w:t>
            </w:r>
          </w:p>
        </w:tc>
        <w:tc>
          <w:tcPr>
            <w:tcW w:w="0" w:type="auto"/>
            <w:gridSpan w:val="2"/>
            <w:tcBorders>
              <w:top w:val="single" w:sz="4" w:space="0" w:color="auto"/>
              <w:bottom w:val="single" w:sz="4" w:space="0" w:color="auto"/>
            </w:tcBorders>
          </w:tcPr>
          <w:p w14:paraId="566B2192" w14:textId="5C979428" w:rsidR="0026359C" w:rsidRDefault="0026359C" w:rsidP="0026359C">
            <w:pPr>
              <w:pStyle w:val="Tabletext"/>
              <w:jc w:val="center"/>
            </w:pPr>
            <w:r w:rsidRPr="00D63EAB">
              <w:t>1.11</w:t>
            </w:r>
          </w:p>
        </w:tc>
        <w:tc>
          <w:tcPr>
            <w:tcW w:w="0" w:type="auto"/>
            <w:tcBorders>
              <w:top w:val="single" w:sz="4" w:space="0" w:color="auto"/>
              <w:bottom w:val="single" w:sz="4" w:space="0" w:color="auto"/>
            </w:tcBorders>
          </w:tcPr>
          <w:p w14:paraId="66F3BCF9" w14:textId="46FC9B25" w:rsidR="0026359C" w:rsidRDefault="0026359C" w:rsidP="0026359C">
            <w:pPr>
              <w:pStyle w:val="Tabletext"/>
              <w:jc w:val="center"/>
            </w:pPr>
            <w:r w:rsidRPr="00D63EAB">
              <w:t>0.56</w:t>
            </w:r>
          </w:p>
        </w:tc>
        <w:tc>
          <w:tcPr>
            <w:tcW w:w="0" w:type="auto"/>
            <w:tcBorders>
              <w:top w:val="single" w:sz="4" w:space="0" w:color="auto"/>
              <w:bottom w:val="single" w:sz="4" w:space="0" w:color="auto"/>
            </w:tcBorders>
          </w:tcPr>
          <w:p w14:paraId="2FA57B9E" w14:textId="0CB9B21F" w:rsidR="0026359C" w:rsidRDefault="0026359C" w:rsidP="0026359C">
            <w:pPr>
              <w:pStyle w:val="Tabletext"/>
              <w:jc w:val="center"/>
            </w:pPr>
            <w:r w:rsidRPr="00D63EAB">
              <w:t>1.15</w:t>
            </w:r>
          </w:p>
        </w:tc>
        <w:tc>
          <w:tcPr>
            <w:tcW w:w="0" w:type="auto"/>
            <w:tcBorders>
              <w:top w:val="single" w:sz="4" w:space="0" w:color="auto"/>
              <w:bottom w:val="single" w:sz="4" w:space="0" w:color="auto"/>
            </w:tcBorders>
          </w:tcPr>
          <w:p w14:paraId="7A842A19" w14:textId="6B32367F" w:rsidR="0026359C" w:rsidRDefault="0026359C" w:rsidP="0026359C">
            <w:pPr>
              <w:pStyle w:val="Tabletext"/>
              <w:jc w:val="center"/>
            </w:pPr>
            <w:r w:rsidRPr="00D63EAB">
              <w:t>2.33</w:t>
            </w:r>
          </w:p>
        </w:tc>
        <w:tc>
          <w:tcPr>
            <w:tcW w:w="0" w:type="auto"/>
            <w:vMerge w:val="restart"/>
            <w:tcBorders>
              <w:top w:val="single" w:sz="4" w:space="0" w:color="auto"/>
            </w:tcBorders>
            <w:vAlign w:val="center"/>
          </w:tcPr>
          <w:p w14:paraId="3B4FE8C9" w14:textId="77777777" w:rsidR="0026359C" w:rsidRDefault="0026359C" w:rsidP="0026359C">
            <w:pPr>
              <w:pStyle w:val="Tabletext"/>
              <w:jc w:val="center"/>
            </w:pPr>
            <w:r w:rsidRPr="00B87489">
              <w:t>↑</w:t>
            </w:r>
          </w:p>
        </w:tc>
        <w:tc>
          <w:tcPr>
            <w:tcW w:w="0" w:type="auto"/>
            <w:vMerge w:val="restart"/>
            <w:tcBorders>
              <w:top w:val="single" w:sz="4" w:space="0" w:color="auto"/>
            </w:tcBorders>
            <w:vAlign w:val="center"/>
          </w:tcPr>
          <w:p w14:paraId="03A2297C" w14:textId="79DBD2DA" w:rsidR="0026359C" w:rsidRDefault="0026359C" w:rsidP="0026359C">
            <w:pPr>
              <w:pStyle w:val="Tabletext"/>
              <w:jc w:val="center"/>
            </w:pPr>
            <w:r w:rsidRPr="00824D62">
              <w:t>Met Éireann/ Climate Ireland</w:t>
            </w:r>
          </w:p>
        </w:tc>
      </w:tr>
      <w:tr w:rsidR="0026359C" w:rsidRPr="00CE4840" w14:paraId="4EA93EC1" w14:textId="77777777" w:rsidTr="0026359C">
        <w:trPr>
          <w:trHeight w:val="42"/>
        </w:trPr>
        <w:tc>
          <w:tcPr>
            <w:tcW w:w="0" w:type="auto"/>
            <w:vMerge/>
            <w:tcBorders>
              <w:bottom w:val="single" w:sz="4" w:space="0" w:color="auto"/>
            </w:tcBorders>
            <w:vAlign w:val="center"/>
          </w:tcPr>
          <w:p w14:paraId="446ED7B9" w14:textId="77777777" w:rsidR="0026359C" w:rsidRPr="00347F52" w:rsidRDefault="0026359C" w:rsidP="0026359C">
            <w:pPr>
              <w:pStyle w:val="Tabletext"/>
              <w:ind w:right="-113"/>
              <w:jc w:val="left"/>
            </w:pPr>
          </w:p>
        </w:tc>
        <w:tc>
          <w:tcPr>
            <w:tcW w:w="0" w:type="auto"/>
            <w:vMerge/>
            <w:tcBorders>
              <w:bottom w:val="single" w:sz="4" w:space="0" w:color="auto"/>
            </w:tcBorders>
            <w:vAlign w:val="center"/>
          </w:tcPr>
          <w:p w14:paraId="6B56A0B5" w14:textId="77777777" w:rsidR="0026359C" w:rsidRDefault="0026359C" w:rsidP="0026359C">
            <w:pPr>
              <w:pStyle w:val="Tabletext"/>
              <w:jc w:val="center"/>
            </w:pPr>
          </w:p>
        </w:tc>
        <w:tc>
          <w:tcPr>
            <w:tcW w:w="0" w:type="auto"/>
            <w:tcBorders>
              <w:bottom w:val="single" w:sz="4" w:space="0" w:color="auto"/>
            </w:tcBorders>
          </w:tcPr>
          <w:p w14:paraId="295A1B71" w14:textId="052E456E" w:rsidR="0026359C" w:rsidRDefault="0026359C" w:rsidP="0026359C">
            <w:pPr>
              <w:pStyle w:val="Tabletext"/>
              <w:jc w:val="center"/>
            </w:pPr>
            <w:r w:rsidRPr="00D47EB9">
              <w:t>(0.02 to 0.76)</w:t>
            </w:r>
          </w:p>
        </w:tc>
        <w:tc>
          <w:tcPr>
            <w:tcW w:w="0" w:type="auto"/>
            <w:tcBorders>
              <w:bottom w:val="single" w:sz="4" w:space="0" w:color="auto"/>
            </w:tcBorders>
          </w:tcPr>
          <w:p w14:paraId="75602B0C" w14:textId="03C51007" w:rsidR="0026359C" w:rsidRDefault="0026359C" w:rsidP="0026359C">
            <w:pPr>
              <w:pStyle w:val="Tabletext"/>
              <w:jc w:val="center"/>
            </w:pPr>
            <w:r w:rsidRPr="00555117">
              <w:t>(0.18 to 1.31)</w:t>
            </w:r>
          </w:p>
        </w:tc>
        <w:tc>
          <w:tcPr>
            <w:tcW w:w="0" w:type="auto"/>
            <w:gridSpan w:val="2"/>
            <w:tcBorders>
              <w:top w:val="single" w:sz="4" w:space="0" w:color="auto"/>
              <w:bottom w:val="single" w:sz="4" w:space="0" w:color="auto"/>
            </w:tcBorders>
          </w:tcPr>
          <w:p w14:paraId="05606FC3" w14:textId="3CA76FD2" w:rsidR="0026359C" w:rsidRDefault="0026359C" w:rsidP="0026359C">
            <w:pPr>
              <w:pStyle w:val="Tabletext"/>
              <w:jc w:val="center"/>
            </w:pPr>
            <w:r w:rsidRPr="00D63EAB">
              <w:t>(0.67 to 1.75)</w:t>
            </w:r>
          </w:p>
        </w:tc>
        <w:tc>
          <w:tcPr>
            <w:tcW w:w="0" w:type="auto"/>
            <w:tcBorders>
              <w:top w:val="single" w:sz="4" w:space="0" w:color="auto"/>
              <w:bottom w:val="single" w:sz="4" w:space="0" w:color="auto"/>
            </w:tcBorders>
          </w:tcPr>
          <w:p w14:paraId="5FAC3DD1" w14:textId="191D4171" w:rsidR="0026359C" w:rsidRDefault="0026359C" w:rsidP="0026359C">
            <w:pPr>
              <w:pStyle w:val="Tabletext"/>
              <w:jc w:val="center"/>
            </w:pPr>
            <w:r w:rsidRPr="00D63EAB">
              <w:t>(0.24 to 0.98)</w:t>
            </w:r>
          </w:p>
        </w:tc>
        <w:tc>
          <w:tcPr>
            <w:tcW w:w="0" w:type="auto"/>
            <w:tcBorders>
              <w:top w:val="single" w:sz="4" w:space="0" w:color="auto"/>
              <w:bottom w:val="single" w:sz="4" w:space="0" w:color="auto"/>
            </w:tcBorders>
          </w:tcPr>
          <w:p w14:paraId="6DCC5AAF" w14:textId="2B86E879" w:rsidR="0026359C" w:rsidRDefault="0026359C" w:rsidP="0026359C">
            <w:pPr>
              <w:pStyle w:val="Tabletext"/>
              <w:jc w:val="center"/>
            </w:pPr>
            <w:r w:rsidRPr="00D63EAB">
              <w:t>(0.75 to 1.60)</w:t>
            </w:r>
          </w:p>
        </w:tc>
        <w:tc>
          <w:tcPr>
            <w:tcW w:w="0" w:type="auto"/>
            <w:tcBorders>
              <w:top w:val="single" w:sz="4" w:space="0" w:color="auto"/>
              <w:bottom w:val="single" w:sz="4" w:space="0" w:color="auto"/>
            </w:tcBorders>
          </w:tcPr>
          <w:p w14:paraId="53BFCAA8" w14:textId="6CBA7C97" w:rsidR="0026359C" w:rsidRDefault="0026359C" w:rsidP="0026359C">
            <w:pPr>
              <w:pStyle w:val="Tabletext"/>
              <w:jc w:val="center"/>
            </w:pPr>
            <w:r w:rsidRPr="00D63EAB">
              <w:t>(1.55 to 2.99)</w:t>
            </w:r>
          </w:p>
        </w:tc>
        <w:tc>
          <w:tcPr>
            <w:tcW w:w="0" w:type="auto"/>
            <w:vMerge/>
            <w:tcBorders>
              <w:bottom w:val="single" w:sz="4" w:space="0" w:color="auto"/>
            </w:tcBorders>
            <w:vAlign w:val="center"/>
          </w:tcPr>
          <w:p w14:paraId="7FCE7C33" w14:textId="77777777" w:rsidR="0026359C" w:rsidRDefault="0026359C" w:rsidP="0026359C">
            <w:pPr>
              <w:pStyle w:val="Tabletext"/>
              <w:jc w:val="center"/>
            </w:pPr>
          </w:p>
        </w:tc>
        <w:tc>
          <w:tcPr>
            <w:tcW w:w="0" w:type="auto"/>
            <w:vMerge/>
            <w:tcBorders>
              <w:bottom w:val="single" w:sz="4" w:space="0" w:color="auto"/>
            </w:tcBorders>
            <w:vAlign w:val="center"/>
          </w:tcPr>
          <w:p w14:paraId="2F7FA352" w14:textId="77777777" w:rsidR="0026359C" w:rsidRDefault="0026359C" w:rsidP="0026359C">
            <w:pPr>
              <w:pStyle w:val="Tabletext"/>
              <w:jc w:val="center"/>
            </w:pPr>
          </w:p>
        </w:tc>
      </w:tr>
      <w:tr w:rsidR="0026359C" w:rsidRPr="00CE4840" w14:paraId="511AF396" w14:textId="77777777" w:rsidTr="0026359C">
        <w:trPr>
          <w:trHeight w:val="42"/>
        </w:trPr>
        <w:tc>
          <w:tcPr>
            <w:tcW w:w="0" w:type="auto"/>
            <w:vMerge w:val="restart"/>
            <w:tcBorders>
              <w:top w:val="single" w:sz="4" w:space="0" w:color="auto"/>
            </w:tcBorders>
            <w:vAlign w:val="center"/>
          </w:tcPr>
          <w:p w14:paraId="4DD95445" w14:textId="77777777" w:rsidR="0026359C" w:rsidRDefault="0026359C" w:rsidP="0026359C">
            <w:pPr>
              <w:pStyle w:val="Tabletext"/>
              <w:ind w:right="-113"/>
              <w:jc w:val="left"/>
            </w:pPr>
            <w:r w:rsidRPr="00347F52">
              <w:t>Mean annual minimum daily temperature (°C)</w:t>
            </w:r>
          </w:p>
        </w:tc>
        <w:tc>
          <w:tcPr>
            <w:tcW w:w="0" w:type="auto"/>
            <w:vMerge w:val="restart"/>
            <w:tcBorders>
              <w:top w:val="single" w:sz="4" w:space="0" w:color="auto"/>
            </w:tcBorders>
            <w:vAlign w:val="center"/>
          </w:tcPr>
          <w:p w14:paraId="6FACF8D5" w14:textId="77777777" w:rsidR="0026359C" w:rsidRDefault="0026359C" w:rsidP="0026359C">
            <w:pPr>
              <w:pStyle w:val="Tabletext"/>
              <w:jc w:val="center"/>
            </w:pPr>
            <w:r w:rsidRPr="00D03888">
              <w:t>5.9</w:t>
            </w:r>
          </w:p>
          <w:p w14:paraId="2582B2F6" w14:textId="2D27EC9C" w:rsidR="0026359C" w:rsidRDefault="0026359C" w:rsidP="0026359C">
            <w:pPr>
              <w:pStyle w:val="Tabletext"/>
              <w:jc w:val="center"/>
            </w:pPr>
          </w:p>
        </w:tc>
        <w:tc>
          <w:tcPr>
            <w:tcW w:w="0" w:type="auto"/>
            <w:tcBorders>
              <w:top w:val="single" w:sz="4" w:space="0" w:color="auto"/>
            </w:tcBorders>
          </w:tcPr>
          <w:p w14:paraId="0E57FF96" w14:textId="7DA6897D" w:rsidR="0026359C" w:rsidRDefault="0026359C" w:rsidP="0026359C">
            <w:pPr>
              <w:pStyle w:val="Tabletext"/>
              <w:jc w:val="center"/>
            </w:pPr>
            <w:r w:rsidRPr="00D47EB9">
              <w:t>0.68</w:t>
            </w:r>
          </w:p>
        </w:tc>
        <w:tc>
          <w:tcPr>
            <w:tcW w:w="0" w:type="auto"/>
            <w:tcBorders>
              <w:top w:val="single" w:sz="4" w:space="0" w:color="auto"/>
            </w:tcBorders>
          </w:tcPr>
          <w:p w14:paraId="22183D51" w14:textId="3A049DF5" w:rsidR="0026359C" w:rsidRDefault="0026359C" w:rsidP="0026359C">
            <w:pPr>
              <w:pStyle w:val="Tabletext"/>
              <w:jc w:val="center"/>
            </w:pPr>
            <w:r w:rsidRPr="00555117">
              <w:t>0.97</w:t>
            </w:r>
          </w:p>
        </w:tc>
        <w:tc>
          <w:tcPr>
            <w:tcW w:w="0" w:type="auto"/>
            <w:gridSpan w:val="2"/>
            <w:tcBorders>
              <w:top w:val="single" w:sz="4" w:space="0" w:color="auto"/>
              <w:bottom w:val="single" w:sz="4" w:space="0" w:color="auto"/>
            </w:tcBorders>
          </w:tcPr>
          <w:p w14:paraId="16F51DE0" w14:textId="4DF28BD2" w:rsidR="0026359C" w:rsidRDefault="0026359C" w:rsidP="0026359C">
            <w:pPr>
              <w:pStyle w:val="Tabletext"/>
              <w:jc w:val="center"/>
            </w:pPr>
            <w:r w:rsidRPr="00D63EAB">
              <w:t>1.39</w:t>
            </w:r>
          </w:p>
        </w:tc>
        <w:tc>
          <w:tcPr>
            <w:tcW w:w="0" w:type="auto"/>
            <w:tcBorders>
              <w:top w:val="single" w:sz="4" w:space="0" w:color="auto"/>
              <w:bottom w:val="single" w:sz="4" w:space="0" w:color="auto"/>
            </w:tcBorders>
          </w:tcPr>
          <w:p w14:paraId="5487DEDC" w14:textId="07F84A11" w:rsidR="0026359C" w:rsidRDefault="0026359C" w:rsidP="0026359C">
            <w:pPr>
              <w:pStyle w:val="Tabletext"/>
              <w:jc w:val="center"/>
            </w:pPr>
            <w:r w:rsidRPr="00D63EAB">
              <w:t>0.81</w:t>
            </w:r>
          </w:p>
        </w:tc>
        <w:tc>
          <w:tcPr>
            <w:tcW w:w="0" w:type="auto"/>
            <w:tcBorders>
              <w:top w:val="single" w:sz="4" w:space="0" w:color="auto"/>
              <w:bottom w:val="single" w:sz="4" w:space="0" w:color="auto"/>
            </w:tcBorders>
          </w:tcPr>
          <w:p w14:paraId="7B7D7882" w14:textId="7C8EF374" w:rsidR="0026359C" w:rsidRDefault="0026359C" w:rsidP="0026359C">
            <w:pPr>
              <w:pStyle w:val="Tabletext"/>
              <w:jc w:val="center"/>
            </w:pPr>
            <w:r w:rsidRPr="00D63EAB">
              <w:t>1.44</w:t>
            </w:r>
          </w:p>
        </w:tc>
        <w:tc>
          <w:tcPr>
            <w:tcW w:w="0" w:type="auto"/>
            <w:tcBorders>
              <w:top w:val="single" w:sz="4" w:space="0" w:color="auto"/>
              <w:bottom w:val="single" w:sz="4" w:space="0" w:color="auto"/>
            </w:tcBorders>
          </w:tcPr>
          <w:p w14:paraId="17850439" w14:textId="196D7110" w:rsidR="0026359C" w:rsidRDefault="0026359C" w:rsidP="0026359C">
            <w:pPr>
              <w:pStyle w:val="Tabletext"/>
              <w:jc w:val="center"/>
            </w:pPr>
            <w:r w:rsidRPr="00D63EAB">
              <w:t>2.68</w:t>
            </w:r>
          </w:p>
        </w:tc>
        <w:tc>
          <w:tcPr>
            <w:tcW w:w="0" w:type="auto"/>
            <w:vMerge w:val="restart"/>
            <w:tcBorders>
              <w:top w:val="single" w:sz="4" w:space="0" w:color="auto"/>
            </w:tcBorders>
          </w:tcPr>
          <w:p w14:paraId="64FFAEE2" w14:textId="77777777" w:rsidR="0026359C" w:rsidRDefault="0026359C" w:rsidP="0026359C">
            <w:pPr>
              <w:pStyle w:val="Tabletext"/>
              <w:jc w:val="center"/>
            </w:pPr>
            <w:r w:rsidRPr="00A86EFB">
              <w:t>↑</w:t>
            </w:r>
          </w:p>
        </w:tc>
        <w:tc>
          <w:tcPr>
            <w:tcW w:w="0" w:type="auto"/>
            <w:vMerge w:val="restart"/>
            <w:tcBorders>
              <w:top w:val="single" w:sz="4" w:space="0" w:color="auto"/>
            </w:tcBorders>
          </w:tcPr>
          <w:p w14:paraId="3FE50C70" w14:textId="0134DB7A" w:rsidR="0026359C" w:rsidRDefault="0026359C" w:rsidP="0026359C">
            <w:pPr>
              <w:pStyle w:val="Tabletext"/>
              <w:jc w:val="center"/>
            </w:pPr>
            <w:r w:rsidRPr="00252D19">
              <w:t>Met Éireann/ Climate Ireland</w:t>
            </w:r>
          </w:p>
        </w:tc>
      </w:tr>
      <w:tr w:rsidR="0026359C" w:rsidRPr="00CE4840" w14:paraId="062F1251" w14:textId="77777777" w:rsidTr="0026359C">
        <w:trPr>
          <w:trHeight w:val="42"/>
        </w:trPr>
        <w:tc>
          <w:tcPr>
            <w:tcW w:w="0" w:type="auto"/>
            <w:vMerge/>
            <w:tcBorders>
              <w:bottom w:val="single" w:sz="4" w:space="0" w:color="auto"/>
            </w:tcBorders>
            <w:vAlign w:val="center"/>
          </w:tcPr>
          <w:p w14:paraId="11FFA599" w14:textId="77777777" w:rsidR="0026359C" w:rsidRPr="00347F52" w:rsidRDefault="0026359C" w:rsidP="0026359C">
            <w:pPr>
              <w:pStyle w:val="Tabletext"/>
              <w:ind w:right="-113"/>
              <w:jc w:val="left"/>
            </w:pPr>
          </w:p>
        </w:tc>
        <w:tc>
          <w:tcPr>
            <w:tcW w:w="0" w:type="auto"/>
            <w:vMerge/>
            <w:tcBorders>
              <w:bottom w:val="single" w:sz="4" w:space="0" w:color="auto"/>
            </w:tcBorders>
            <w:vAlign w:val="center"/>
          </w:tcPr>
          <w:p w14:paraId="1780ABD6" w14:textId="77777777" w:rsidR="0026359C" w:rsidRDefault="0026359C" w:rsidP="0026359C">
            <w:pPr>
              <w:pStyle w:val="Tabletext"/>
              <w:jc w:val="center"/>
            </w:pPr>
          </w:p>
        </w:tc>
        <w:tc>
          <w:tcPr>
            <w:tcW w:w="0" w:type="auto"/>
            <w:tcBorders>
              <w:bottom w:val="single" w:sz="4" w:space="0" w:color="auto"/>
            </w:tcBorders>
          </w:tcPr>
          <w:p w14:paraId="1106ABB7" w14:textId="78F56F9A" w:rsidR="0026359C" w:rsidRDefault="0026359C" w:rsidP="0026359C">
            <w:pPr>
              <w:pStyle w:val="Tabletext"/>
              <w:jc w:val="center"/>
            </w:pPr>
            <w:r w:rsidRPr="00D47EB9">
              <w:t>(0.30 to 1.05)</w:t>
            </w:r>
          </w:p>
        </w:tc>
        <w:tc>
          <w:tcPr>
            <w:tcW w:w="0" w:type="auto"/>
            <w:tcBorders>
              <w:bottom w:val="single" w:sz="4" w:space="0" w:color="auto"/>
            </w:tcBorders>
          </w:tcPr>
          <w:p w14:paraId="3E4CEEA2" w14:textId="5E2C896F" w:rsidR="0026359C" w:rsidRDefault="0026359C" w:rsidP="0026359C">
            <w:pPr>
              <w:pStyle w:val="Tabletext"/>
              <w:jc w:val="center"/>
            </w:pPr>
            <w:r w:rsidRPr="00555117">
              <w:t>(0.48 to 1.63)</w:t>
            </w:r>
          </w:p>
        </w:tc>
        <w:tc>
          <w:tcPr>
            <w:tcW w:w="0" w:type="auto"/>
            <w:gridSpan w:val="2"/>
            <w:tcBorders>
              <w:top w:val="single" w:sz="4" w:space="0" w:color="auto"/>
              <w:bottom w:val="single" w:sz="4" w:space="0" w:color="auto"/>
            </w:tcBorders>
          </w:tcPr>
          <w:p w14:paraId="286B980B" w14:textId="4408A3FD" w:rsidR="0026359C" w:rsidRDefault="0026359C" w:rsidP="0026359C">
            <w:pPr>
              <w:pStyle w:val="Tabletext"/>
              <w:jc w:val="center"/>
            </w:pPr>
            <w:r w:rsidRPr="00D63EAB">
              <w:t>(0.95 to 2.13)</w:t>
            </w:r>
          </w:p>
        </w:tc>
        <w:tc>
          <w:tcPr>
            <w:tcW w:w="0" w:type="auto"/>
            <w:tcBorders>
              <w:top w:val="single" w:sz="4" w:space="0" w:color="auto"/>
              <w:bottom w:val="single" w:sz="4" w:space="0" w:color="auto"/>
            </w:tcBorders>
          </w:tcPr>
          <w:p w14:paraId="42B493A5" w14:textId="6D974A53" w:rsidR="0026359C" w:rsidRDefault="0026359C" w:rsidP="0026359C">
            <w:pPr>
              <w:pStyle w:val="Tabletext"/>
              <w:jc w:val="center"/>
            </w:pPr>
            <w:r w:rsidRPr="00D63EAB">
              <w:t>(0.56 to 1.18)</w:t>
            </w:r>
          </w:p>
        </w:tc>
        <w:tc>
          <w:tcPr>
            <w:tcW w:w="0" w:type="auto"/>
            <w:tcBorders>
              <w:top w:val="single" w:sz="4" w:space="0" w:color="auto"/>
              <w:bottom w:val="single" w:sz="4" w:space="0" w:color="auto"/>
            </w:tcBorders>
          </w:tcPr>
          <w:p w14:paraId="2490FCE1" w14:textId="2BE4F015" w:rsidR="0026359C" w:rsidRDefault="0026359C" w:rsidP="0026359C">
            <w:pPr>
              <w:pStyle w:val="Tabletext"/>
              <w:jc w:val="center"/>
            </w:pPr>
            <w:r w:rsidRPr="00D63EAB">
              <w:t>(1.11 to 1.85)</w:t>
            </w:r>
          </w:p>
        </w:tc>
        <w:tc>
          <w:tcPr>
            <w:tcW w:w="0" w:type="auto"/>
            <w:tcBorders>
              <w:top w:val="single" w:sz="4" w:space="0" w:color="auto"/>
              <w:bottom w:val="single" w:sz="4" w:space="0" w:color="auto"/>
            </w:tcBorders>
          </w:tcPr>
          <w:p w14:paraId="694218B4" w14:textId="59A51831" w:rsidR="0026359C" w:rsidRDefault="0026359C" w:rsidP="0026359C">
            <w:pPr>
              <w:pStyle w:val="Tabletext"/>
              <w:jc w:val="center"/>
            </w:pPr>
            <w:r w:rsidRPr="00D63EAB">
              <w:t>(1.97 to 3.40)</w:t>
            </w:r>
          </w:p>
        </w:tc>
        <w:tc>
          <w:tcPr>
            <w:tcW w:w="0" w:type="auto"/>
            <w:vMerge/>
            <w:tcBorders>
              <w:bottom w:val="single" w:sz="4" w:space="0" w:color="auto"/>
            </w:tcBorders>
          </w:tcPr>
          <w:p w14:paraId="27BAB0D8" w14:textId="77777777" w:rsidR="0026359C" w:rsidRDefault="0026359C" w:rsidP="0026359C">
            <w:pPr>
              <w:pStyle w:val="Tabletext"/>
              <w:jc w:val="center"/>
            </w:pPr>
          </w:p>
        </w:tc>
        <w:tc>
          <w:tcPr>
            <w:tcW w:w="0" w:type="auto"/>
            <w:vMerge/>
            <w:tcBorders>
              <w:bottom w:val="single" w:sz="4" w:space="0" w:color="auto"/>
            </w:tcBorders>
          </w:tcPr>
          <w:p w14:paraId="401F272F" w14:textId="77777777" w:rsidR="0026359C" w:rsidRDefault="0026359C" w:rsidP="0026359C">
            <w:pPr>
              <w:pStyle w:val="Tabletext"/>
              <w:jc w:val="center"/>
            </w:pPr>
          </w:p>
        </w:tc>
      </w:tr>
      <w:tr w:rsidR="0026359C" w:rsidRPr="00CE4840" w14:paraId="34B3604A" w14:textId="77777777" w:rsidTr="0026359C">
        <w:trPr>
          <w:trHeight w:val="42"/>
        </w:trPr>
        <w:tc>
          <w:tcPr>
            <w:tcW w:w="0" w:type="auto"/>
            <w:vMerge w:val="restart"/>
            <w:tcBorders>
              <w:top w:val="single" w:sz="4" w:space="0" w:color="auto"/>
            </w:tcBorders>
            <w:vAlign w:val="center"/>
          </w:tcPr>
          <w:p w14:paraId="56DE518A" w14:textId="77777777" w:rsidR="0026359C" w:rsidRDefault="0026359C" w:rsidP="0026359C">
            <w:pPr>
              <w:pStyle w:val="Tabletext"/>
              <w:ind w:right="-113"/>
              <w:jc w:val="left"/>
            </w:pPr>
            <w:r w:rsidRPr="00CC3313">
              <w:t>Mean summer maximum daily temp (°C)</w:t>
            </w:r>
          </w:p>
        </w:tc>
        <w:tc>
          <w:tcPr>
            <w:tcW w:w="0" w:type="auto"/>
            <w:vMerge w:val="restart"/>
            <w:tcBorders>
              <w:top w:val="single" w:sz="4" w:space="0" w:color="auto"/>
            </w:tcBorders>
            <w:vAlign w:val="center"/>
          </w:tcPr>
          <w:p w14:paraId="7958C2F9" w14:textId="77777777" w:rsidR="0026359C" w:rsidRDefault="0026359C" w:rsidP="0026359C">
            <w:pPr>
              <w:pStyle w:val="Tabletext"/>
              <w:jc w:val="center"/>
            </w:pPr>
            <w:r w:rsidRPr="00D03888">
              <w:t>18.9</w:t>
            </w:r>
          </w:p>
          <w:p w14:paraId="29EB0A1A" w14:textId="5D5DFA50" w:rsidR="0026359C" w:rsidRDefault="0026359C" w:rsidP="0026359C">
            <w:pPr>
              <w:pStyle w:val="Tabletext"/>
              <w:jc w:val="center"/>
            </w:pPr>
          </w:p>
        </w:tc>
        <w:tc>
          <w:tcPr>
            <w:tcW w:w="0" w:type="auto"/>
            <w:tcBorders>
              <w:top w:val="single" w:sz="4" w:space="0" w:color="auto"/>
            </w:tcBorders>
          </w:tcPr>
          <w:p w14:paraId="175ADBCB" w14:textId="4C3D8C0A" w:rsidR="0026359C" w:rsidRDefault="0026359C" w:rsidP="0026359C">
            <w:pPr>
              <w:pStyle w:val="Tabletext"/>
              <w:jc w:val="center"/>
            </w:pPr>
            <w:r w:rsidRPr="00D47EB9">
              <w:t>0.47</w:t>
            </w:r>
          </w:p>
        </w:tc>
        <w:tc>
          <w:tcPr>
            <w:tcW w:w="0" w:type="auto"/>
            <w:tcBorders>
              <w:top w:val="single" w:sz="4" w:space="0" w:color="auto"/>
            </w:tcBorders>
          </w:tcPr>
          <w:p w14:paraId="38EF61A9" w14:textId="6DA14176" w:rsidR="0026359C" w:rsidRDefault="0026359C" w:rsidP="0026359C">
            <w:pPr>
              <w:pStyle w:val="Tabletext"/>
              <w:jc w:val="center"/>
            </w:pPr>
            <w:r w:rsidRPr="00555117">
              <w:t>0.82</w:t>
            </w:r>
          </w:p>
        </w:tc>
        <w:tc>
          <w:tcPr>
            <w:tcW w:w="0" w:type="auto"/>
            <w:gridSpan w:val="2"/>
            <w:tcBorders>
              <w:top w:val="single" w:sz="4" w:space="0" w:color="auto"/>
              <w:bottom w:val="single" w:sz="4" w:space="0" w:color="auto"/>
            </w:tcBorders>
          </w:tcPr>
          <w:p w14:paraId="52825E8B" w14:textId="1D4CF36F" w:rsidR="0026359C" w:rsidRDefault="0026359C" w:rsidP="0026359C">
            <w:pPr>
              <w:pStyle w:val="Tabletext"/>
              <w:jc w:val="center"/>
            </w:pPr>
            <w:r w:rsidRPr="00D63EAB">
              <w:t>1.21</w:t>
            </w:r>
          </w:p>
        </w:tc>
        <w:tc>
          <w:tcPr>
            <w:tcW w:w="0" w:type="auto"/>
            <w:tcBorders>
              <w:top w:val="single" w:sz="4" w:space="0" w:color="auto"/>
              <w:bottom w:val="single" w:sz="4" w:space="0" w:color="auto"/>
            </w:tcBorders>
          </w:tcPr>
          <w:p w14:paraId="6E71E5A4" w14:textId="70CCAD67" w:rsidR="0026359C" w:rsidRDefault="0026359C" w:rsidP="0026359C">
            <w:pPr>
              <w:pStyle w:val="Tabletext"/>
              <w:jc w:val="center"/>
            </w:pPr>
            <w:r w:rsidRPr="00D63EAB">
              <w:t>0.58</w:t>
            </w:r>
          </w:p>
        </w:tc>
        <w:tc>
          <w:tcPr>
            <w:tcW w:w="0" w:type="auto"/>
            <w:tcBorders>
              <w:top w:val="single" w:sz="4" w:space="0" w:color="auto"/>
              <w:bottom w:val="single" w:sz="4" w:space="0" w:color="auto"/>
            </w:tcBorders>
          </w:tcPr>
          <w:p w14:paraId="2283BB0B" w14:textId="6D3D2379" w:rsidR="0026359C" w:rsidRDefault="0026359C" w:rsidP="0026359C">
            <w:pPr>
              <w:pStyle w:val="Tabletext"/>
              <w:jc w:val="center"/>
            </w:pPr>
            <w:r w:rsidRPr="00D63EAB">
              <w:t>1.30</w:t>
            </w:r>
          </w:p>
        </w:tc>
        <w:tc>
          <w:tcPr>
            <w:tcW w:w="0" w:type="auto"/>
            <w:tcBorders>
              <w:top w:val="single" w:sz="4" w:space="0" w:color="auto"/>
              <w:bottom w:val="single" w:sz="4" w:space="0" w:color="auto"/>
            </w:tcBorders>
          </w:tcPr>
          <w:p w14:paraId="32AB4F37" w14:textId="17A7DE44" w:rsidR="0026359C" w:rsidRDefault="0026359C" w:rsidP="0026359C">
            <w:pPr>
              <w:pStyle w:val="Tabletext"/>
              <w:jc w:val="center"/>
            </w:pPr>
            <w:r w:rsidRPr="00D63EAB">
              <w:t>2.54</w:t>
            </w:r>
          </w:p>
        </w:tc>
        <w:tc>
          <w:tcPr>
            <w:tcW w:w="0" w:type="auto"/>
            <w:vMerge w:val="restart"/>
            <w:tcBorders>
              <w:top w:val="single" w:sz="4" w:space="0" w:color="auto"/>
            </w:tcBorders>
          </w:tcPr>
          <w:p w14:paraId="710ACFFD" w14:textId="77777777" w:rsidR="0026359C" w:rsidRDefault="0026359C" w:rsidP="0026359C">
            <w:pPr>
              <w:pStyle w:val="Tabletext"/>
              <w:jc w:val="center"/>
            </w:pPr>
            <w:r w:rsidRPr="00A86EFB">
              <w:t>↑</w:t>
            </w:r>
          </w:p>
        </w:tc>
        <w:tc>
          <w:tcPr>
            <w:tcW w:w="0" w:type="auto"/>
            <w:vMerge w:val="restart"/>
            <w:tcBorders>
              <w:top w:val="single" w:sz="4" w:space="0" w:color="auto"/>
            </w:tcBorders>
          </w:tcPr>
          <w:p w14:paraId="46DA030A" w14:textId="63D4888C" w:rsidR="0026359C" w:rsidRDefault="0026359C" w:rsidP="0026359C">
            <w:pPr>
              <w:pStyle w:val="Tabletext"/>
              <w:jc w:val="center"/>
            </w:pPr>
            <w:r w:rsidRPr="00252D19">
              <w:t>Met Éireann/ Climate Ireland</w:t>
            </w:r>
          </w:p>
        </w:tc>
      </w:tr>
      <w:tr w:rsidR="0026359C" w:rsidRPr="00CE4840" w14:paraId="3FF52A93" w14:textId="77777777" w:rsidTr="0026359C">
        <w:trPr>
          <w:trHeight w:val="42"/>
        </w:trPr>
        <w:tc>
          <w:tcPr>
            <w:tcW w:w="0" w:type="auto"/>
            <w:vMerge/>
            <w:tcBorders>
              <w:bottom w:val="single" w:sz="4" w:space="0" w:color="auto"/>
            </w:tcBorders>
            <w:vAlign w:val="center"/>
          </w:tcPr>
          <w:p w14:paraId="6081BF90" w14:textId="77777777" w:rsidR="0026359C" w:rsidRPr="00CC3313" w:rsidRDefault="0026359C" w:rsidP="0026359C">
            <w:pPr>
              <w:pStyle w:val="Tabletext"/>
              <w:ind w:right="-113"/>
              <w:jc w:val="left"/>
            </w:pPr>
          </w:p>
        </w:tc>
        <w:tc>
          <w:tcPr>
            <w:tcW w:w="0" w:type="auto"/>
            <w:vMerge/>
            <w:tcBorders>
              <w:bottom w:val="single" w:sz="4" w:space="0" w:color="auto"/>
            </w:tcBorders>
            <w:vAlign w:val="center"/>
          </w:tcPr>
          <w:p w14:paraId="6C9ED87E" w14:textId="77777777" w:rsidR="0026359C" w:rsidRDefault="0026359C" w:rsidP="0026359C">
            <w:pPr>
              <w:pStyle w:val="Tabletext"/>
              <w:jc w:val="center"/>
            </w:pPr>
          </w:p>
        </w:tc>
        <w:tc>
          <w:tcPr>
            <w:tcW w:w="0" w:type="auto"/>
            <w:tcBorders>
              <w:bottom w:val="single" w:sz="4" w:space="0" w:color="auto"/>
            </w:tcBorders>
          </w:tcPr>
          <w:p w14:paraId="4AF8C97B" w14:textId="70322895" w:rsidR="0026359C" w:rsidRDefault="0026359C" w:rsidP="0026359C">
            <w:pPr>
              <w:pStyle w:val="Tabletext"/>
              <w:jc w:val="center"/>
            </w:pPr>
            <w:r w:rsidRPr="00D47EB9">
              <w:t>(0.10 to 0.98)</w:t>
            </w:r>
          </w:p>
        </w:tc>
        <w:tc>
          <w:tcPr>
            <w:tcW w:w="0" w:type="auto"/>
            <w:tcBorders>
              <w:bottom w:val="single" w:sz="4" w:space="0" w:color="auto"/>
            </w:tcBorders>
          </w:tcPr>
          <w:p w14:paraId="24E44A2B" w14:textId="5E593969" w:rsidR="0026359C" w:rsidRDefault="0026359C" w:rsidP="0026359C">
            <w:pPr>
              <w:pStyle w:val="Tabletext"/>
              <w:jc w:val="center"/>
            </w:pPr>
            <w:r w:rsidRPr="00555117">
              <w:t>(0.21 to 1.39)</w:t>
            </w:r>
          </w:p>
        </w:tc>
        <w:tc>
          <w:tcPr>
            <w:tcW w:w="0" w:type="auto"/>
            <w:gridSpan w:val="2"/>
            <w:tcBorders>
              <w:top w:val="single" w:sz="4" w:space="0" w:color="auto"/>
              <w:bottom w:val="single" w:sz="4" w:space="0" w:color="auto"/>
            </w:tcBorders>
          </w:tcPr>
          <w:p w14:paraId="64FE18C7" w14:textId="7F9BCE17" w:rsidR="0026359C" w:rsidRDefault="0026359C" w:rsidP="0026359C">
            <w:pPr>
              <w:pStyle w:val="Tabletext"/>
              <w:jc w:val="center"/>
            </w:pPr>
            <w:r w:rsidRPr="00D63EAB">
              <w:t>(0.64 to 1.90)</w:t>
            </w:r>
          </w:p>
        </w:tc>
        <w:tc>
          <w:tcPr>
            <w:tcW w:w="0" w:type="auto"/>
            <w:tcBorders>
              <w:top w:val="single" w:sz="4" w:space="0" w:color="auto"/>
              <w:bottom w:val="single" w:sz="4" w:space="0" w:color="auto"/>
            </w:tcBorders>
          </w:tcPr>
          <w:p w14:paraId="03097D3D" w14:textId="4AA650CE" w:rsidR="0026359C" w:rsidRDefault="0026359C" w:rsidP="0026359C">
            <w:pPr>
              <w:pStyle w:val="Tabletext"/>
              <w:jc w:val="center"/>
            </w:pPr>
            <w:r w:rsidRPr="00D63EAB">
              <w:t>(0.10 to 1.25)</w:t>
            </w:r>
          </w:p>
        </w:tc>
        <w:tc>
          <w:tcPr>
            <w:tcW w:w="0" w:type="auto"/>
            <w:tcBorders>
              <w:top w:val="single" w:sz="4" w:space="0" w:color="auto"/>
              <w:bottom w:val="single" w:sz="4" w:space="0" w:color="auto"/>
            </w:tcBorders>
          </w:tcPr>
          <w:p w14:paraId="1E1632B4" w14:textId="0AC72000" w:rsidR="0026359C" w:rsidRDefault="0026359C" w:rsidP="0026359C">
            <w:pPr>
              <w:pStyle w:val="Tabletext"/>
              <w:jc w:val="center"/>
            </w:pPr>
            <w:r w:rsidRPr="00D63EAB">
              <w:t>(0.88 to 1.70)</w:t>
            </w:r>
          </w:p>
        </w:tc>
        <w:tc>
          <w:tcPr>
            <w:tcW w:w="0" w:type="auto"/>
            <w:tcBorders>
              <w:top w:val="single" w:sz="4" w:space="0" w:color="auto"/>
              <w:bottom w:val="single" w:sz="4" w:space="0" w:color="auto"/>
            </w:tcBorders>
          </w:tcPr>
          <w:p w14:paraId="54A3D6F1" w14:textId="2B239709" w:rsidR="0026359C" w:rsidRDefault="0026359C" w:rsidP="0026359C">
            <w:pPr>
              <w:pStyle w:val="Tabletext"/>
              <w:jc w:val="center"/>
            </w:pPr>
            <w:r w:rsidRPr="00D63EAB">
              <w:t>(1.85 to 3.26)</w:t>
            </w:r>
          </w:p>
        </w:tc>
        <w:tc>
          <w:tcPr>
            <w:tcW w:w="0" w:type="auto"/>
            <w:vMerge/>
            <w:tcBorders>
              <w:bottom w:val="single" w:sz="4" w:space="0" w:color="auto"/>
            </w:tcBorders>
          </w:tcPr>
          <w:p w14:paraId="2C79CB32" w14:textId="77777777" w:rsidR="0026359C" w:rsidRDefault="0026359C" w:rsidP="0026359C">
            <w:pPr>
              <w:pStyle w:val="Tabletext"/>
              <w:jc w:val="center"/>
            </w:pPr>
          </w:p>
        </w:tc>
        <w:tc>
          <w:tcPr>
            <w:tcW w:w="0" w:type="auto"/>
            <w:vMerge/>
            <w:tcBorders>
              <w:bottom w:val="single" w:sz="4" w:space="0" w:color="auto"/>
            </w:tcBorders>
          </w:tcPr>
          <w:p w14:paraId="5775095D" w14:textId="77777777" w:rsidR="0026359C" w:rsidRDefault="0026359C" w:rsidP="0026359C">
            <w:pPr>
              <w:pStyle w:val="Tabletext"/>
              <w:jc w:val="center"/>
            </w:pPr>
          </w:p>
        </w:tc>
      </w:tr>
      <w:tr w:rsidR="0026359C" w:rsidRPr="00CE4840" w14:paraId="501F43A4" w14:textId="77777777" w:rsidTr="0026359C">
        <w:trPr>
          <w:trHeight w:val="42"/>
        </w:trPr>
        <w:tc>
          <w:tcPr>
            <w:tcW w:w="0" w:type="auto"/>
            <w:vMerge w:val="restart"/>
            <w:tcBorders>
              <w:top w:val="single" w:sz="4" w:space="0" w:color="auto"/>
            </w:tcBorders>
            <w:vAlign w:val="center"/>
          </w:tcPr>
          <w:p w14:paraId="3B6F118F" w14:textId="77777777" w:rsidR="0026359C" w:rsidRDefault="0026359C" w:rsidP="0026359C">
            <w:pPr>
              <w:pStyle w:val="Tabletext"/>
              <w:ind w:right="-113"/>
              <w:jc w:val="left"/>
            </w:pPr>
            <w:r w:rsidRPr="00CC3313">
              <w:t>Mean winter minimum daily temp</w:t>
            </w:r>
            <w:r>
              <w:t>erature</w:t>
            </w:r>
            <w:r w:rsidRPr="00CC3313">
              <w:t xml:space="preserve"> (°C)</w:t>
            </w:r>
          </w:p>
        </w:tc>
        <w:tc>
          <w:tcPr>
            <w:tcW w:w="0" w:type="auto"/>
            <w:vMerge w:val="restart"/>
            <w:tcBorders>
              <w:top w:val="single" w:sz="4" w:space="0" w:color="auto"/>
            </w:tcBorders>
            <w:vAlign w:val="center"/>
          </w:tcPr>
          <w:p w14:paraId="753CBC7A" w14:textId="77777777" w:rsidR="0026359C" w:rsidRDefault="0026359C" w:rsidP="0026359C">
            <w:pPr>
              <w:pStyle w:val="Tabletext"/>
              <w:jc w:val="center"/>
            </w:pPr>
            <w:r w:rsidRPr="00D03888">
              <w:t>2.4</w:t>
            </w:r>
          </w:p>
          <w:p w14:paraId="2F0171B8" w14:textId="7F04C66A" w:rsidR="0026359C" w:rsidRDefault="0026359C" w:rsidP="0026359C">
            <w:pPr>
              <w:pStyle w:val="Tabletext"/>
              <w:jc w:val="center"/>
            </w:pPr>
          </w:p>
        </w:tc>
        <w:tc>
          <w:tcPr>
            <w:tcW w:w="0" w:type="auto"/>
            <w:tcBorders>
              <w:top w:val="single" w:sz="4" w:space="0" w:color="auto"/>
            </w:tcBorders>
          </w:tcPr>
          <w:p w14:paraId="69364EF2" w14:textId="29B2B8D6" w:rsidR="0026359C" w:rsidRDefault="0026359C" w:rsidP="0026359C">
            <w:pPr>
              <w:pStyle w:val="Tabletext"/>
              <w:jc w:val="center"/>
            </w:pPr>
            <w:r w:rsidRPr="00D47EB9">
              <w:t>0.30</w:t>
            </w:r>
          </w:p>
        </w:tc>
        <w:tc>
          <w:tcPr>
            <w:tcW w:w="0" w:type="auto"/>
            <w:tcBorders>
              <w:top w:val="single" w:sz="4" w:space="0" w:color="auto"/>
            </w:tcBorders>
          </w:tcPr>
          <w:p w14:paraId="6574605B" w14:textId="1FFC6091" w:rsidR="0026359C" w:rsidRDefault="0026359C" w:rsidP="0026359C">
            <w:pPr>
              <w:pStyle w:val="Tabletext"/>
              <w:jc w:val="center"/>
            </w:pPr>
            <w:r w:rsidRPr="00555117">
              <w:t>0.56</w:t>
            </w:r>
          </w:p>
        </w:tc>
        <w:tc>
          <w:tcPr>
            <w:tcW w:w="0" w:type="auto"/>
            <w:gridSpan w:val="2"/>
            <w:tcBorders>
              <w:top w:val="single" w:sz="4" w:space="0" w:color="auto"/>
              <w:bottom w:val="single" w:sz="4" w:space="0" w:color="auto"/>
            </w:tcBorders>
          </w:tcPr>
          <w:p w14:paraId="3CA16BF5" w14:textId="57974C98" w:rsidR="0026359C" w:rsidRDefault="0026359C" w:rsidP="0026359C">
            <w:pPr>
              <w:pStyle w:val="Tabletext"/>
              <w:jc w:val="center"/>
            </w:pPr>
            <w:r w:rsidRPr="00D63EAB">
              <w:t>1.01</w:t>
            </w:r>
          </w:p>
        </w:tc>
        <w:tc>
          <w:tcPr>
            <w:tcW w:w="0" w:type="auto"/>
            <w:tcBorders>
              <w:top w:val="single" w:sz="4" w:space="0" w:color="auto"/>
              <w:bottom w:val="single" w:sz="4" w:space="0" w:color="auto"/>
            </w:tcBorders>
          </w:tcPr>
          <w:p w14:paraId="17B77B3C" w14:textId="710BF4BE" w:rsidR="0026359C" w:rsidRDefault="0026359C" w:rsidP="0026359C">
            <w:pPr>
              <w:pStyle w:val="Tabletext"/>
              <w:jc w:val="center"/>
            </w:pPr>
            <w:r w:rsidRPr="00D63EAB">
              <w:t>0.45</w:t>
            </w:r>
          </w:p>
        </w:tc>
        <w:tc>
          <w:tcPr>
            <w:tcW w:w="0" w:type="auto"/>
            <w:tcBorders>
              <w:top w:val="single" w:sz="4" w:space="0" w:color="auto"/>
              <w:bottom w:val="single" w:sz="4" w:space="0" w:color="auto"/>
            </w:tcBorders>
          </w:tcPr>
          <w:p w14:paraId="74FF6F7B" w14:textId="424FAFA5" w:rsidR="0026359C" w:rsidRDefault="0026359C" w:rsidP="0026359C">
            <w:pPr>
              <w:pStyle w:val="Tabletext"/>
              <w:jc w:val="center"/>
            </w:pPr>
            <w:r w:rsidRPr="00D63EAB">
              <w:t>1.00</w:t>
            </w:r>
          </w:p>
        </w:tc>
        <w:tc>
          <w:tcPr>
            <w:tcW w:w="0" w:type="auto"/>
            <w:tcBorders>
              <w:top w:val="single" w:sz="4" w:space="0" w:color="auto"/>
              <w:bottom w:val="single" w:sz="4" w:space="0" w:color="auto"/>
            </w:tcBorders>
          </w:tcPr>
          <w:p w14:paraId="0664B4DA" w14:textId="7E58BB80" w:rsidR="0026359C" w:rsidRDefault="0026359C" w:rsidP="0026359C">
            <w:pPr>
              <w:pStyle w:val="Tabletext"/>
              <w:jc w:val="center"/>
            </w:pPr>
            <w:r w:rsidRPr="00D63EAB">
              <w:t>2.17</w:t>
            </w:r>
          </w:p>
        </w:tc>
        <w:tc>
          <w:tcPr>
            <w:tcW w:w="0" w:type="auto"/>
            <w:vMerge w:val="restart"/>
            <w:tcBorders>
              <w:top w:val="single" w:sz="4" w:space="0" w:color="auto"/>
            </w:tcBorders>
          </w:tcPr>
          <w:p w14:paraId="607AC9B6" w14:textId="77777777" w:rsidR="0026359C" w:rsidRDefault="0026359C" w:rsidP="0026359C">
            <w:pPr>
              <w:pStyle w:val="Tabletext"/>
              <w:jc w:val="center"/>
            </w:pPr>
            <w:r w:rsidRPr="00A86EFB">
              <w:t>↑</w:t>
            </w:r>
          </w:p>
        </w:tc>
        <w:tc>
          <w:tcPr>
            <w:tcW w:w="0" w:type="auto"/>
            <w:vMerge w:val="restart"/>
            <w:tcBorders>
              <w:top w:val="single" w:sz="4" w:space="0" w:color="auto"/>
            </w:tcBorders>
          </w:tcPr>
          <w:p w14:paraId="619945FF" w14:textId="6B8749A9" w:rsidR="0026359C" w:rsidRDefault="0026359C" w:rsidP="0026359C">
            <w:pPr>
              <w:pStyle w:val="Tabletext"/>
              <w:jc w:val="center"/>
            </w:pPr>
            <w:r w:rsidRPr="00252D19">
              <w:t>Met Éireann/ Climate Ireland</w:t>
            </w:r>
          </w:p>
        </w:tc>
      </w:tr>
      <w:tr w:rsidR="0026359C" w:rsidRPr="00CE4840" w14:paraId="301575AE" w14:textId="77777777" w:rsidTr="0026359C">
        <w:trPr>
          <w:trHeight w:val="42"/>
        </w:trPr>
        <w:tc>
          <w:tcPr>
            <w:tcW w:w="0" w:type="auto"/>
            <w:vMerge/>
            <w:tcBorders>
              <w:bottom w:val="single" w:sz="4" w:space="0" w:color="auto"/>
            </w:tcBorders>
            <w:vAlign w:val="center"/>
          </w:tcPr>
          <w:p w14:paraId="5A72DC05" w14:textId="77777777" w:rsidR="0026359C" w:rsidRPr="00CC3313" w:rsidRDefault="0026359C" w:rsidP="0026359C">
            <w:pPr>
              <w:pStyle w:val="Tabletext"/>
              <w:ind w:right="-113"/>
              <w:jc w:val="left"/>
            </w:pPr>
          </w:p>
        </w:tc>
        <w:tc>
          <w:tcPr>
            <w:tcW w:w="0" w:type="auto"/>
            <w:vMerge/>
            <w:tcBorders>
              <w:bottom w:val="single" w:sz="4" w:space="0" w:color="auto"/>
            </w:tcBorders>
            <w:vAlign w:val="center"/>
          </w:tcPr>
          <w:p w14:paraId="036F85CF" w14:textId="77777777" w:rsidR="0026359C" w:rsidRDefault="0026359C" w:rsidP="0026359C">
            <w:pPr>
              <w:pStyle w:val="Tabletext"/>
              <w:jc w:val="center"/>
            </w:pPr>
          </w:p>
        </w:tc>
        <w:tc>
          <w:tcPr>
            <w:tcW w:w="0" w:type="auto"/>
            <w:tcBorders>
              <w:bottom w:val="single" w:sz="4" w:space="0" w:color="auto"/>
            </w:tcBorders>
          </w:tcPr>
          <w:p w14:paraId="1EC48E7F" w14:textId="4869ABD4" w:rsidR="0026359C" w:rsidRDefault="0026359C" w:rsidP="0026359C">
            <w:pPr>
              <w:pStyle w:val="Tabletext"/>
              <w:jc w:val="center"/>
            </w:pPr>
            <w:r w:rsidRPr="00D47EB9">
              <w:t>(-0.11 to 0.60)</w:t>
            </w:r>
          </w:p>
        </w:tc>
        <w:tc>
          <w:tcPr>
            <w:tcW w:w="0" w:type="auto"/>
            <w:tcBorders>
              <w:bottom w:val="single" w:sz="4" w:space="0" w:color="auto"/>
            </w:tcBorders>
          </w:tcPr>
          <w:p w14:paraId="686D0F71" w14:textId="301151F9" w:rsidR="0026359C" w:rsidRDefault="0026359C" w:rsidP="0026359C">
            <w:pPr>
              <w:pStyle w:val="Tabletext"/>
              <w:jc w:val="center"/>
            </w:pPr>
            <w:r w:rsidRPr="00555117">
              <w:t>(0.04 to 1.12)</w:t>
            </w:r>
          </w:p>
        </w:tc>
        <w:tc>
          <w:tcPr>
            <w:tcW w:w="0" w:type="auto"/>
            <w:gridSpan w:val="2"/>
            <w:tcBorders>
              <w:top w:val="single" w:sz="4" w:space="0" w:color="auto"/>
              <w:bottom w:val="single" w:sz="4" w:space="0" w:color="auto"/>
            </w:tcBorders>
          </w:tcPr>
          <w:p w14:paraId="3AF65990" w14:textId="7897066D" w:rsidR="0026359C" w:rsidRDefault="0026359C" w:rsidP="0026359C">
            <w:pPr>
              <w:pStyle w:val="Tabletext"/>
              <w:jc w:val="center"/>
            </w:pPr>
            <w:r w:rsidRPr="00D63EAB">
              <w:t>(0.54 to 1.50)</w:t>
            </w:r>
          </w:p>
        </w:tc>
        <w:tc>
          <w:tcPr>
            <w:tcW w:w="0" w:type="auto"/>
            <w:tcBorders>
              <w:top w:val="single" w:sz="4" w:space="0" w:color="auto"/>
              <w:bottom w:val="single" w:sz="4" w:space="0" w:color="auto"/>
            </w:tcBorders>
          </w:tcPr>
          <w:p w14:paraId="17D6B84A" w14:textId="76340F7F" w:rsidR="0026359C" w:rsidRDefault="0026359C" w:rsidP="0026359C">
            <w:pPr>
              <w:pStyle w:val="Tabletext"/>
              <w:jc w:val="center"/>
            </w:pPr>
            <w:r w:rsidRPr="00D63EAB">
              <w:t>(0.11 to 0.77)</w:t>
            </w:r>
          </w:p>
        </w:tc>
        <w:tc>
          <w:tcPr>
            <w:tcW w:w="0" w:type="auto"/>
            <w:tcBorders>
              <w:top w:val="single" w:sz="4" w:space="0" w:color="auto"/>
              <w:bottom w:val="single" w:sz="4" w:space="0" w:color="auto"/>
            </w:tcBorders>
          </w:tcPr>
          <w:p w14:paraId="2368B398" w14:textId="255E3040" w:rsidR="0026359C" w:rsidRDefault="0026359C" w:rsidP="0026359C">
            <w:pPr>
              <w:pStyle w:val="Tabletext"/>
              <w:jc w:val="center"/>
            </w:pPr>
            <w:r w:rsidRPr="00D63EAB">
              <w:t>(0.59 to 1.45)</w:t>
            </w:r>
          </w:p>
        </w:tc>
        <w:tc>
          <w:tcPr>
            <w:tcW w:w="0" w:type="auto"/>
            <w:tcBorders>
              <w:top w:val="single" w:sz="4" w:space="0" w:color="auto"/>
              <w:bottom w:val="single" w:sz="4" w:space="0" w:color="auto"/>
            </w:tcBorders>
          </w:tcPr>
          <w:p w14:paraId="02BE975A" w14:textId="72B256F4" w:rsidR="0026359C" w:rsidRDefault="0026359C" w:rsidP="0026359C">
            <w:pPr>
              <w:pStyle w:val="Tabletext"/>
              <w:jc w:val="center"/>
            </w:pPr>
            <w:r w:rsidRPr="00D63EAB">
              <w:t>(1.39 to 2.81)</w:t>
            </w:r>
          </w:p>
        </w:tc>
        <w:tc>
          <w:tcPr>
            <w:tcW w:w="0" w:type="auto"/>
            <w:vMerge/>
            <w:tcBorders>
              <w:bottom w:val="single" w:sz="4" w:space="0" w:color="auto"/>
            </w:tcBorders>
            <w:vAlign w:val="center"/>
          </w:tcPr>
          <w:p w14:paraId="64C115F5" w14:textId="77777777" w:rsidR="0026359C" w:rsidRDefault="0026359C" w:rsidP="0026359C">
            <w:pPr>
              <w:pStyle w:val="Tabletext"/>
              <w:jc w:val="center"/>
            </w:pPr>
          </w:p>
        </w:tc>
        <w:tc>
          <w:tcPr>
            <w:tcW w:w="0" w:type="auto"/>
            <w:vMerge/>
            <w:tcBorders>
              <w:bottom w:val="single" w:sz="4" w:space="0" w:color="auto"/>
            </w:tcBorders>
            <w:vAlign w:val="center"/>
          </w:tcPr>
          <w:p w14:paraId="5E745609" w14:textId="77777777" w:rsidR="0026359C" w:rsidRDefault="0026359C" w:rsidP="0026359C">
            <w:pPr>
              <w:pStyle w:val="Tabletext"/>
              <w:jc w:val="center"/>
            </w:pPr>
          </w:p>
        </w:tc>
      </w:tr>
      <w:tr w:rsidR="001C50E3" w:rsidRPr="00CE4840" w14:paraId="73A878B1" w14:textId="77777777" w:rsidTr="0026359C">
        <w:trPr>
          <w:trHeight w:val="245"/>
        </w:trPr>
        <w:tc>
          <w:tcPr>
            <w:tcW w:w="0" w:type="auto"/>
            <w:tcBorders>
              <w:top w:val="single" w:sz="4" w:space="0" w:color="auto"/>
              <w:bottom w:val="single" w:sz="4" w:space="0" w:color="auto"/>
            </w:tcBorders>
            <w:vAlign w:val="center"/>
          </w:tcPr>
          <w:p w14:paraId="425068F4" w14:textId="77777777" w:rsidR="001C50E3" w:rsidRDefault="001C50E3" w:rsidP="001C50E3">
            <w:pPr>
              <w:pStyle w:val="Tabletext"/>
              <w:ind w:right="-113"/>
              <w:jc w:val="left"/>
            </w:pPr>
            <w:r w:rsidRPr="00CC3313">
              <w:t>Highest temperature for baseline period (°C)</w:t>
            </w:r>
          </w:p>
        </w:tc>
        <w:tc>
          <w:tcPr>
            <w:tcW w:w="0" w:type="auto"/>
            <w:tcBorders>
              <w:top w:val="single" w:sz="4" w:space="0" w:color="auto"/>
              <w:bottom w:val="single" w:sz="4" w:space="0" w:color="auto"/>
            </w:tcBorders>
            <w:vAlign w:val="center"/>
          </w:tcPr>
          <w:p w14:paraId="21D74331" w14:textId="425BE269" w:rsidR="001C50E3" w:rsidRDefault="001C50E3" w:rsidP="001C50E3">
            <w:pPr>
              <w:pStyle w:val="Tabletext"/>
              <w:jc w:val="center"/>
            </w:pPr>
            <w:r w:rsidRPr="00D03888">
              <w:t>31.0</w:t>
            </w:r>
          </w:p>
        </w:tc>
        <w:tc>
          <w:tcPr>
            <w:tcW w:w="0" w:type="auto"/>
            <w:gridSpan w:val="2"/>
            <w:tcBorders>
              <w:top w:val="single" w:sz="4" w:space="0" w:color="auto"/>
              <w:bottom w:val="single" w:sz="4" w:space="0" w:color="auto"/>
            </w:tcBorders>
            <w:vAlign w:val="center"/>
          </w:tcPr>
          <w:p w14:paraId="5A396D84" w14:textId="416749CE" w:rsidR="001C50E3" w:rsidRDefault="00F93C7A" w:rsidP="001C50E3">
            <w:pPr>
              <w:pStyle w:val="Tabletext"/>
              <w:jc w:val="center"/>
            </w:pPr>
            <w:r>
              <w:t>-</w:t>
            </w:r>
          </w:p>
        </w:tc>
        <w:tc>
          <w:tcPr>
            <w:tcW w:w="0" w:type="auto"/>
            <w:gridSpan w:val="2"/>
            <w:tcBorders>
              <w:top w:val="single" w:sz="4" w:space="0" w:color="auto"/>
              <w:bottom w:val="single" w:sz="4" w:space="0" w:color="auto"/>
            </w:tcBorders>
            <w:vAlign w:val="center"/>
          </w:tcPr>
          <w:p w14:paraId="682B3C10" w14:textId="77777777" w:rsidR="001C50E3" w:rsidRDefault="001C50E3" w:rsidP="001C50E3">
            <w:pPr>
              <w:pStyle w:val="Tabletext"/>
              <w:jc w:val="center"/>
            </w:pPr>
            <w:r>
              <w:t>-</w:t>
            </w:r>
          </w:p>
        </w:tc>
        <w:tc>
          <w:tcPr>
            <w:tcW w:w="0" w:type="auto"/>
            <w:tcBorders>
              <w:top w:val="single" w:sz="4" w:space="0" w:color="auto"/>
              <w:bottom w:val="single" w:sz="4" w:space="0" w:color="auto"/>
            </w:tcBorders>
            <w:vAlign w:val="center"/>
          </w:tcPr>
          <w:p w14:paraId="5DAC2D38" w14:textId="77777777" w:rsidR="001C50E3" w:rsidRDefault="001C50E3" w:rsidP="001C50E3">
            <w:pPr>
              <w:pStyle w:val="Tabletext"/>
              <w:jc w:val="center"/>
            </w:pPr>
            <w:r>
              <w:t>-</w:t>
            </w:r>
          </w:p>
        </w:tc>
        <w:tc>
          <w:tcPr>
            <w:tcW w:w="0" w:type="auto"/>
            <w:tcBorders>
              <w:top w:val="single" w:sz="4" w:space="0" w:color="auto"/>
              <w:bottom w:val="single" w:sz="4" w:space="0" w:color="auto"/>
            </w:tcBorders>
            <w:vAlign w:val="center"/>
          </w:tcPr>
          <w:p w14:paraId="314F9D67" w14:textId="77777777" w:rsidR="001C50E3" w:rsidRDefault="001C50E3" w:rsidP="001C50E3">
            <w:pPr>
              <w:pStyle w:val="Tabletext"/>
              <w:jc w:val="center"/>
            </w:pPr>
            <w:r>
              <w:t>-</w:t>
            </w:r>
          </w:p>
        </w:tc>
        <w:tc>
          <w:tcPr>
            <w:tcW w:w="0" w:type="auto"/>
            <w:tcBorders>
              <w:top w:val="single" w:sz="4" w:space="0" w:color="auto"/>
              <w:bottom w:val="single" w:sz="4" w:space="0" w:color="auto"/>
            </w:tcBorders>
            <w:vAlign w:val="center"/>
          </w:tcPr>
          <w:p w14:paraId="56564D03" w14:textId="77777777" w:rsidR="001C50E3" w:rsidRDefault="001C50E3" w:rsidP="001C50E3">
            <w:pPr>
              <w:pStyle w:val="Tabletext"/>
              <w:jc w:val="center"/>
            </w:pPr>
            <w:r>
              <w:t>-</w:t>
            </w:r>
          </w:p>
        </w:tc>
        <w:tc>
          <w:tcPr>
            <w:tcW w:w="0" w:type="auto"/>
            <w:tcBorders>
              <w:top w:val="single" w:sz="4" w:space="0" w:color="auto"/>
              <w:bottom w:val="single" w:sz="4" w:space="0" w:color="auto"/>
            </w:tcBorders>
            <w:vAlign w:val="center"/>
          </w:tcPr>
          <w:p w14:paraId="47D548B3" w14:textId="77777777" w:rsidR="001C50E3" w:rsidRDefault="001C50E3" w:rsidP="001C50E3">
            <w:pPr>
              <w:pStyle w:val="Tabletext"/>
              <w:jc w:val="center"/>
            </w:pPr>
            <w:r>
              <w:t>-</w:t>
            </w:r>
          </w:p>
        </w:tc>
        <w:tc>
          <w:tcPr>
            <w:tcW w:w="0" w:type="auto"/>
            <w:tcBorders>
              <w:top w:val="single" w:sz="4" w:space="0" w:color="auto"/>
              <w:bottom w:val="single" w:sz="4" w:space="0" w:color="auto"/>
            </w:tcBorders>
          </w:tcPr>
          <w:p w14:paraId="5C52E859" w14:textId="4021C5CA" w:rsidR="001C50E3" w:rsidRDefault="001C50E3" w:rsidP="001C50E3">
            <w:pPr>
              <w:pStyle w:val="Tabletext"/>
              <w:jc w:val="center"/>
            </w:pPr>
            <w:r w:rsidRPr="00163E0D">
              <w:t>Met Éireann/ Climate Ireland</w:t>
            </w:r>
          </w:p>
        </w:tc>
      </w:tr>
      <w:tr w:rsidR="001C50E3" w:rsidRPr="00CE4840" w14:paraId="17C7F700" w14:textId="77777777" w:rsidTr="0026359C">
        <w:trPr>
          <w:trHeight w:val="245"/>
        </w:trPr>
        <w:tc>
          <w:tcPr>
            <w:tcW w:w="0" w:type="auto"/>
            <w:tcBorders>
              <w:top w:val="single" w:sz="4" w:space="0" w:color="auto"/>
              <w:bottom w:val="single" w:sz="4" w:space="0" w:color="auto"/>
            </w:tcBorders>
            <w:vAlign w:val="center"/>
          </w:tcPr>
          <w:p w14:paraId="212B20C1" w14:textId="77777777" w:rsidR="001C50E3" w:rsidRDefault="001C50E3" w:rsidP="001C50E3">
            <w:pPr>
              <w:pStyle w:val="Tabletext"/>
              <w:ind w:right="-113"/>
              <w:jc w:val="left"/>
            </w:pPr>
            <w:r w:rsidRPr="00CC3313">
              <w:t>Lowest temperature for baseline period (°C)</w:t>
            </w:r>
          </w:p>
        </w:tc>
        <w:tc>
          <w:tcPr>
            <w:tcW w:w="0" w:type="auto"/>
            <w:tcBorders>
              <w:top w:val="single" w:sz="4" w:space="0" w:color="auto"/>
              <w:bottom w:val="single" w:sz="4" w:space="0" w:color="auto"/>
            </w:tcBorders>
            <w:vAlign w:val="center"/>
          </w:tcPr>
          <w:p w14:paraId="0E9448BC" w14:textId="3DDFA8AE" w:rsidR="001C50E3" w:rsidRDefault="001C50E3" w:rsidP="001C50E3">
            <w:pPr>
              <w:pStyle w:val="Tabletext"/>
              <w:jc w:val="center"/>
            </w:pPr>
            <w:r w:rsidRPr="00D03888">
              <w:t>-15.7</w:t>
            </w:r>
          </w:p>
        </w:tc>
        <w:tc>
          <w:tcPr>
            <w:tcW w:w="0" w:type="auto"/>
            <w:gridSpan w:val="2"/>
            <w:tcBorders>
              <w:top w:val="single" w:sz="4" w:space="0" w:color="auto"/>
              <w:bottom w:val="single" w:sz="4" w:space="0" w:color="auto"/>
            </w:tcBorders>
            <w:vAlign w:val="center"/>
          </w:tcPr>
          <w:p w14:paraId="69B705BF" w14:textId="04051DE1" w:rsidR="001C50E3" w:rsidRDefault="00F93C7A" w:rsidP="001C50E3">
            <w:pPr>
              <w:pStyle w:val="Tabletext"/>
              <w:jc w:val="center"/>
            </w:pPr>
            <w:r>
              <w:t>-</w:t>
            </w:r>
          </w:p>
        </w:tc>
        <w:tc>
          <w:tcPr>
            <w:tcW w:w="0" w:type="auto"/>
            <w:gridSpan w:val="2"/>
            <w:tcBorders>
              <w:top w:val="single" w:sz="4" w:space="0" w:color="auto"/>
              <w:bottom w:val="single" w:sz="4" w:space="0" w:color="auto"/>
            </w:tcBorders>
            <w:vAlign w:val="center"/>
          </w:tcPr>
          <w:p w14:paraId="2D646C18" w14:textId="77777777" w:rsidR="001C50E3" w:rsidRDefault="001C50E3" w:rsidP="001C50E3">
            <w:pPr>
              <w:pStyle w:val="Tabletext"/>
              <w:jc w:val="center"/>
            </w:pPr>
            <w:r>
              <w:t>-</w:t>
            </w:r>
          </w:p>
        </w:tc>
        <w:tc>
          <w:tcPr>
            <w:tcW w:w="0" w:type="auto"/>
            <w:tcBorders>
              <w:top w:val="single" w:sz="4" w:space="0" w:color="auto"/>
              <w:bottom w:val="single" w:sz="4" w:space="0" w:color="auto"/>
            </w:tcBorders>
            <w:vAlign w:val="center"/>
          </w:tcPr>
          <w:p w14:paraId="0093AA4B" w14:textId="77777777" w:rsidR="001C50E3" w:rsidRDefault="001C50E3" w:rsidP="001C50E3">
            <w:pPr>
              <w:pStyle w:val="Tabletext"/>
              <w:jc w:val="center"/>
            </w:pPr>
            <w:r>
              <w:t>-</w:t>
            </w:r>
          </w:p>
        </w:tc>
        <w:tc>
          <w:tcPr>
            <w:tcW w:w="0" w:type="auto"/>
            <w:tcBorders>
              <w:top w:val="single" w:sz="4" w:space="0" w:color="auto"/>
              <w:bottom w:val="single" w:sz="4" w:space="0" w:color="auto"/>
            </w:tcBorders>
            <w:vAlign w:val="center"/>
          </w:tcPr>
          <w:p w14:paraId="3BF89CFE" w14:textId="77777777" w:rsidR="001C50E3" w:rsidRDefault="001C50E3" w:rsidP="001C50E3">
            <w:pPr>
              <w:pStyle w:val="Tabletext"/>
              <w:jc w:val="center"/>
            </w:pPr>
            <w:r>
              <w:t>-</w:t>
            </w:r>
          </w:p>
        </w:tc>
        <w:tc>
          <w:tcPr>
            <w:tcW w:w="0" w:type="auto"/>
            <w:tcBorders>
              <w:top w:val="single" w:sz="4" w:space="0" w:color="auto"/>
              <w:bottom w:val="single" w:sz="4" w:space="0" w:color="auto"/>
            </w:tcBorders>
            <w:vAlign w:val="center"/>
          </w:tcPr>
          <w:p w14:paraId="4BAB9A62" w14:textId="77777777" w:rsidR="001C50E3" w:rsidRDefault="001C50E3" w:rsidP="001C50E3">
            <w:pPr>
              <w:pStyle w:val="Tabletext"/>
              <w:jc w:val="center"/>
            </w:pPr>
            <w:r>
              <w:t>-</w:t>
            </w:r>
          </w:p>
        </w:tc>
        <w:tc>
          <w:tcPr>
            <w:tcW w:w="0" w:type="auto"/>
            <w:tcBorders>
              <w:top w:val="single" w:sz="4" w:space="0" w:color="auto"/>
              <w:bottom w:val="single" w:sz="4" w:space="0" w:color="auto"/>
            </w:tcBorders>
            <w:vAlign w:val="center"/>
          </w:tcPr>
          <w:p w14:paraId="114E8C4D" w14:textId="77777777" w:rsidR="001C50E3" w:rsidRDefault="001C50E3" w:rsidP="001C50E3">
            <w:pPr>
              <w:pStyle w:val="Tabletext"/>
              <w:jc w:val="center"/>
            </w:pPr>
            <w:r>
              <w:t>-</w:t>
            </w:r>
          </w:p>
        </w:tc>
        <w:tc>
          <w:tcPr>
            <w:tcW w:w="0" w:type="auto"/>
            <w:tcBorders>
              <w:top w:val="single" w:sz="4" w:space="0" w:color="auto"/>
              <w:bottom w:val="single" w:sz="4" w:space="0" w:color="auto"/>
            </w:tcBorders>
          </w:tcPr>
          <w:p w14:paraId="0D6932A1" w14:textId="6AADB7B6" w:rsidR="001C50E3" w:rsidRDefault="001C50E3" w:rsidP="001C50E3">
            <w:pPr>
              <w:pStyle w:val="Tabletext"/>
              <w:jc w:val="center"/>
            </w:pPr>
            <w:r w:rsidRPr="00163E0D">
              <w:t>Met Éireann/ Climate Ireland</w:t>
            </w:r>
          </w:p>
        </w:tc>
      </w:tr>
      <w:tr w:rsidR="00A83D1C" w:rsidRPr="00CE4840" w14:paraId="670ED6F9" w14:textId="77777777" w:rsidTr="0026359C">
        <w:trPr>
          <w:trHeight w:val="245"/>
        </w:trPr>
        <w:tc>
          <w:tcPr>
            <w:tcW w:w="0" w:type="auto"/>
            <w:gridSpan w:val="11"/>
            <w:tcBorders>
              <w:top w:val="single" w:sz="4" w:space="0" w:color="auto"/>
              <w:bottom w:val="single" w:sz="4" w:space="0" w:color="auto"/>
            </w:tcBorders>
            <w:shd w:val="clear" w:color="auto" w:fill="D9D9D9" w:themeFill="background1" w:themeFillShade="D9"/>
            <w:vAlign w:val="center"/>
          </w:tcPr>
          <w:p w14:paraId="6D5B6A6D" w14:textId="77777777" w:rsidR="00A83D1C" w:rsidRPr="00064E60" w:rsidRDefault="00A83D1C">
            <w:pPr>
              <w:pStyle w:val="Tabletext"/>
              <w:jc w:val="center"/>
              <w:rPr>
                <w:b/>
                <w:bCs/>
              </w:rPr>
            </w:pPr>
            <w:r w:rsidRPr="00064E60">
              <w:rPr>
                <w:b/>
                <w:bCs/>
              </w:rPr>
              <w:t>Rainfall</w:t>
            </w:r>
          </w:p>
        </w:tc>
      </w:tr>
      <w:tr w:rsidR="00771278" w:rsidRPr="00CE4840" w14:paraId="31295202" w14:textId="77777777">
        <w:trPr>
          <w:trHeight w:val="78"/>
        </w:trPr>
        <w:tc>
          <w:tcPr>
            <w:tcW w:w="0" w:type="auto"/>
            <w:vMerge w:val="restart"/>
            <w:tcBorders>
              <w:top w:val="single" w:sz="4" w:space="0" w:color="auto"/>
            </w:tcBorders>
            <w:vAlign w:val="center"/>
          </w:tcPr>
          <w:p w14:paraId="3F5A0691" w14:textId="77777777" w:rsidR="00771278" w:rsidRPr="00CC3313" w:rsidRDefault="00771278" w:rsidP="00771278">
            <w:pPr>
              <w:pStyle w:val="Tabletext"/>
              <w:jc w:val="left"/>
            </w:pPr>
            <w:r>
              <w:t>Mean annual rainfall levels (mm)</w:t>
            </w:r>
          </w:p>
        </w:tc>
        <w:tc>
          <w:tcPr>
            <w:tcW w:w="0" w:type="auto"/>
            <w:vMerge w:val="restart"/>
            <w:tcBorders>
              <w:top w:val="single" w:sz="4" w:space="0" w:color="auto"/>
            </w:tcBorders>
            <w:vAlign w:val="center"/>
          </w:tcPr>
          <w:p w14:paraId="64466A9B" w14:textId="77777777" w:rsidR="00771278" w:rsidRDefault="00771278" w:rsidP="00771278">
            <w:pPr>
              <w:pStyle w:val="Tabletext"/>
              <w:jc w:val="center"/>
            </w:pPr>
            <w:r w:rsidRPr="003B354F">
              <w:t>754.23</w:t>
            </w:r>
          </w:p>
          <w:p w14:paraId="7BBAC908" w14:textId="4BB47056" w:rsidR="00771278" w:rsidRDefault="00771278" w:rsidP="00771278">
            <w:pPr>
              <w:pStyle w:val="Tabletext"/>
              <w:jc w:val="center"/>
            </w:pPr>
          </w:p>
        </w:tc>
        <w:tc>
          <w:tcPr>
            <w:tcW w:w="0" w:type="auto"/>
            <w:tcBorders>
              <w:top w:val="single" w:sz="4" w:space="0" w:color="auto"/>
            </w:tcBorders>
          </w:tcPr>
          <w:p w14:paraId="59DCD4A6" w14:textId="21C579EF" w:rsidR="00771278" w:rsidRDefault="00771278" w:rsidP="00771278">
            <w:pPr>
              <w:pStyle w:val="Tabletext"/>
              <w:jc w:val="center"/>
            </w:pPr>
            <w:r w:rsidRPr="009445DC">
              <w:t>18.31%</w:t>
            </w:r>
          </w:p>
        </w:tc>
        <w:tc>
          <w:tcPr>
            <w:tcW w:w="0" w:type="auto"/>
            <w:tcBorders>
              <w:top w:val="single" w:sz="4" w:space="0" w:color="auto"/>
            </w:tcBorders>
          </w:tcPr>
          <w:p w14:paraId="47BF2860" w14:textId="2FE38F8E" w:rsidR="00771278" w:rsidRDefault="00771278" w:rsidP="00771278">
            <w:pPr>
              <w:pStyle w:val="Tabletext"/>
              <w:jc w:val="center"/>
            </w:pPr>
            <w:r w:rsidRPr="000170CD">
              <w:t>17.95%</w:t>
            </w:r>
          </w:p>
        </w:tc>
        <w:tc>
          <w:tcPr>
            <w:tcW w:w="0" w:type="auto"/>
            <w:gridSpan w:val="2"/>
            <w:tcBorders>
              <w:top w:val="single" w:sz="4" w:space="0" w:color="auto"/>
              <w:bottom w:val="single" w:sz="4" w:space="0" w:color="auto"/>
            </w:tcBorders>
          </w:tcPr>
          <w:p w14:paraId="0B7CB715" w14:textId="51207CDB" w:rsidR="00771278" w:rsidRDefault="00771278" w:rsidP="00771278">
            <w:pPr>
              <w:pStyle w:val="Tabletext"/>
              <w:jc w:val="center"/>
            </w:pPr>
            <w:r w:rsidRPr="000170CD">
              <w:t>20.25%</w:t>
            </w:r>
          </w:p>
        </w:tc>
        <w:tc>
          <w:tcPr>
            <w:tcW w:w="0" w:type="auto"/>
            <w:tcBorders>
              <w:top w:val="single" w:sz="4" w:space="0" w:color="auto"/>
              <w:bottom w:val="single" w:sz="4" w:space="0" w:color="auto"/>
            </w:tcBorders>
          </w:tcPr>
          <w:p w14:paraId="4A8849B0" w14:textId="77922E26" w:rsidR="00771278" w:rsidRDefault="00771278" w:rsidP="00771278">
            <w:pPr>
              <w:pStyle w:val="Tabletext"/>
              <w:jc w:val="center"/>
            </w:pPr>
            <w:r w:rsidRPr="000170CD">
              <w:t>18.32%</w:t>
            </w:r>
          </w:p>
        </w:tc>
        <w:tc>
          <w:tcPr>
            <w:tcW w:w="0" w:type="auto"/>
            <w:tcBorders>
              <w:top w:val="single" w:sz="4" w:space="0" w:color="auto"/>
              <w:bottom w:val="single" w:sz="4" w:space="0" w:color="auto"/>
            </w:tcBorders>
          </w:tcPr>
          <w:p w14:paraId="697FD374" w14:textId="57AC5EB6" w:rsidR="00771278" w:rsidRDefault="00771278" w:rsidP="00771278">
            <w:pPr>
              <w:pStyle w:val="Tabletext"/>
              <w:jc w:val="center"/>
            </w:pPr>
            <w:r w:rsidRPr="000170CD">
              <w:t>20.55%</w:t>
            </w:r>
          </w:p>
        </w:tc>
        <w:tc>
          <w:tcPr>
            <w:tcW w:w="0" w:type="auto"/>
            <w:tcBorders>
              <w:top w:val="single" w:sz="4" w:space="0" w:color="auto"/>
              <w:bottom w:val="single" w:sz="4" w:space="0" w:color="auto"/>
            </w:tcBorders>
          </w:tcPr>
          <w:p w14:paraId="67E00645" w14:textId="2B4509B3" w:rsidR="00771278" w:rsidRDefault="00771278" w:rsidP="00771278">
            <w:pPr>
              <w:pStyle w:val="Tabletext"/>
              <w:jc w:val="center"/>
            </w:pPr>
            <w:r w:rsidRPr="000170CD">
              <w:t>24.68%</w:t>
            </w:r>
          </w:p>
        </w:tc>
        <w:tc>
          <w:tcPr>
            <w:tcW w:w="0" w:type="auto"/>
            <w:vMerge w:val="restart"/>
            <w:tcBorders>
              <w:top w:val="single" w:sz="4" w:space="0" w:color="auto"/>
            </w:tcBorders>
            <w:vAlign w:val="center"/>
          </w:tcPr>
          <w:p w14:paraId="185D6BF2" w14:textId="7F855B62" w:rsidR="00771278" w:rsidRDefault="00771278" w:rsidP="00771278">
            <w:pPr>
              <w:pStyle w:val="Tabletext"/>
              <w:jc w:val="center"/>
            </w:pPr>
            <w:r w:rsidRPr="00F50A10">
              <w:t>↑</w:t>
            </w:r>
          </w:p>
        </w:tc>
        <w:tc>
          <w:tcPr>
            <w:tcW w:w="0" w:type="auto"/>
            <w:vMerge w:val="restart"/>
            <w:tcBorders>
              <w:top w:val="single" w:sz="4" w:space="0" w:color="auto"/>
            </w:tcBorders>
            <w:vAlign w:val="center"/>
          </w:tcPr>
          <w:p w14:paraId="5302E573" w14:textId="256DBF73" w:rsidR="00771278" w:rsidRPr="00163E0D" w:rsidRDefault="00771278" w:rsidP="00771278">
            <w:pPr>
              <w:pStyle w:val="Tabletext"/>
              <w:jc w:val="center"/>
            </w:pPr>
            <w:r w:rsidRPr="00914468">
              <w:t>Met Éireann/ Climate Ireland</w:t>
            </w:r>
          </w:p>
        </w:tc>
      </w:tr>
      <w:tr w:rsidR="00771278" w:rsidRPr="00CE4840" w14:paraId="5AE61493" w14:textId="77777777">
        <w:trPr>
          <w:trHeight w:val="42"/>
        </w:trPr>
        <w:tc>
          <w:tcPr>
            <w:tcW w:w="0" w:type="auto"/>
            <w:vMerge/>
            <w:tcBorders>
              <w:bottom w:val="single" w:sz="4" w:space="0" w:color="auto"/>
            </w:tcBorders>
            <w:vAlign w:val="center"/>
          </w:tcPr>
          <w:p w14:paraId="193BD96A" w14:textId="77777777" w:rsidR="00771278" w:rsidRDefault="00771278" w:rsidP="00771278">
            <w:pPr>
              <w:pStyle w:val="Tabletext"/>
              <w:jc w:val="left"/>
            </w:pPr>
          </w:p>
        </w:tc>
        <w:tc>
          <w:tcPr>
            <w:tcW w:w="0" w:type="auto"/>
            <w:vMerge/>
            <w:tcBorders>
              <w:bottom w:val="single" w:sz="4" w:space="0" w:color="auto"/>
            </w:tcBorders>
            <w:vAlign w:val="center"/>
          </w:tcPr>
          <w:p w14:paraId="28108450" w14:textId="77777777" w:rsidR="00771278" w:rsidRDefault="00771278" w:rsidP="00771278">
            <w:pPr>
              <w:pStyle w:val="Tabletext"/>
              <w:jc w:val="center"/>
            </w:pPr>
          </w:p>
        </w:tc>
        <w:tc>
          <w:tcPr>
            <w:tcW w:w="0" w:type="auto"/>
            <w:tcBorders>
              <w:bottom w:val="single" w:sz="4" w:space="0" w:color="auto"/>
            </w:tcBorders>
          </w:tcPr>
          <w:p w14:paraId="3C71A769" w14:textId="1291D0AD" w:rsidR="00771278" w:rsidRDefault="00771278" w:rsidP="00771278">
            <w:pPr>
              <w:pStyle w:val="Tabletext"/>
              <w:jc w:val="center"/>
            </w:pPr>
            <w:r w:rsidRPr="000170CD">
              <w:t>(12.49 to 23.15%)</w:t>
            </w:r>
          </w:p>
        </w:tc>
        <w:tc>
          <w:tcPr>
            <w:tcW w:w="0" w:type="auto"/>
            <w:tcBorders>
              <w:bottom w:val="single" w:sz="4" w:space="0" w:color="auto"/>
            </w:tcBorders>
          </w:tcPr>
          <w:p w14:paraId="1CB0AB82" w14:textId="77777777" w:rsidR="00771278" w:rsidRDefault="00771278" w:rsidP="00771278">
            <w:pPr>
              <w:pStyle w:val="Tabletext"/>
              <w:jc w:val="center"/>
            </w:pPr>
            <w:r w:rsidRPr="000170CD">
              <w:t>(12.51 to 23.91%)</w:t>
            </w:r>
          </w:p>
        </w:tc>
        <w:tc>
          <w:tcPr>
            <w:tcW w:w="0" w:type="auto"/>
            <w:gridSpan w:val="2"/>
            <w:tcBorders>
              <w:top w:val="single" w:sz="4" w:space="0" w:color="auto"/>
              <w:bottom w:val="single" w:sz="4" w:space="0" w:color="auto"/>
            </w:tcBorders>
          </w:tcPr>
          <w:p w14:paraId="40B067C7" w14:textId="44E79B43" w:rsidR="00771278" w:rsidRDefault="00771278" w:rsidP="00771278">
            <w:pPr>
              <w:pStyle w:val="Tabletext"/>
              <w:jc w:val="center"/>
            </w:pPr>
            <w:r w:rsidRPr="000170CD">
              <w:t>(17.05 to 26.37%)</w:t>
            </w:r>
          </w:p>
        </w:tc>
        <w:tc>
          <w:tcPr>
            <w:tcW w:w="0" w:type="auto"/>
            <w:tcBorders>
              <w:top w:val="single" w:sz="4" w:space="0" w:color="auto"/>
              <w:bottom w:val="single" w:sz="4" w:space="0" w:color="auto"/>
            </w:tcBorders>
          </w:tcPr>
          <w:p w14:paraId="4A8A170F" w14:textId="1292F3C2" w:rsidR="00771278" w:rsidRDefault="00771278" w:rsidP="00771278">
            <w:pPr>
              <w:pStyle w:val="Tabletext"/>
              <w:jc w:val="center"/>
            </w:pPr>
            <w:r w:rsidRPr="000170CD">
              <w:t>(13.13 to 23.98%)</w:t>
            </w:r>
          </w:p>
        </w:tc>
        <w:tc>
          <w:tcPr>
            <w:tcW w:w="0" w:type="auto"/>
            <w:tcBorders>
              <w:top w:val="single" w:sz="4" w:space="0" w:color="auto"/>
              <w:bottom w:val="single" w:sz="4" w:space="0" w:color="auto"/>
            </w:tcBorders>
          </w:tcPr>
          <w:p w14:paraId="2EA36527" w14:textId="0FADF86C" w:rsidR="00771278" w:rsidRDefault="00771278" w:rsidP="00771278">
            <w:pPr>
              <w:pStyle w:val="Tabletext"/>
              <w:jc w:val="center"/>
            </w:pPr>
            <w:r w:rsidRPr="000170CD">
              <w:t>(14.66 to 26.95%)</w:t>
            </w:r>
          </w:p>
        </w:tc>
        <w:tc>
          <w:tcPr>
            <w:tcW w:w="0" w:type="auto"/>
            <w:tcBorders>
              <w:top w:val="single" w:sz="4" w:space="0" w:color="auto"/>
              <w:bottom w:val="single" w:sz="4" w:space="0" w:color="auto"/>
            </w:tcBorders>
          </w:tcPr>
          <w:p w14:paraId="4D6C66AE" w14:textId="08D5E7C8" w:rsidR="00771278" w:rsidRDefault="00771278" w:rsidP="00771278">
            <w:pPr>
              <w:pStyle w:val="Tabletext"/>
              <w:jc w:val="center"/>
            </w:pPr>
            <w:r w:rsidRPr="000170CD">
              <w:t>(19.33 to 32.73%)</w:t>
            </w:r>
          </w:p>
        </w:tc>
        <w:tc>
          <w:tcPr>
            <w:tcW w:w="0" w:type="auto"/>
            <w:vMerge/>
            <w:tcBorders>
              <w:bottom w:val="single" w:sz="4" w:space="0" w:color="auto"/>
            </w:tcBorders>
            <w:vAlign w:val="center"/>
          </w:tcPr>
          <w:p w14:paraId="52ABEF10" w14:textId="77777777" w:rsidR="00771278" w:rsidRPr="00F50A10" w:rsidRDefault="00771278" w:rsidP="00771278">
            <w:pPr>
              <w:pStyle w:val="Tabletext"/>
              <w:jc w:val="center"/>
            </w:pPr>
          </w:p>
        </w:tc>
        <w:tc>
          <w:tcPr>
            <w:tcW w:w="0" w:type="auto"/>
            <w:vMerge/>
            <w:tcBorders>
              <w:bottom w:val="single" w:sz="4" w:space="0" w:color="auto"/>
            </w:tcBorders>
            <w:vAlign w:val="center"/>
          </w:tcPr>
          <w:p w14:paraId="28FF0817" w14:textId="77777777" w:rsidR="00771278" w:rsidRPr="00914468" w:rsidRDefault="00771278" w:rsidP="00771278">
            <w:pPr>
              <w:pStyle w:val="Tabletext"/>
              <w:jc w:val="center"/>
            </w:pPr>
          </w:p>
        </w:tc>
      </w:tr>
      <w:tr w:rsidR="00771278" w:rsidRPr="00CE4840" w14:paraId="45A570C1" w14:textId="77777777">
        <w:trPr>
          <w:trHeight w:val="248"/>
        </w:trPr>
        <w:tc>
          <w:tcPr>
            <w:tcW w:w="0" w:type="auto"/>
            <w:vMerge w:val="restart"/>
            <w:tcBorders>
              <w:top w:val="single" w:sz="4" w:space="0" w:color="auto"/>
            </w:tcBorders>
            <w:vAlign w:val="center"/>
          </w:tcPr>
          <w:p w14:paraId="47B02A69" w14:textId="77777777" w:rsidR="00771278" w:rsidRPr="00CC3313" w:rsidRDefault="00771278" w:rsidP="00771278">
            <w:pPr>
              <w:pStyle w:val="Tabletext"/>
              <w:jc w:val="left"/>
            </w:pPr>
            <w:r>
              <w:lastRenderedPageBreak/>
              <w:t>Mean summer rainfall (mm)</w:t>
            </w:r>
          </w:p>
        </w:tc>
        <w:tc>
          <w:tcPr>
            <w:tcW w:w="0" w:type="auto"/>
            <w:vMerge w:val="restart"/>
            <w:tcBorders>
              <w:top w:val="single" w:sz="4" w:space="0" w:color="auto"/>
            </w:tcBorders>
            <w:vAlign w:val="center"/>
          </w:tcPr>
          <w:p w14:paraId="1E1B0CAB" w14:textId="77777777" w:rsidR="00771278" w:rsidRDefault="00771278" w:rsidP="00771278">
            <w:pPr>
              <w:pStyle w:val="Tabletext"/>
              <w:jc w:val="center"/>
            </w:pPr>
            <w:r w:rsidRPr="003B354F">
              <w:t>189.5</w:t>
            </w:r>
          </w:p>
          <w:p w14:paraId="4C57E445" w14:textId="483E6E52" w:rsidR="00771278" w:rsidRDefault="00771278" w:rsidP="00771278">
            <w:pPr>
              <w:pStyle w:val="Tabletext"/>
              <w:jc w:val="center"/>
            </w:pPr>
          </w:p>
        </w:tc>
        <w:tc>
          <w:tcPr>
            <w:tcW w:w="0" w:type="auto"/>
            <w:tcBorders>
              <w:top w:val="single" w:sz="4" w:space="0" w:color="auto"/>
            </w:tcBorders>
          </w:tcPr>
          <w:p w14:paraId="0A245D9D" w14:textId="0213B67D" w:rsidR="00771278" w:rsidRDefault="00771278" w:rsidP="00771278">
            <w:pPr>
              <w:pStyle w:val="Tabletext"/>
              <w:jc w:val="center"/>
            </w:pPr>
            <w:r w:rsidRPr="000170CD">
              <w:t>4.08%</w:t>
            </w:r>
          </w:p>
        </w:tc>
        <w:tc>
          <w:tcPr>
            <w:tcW w:w="0" w:type="auto"/>
            <w:tcBorders>
              <w:top w:val="single" w:sz="4" w:space="0" w:color="auto"/>
            </w:tcBorders>
          </w:tcPr>
          <w:p w14:paraId="62DD1B02" w14:textId="494C7954" w:rsidR="00771278" w:rsidRDefault="00771278" w:rsidP="00771278">
            <w:pPr>
              <w:pStyle w:val="Tabletext"/>
              <w:jc w:val="center"/>
            </w:pPr>
            <w:r w:rsidRPr="000170CD">
              <w:t>2.28%</w:t>
            </w:r>
          </w:p>
        </w:tc>
        <w:tc>
          <w:tcPr>
            <w:tcW w:w="0" w:type="auto"/>
            <w:gridSpan w:val="2"/>
            <w:tcBorders>
              <w:top w:val="single" w:sz="4" w:space="0" w:color="auto"/>
              <w:bottom w:val="single" w:sz="4" w:space="0" w:color="auto"/>
            </w:tcBorders>
          </w:tcPr>
          <w:p w14:paraId="576203CD" w14:textId="0585E3A6" w:rsidR="00771278" w:rsidRDefault="00771278" w:rsidP="00771278">
            <w:pPr>
              <w:pStyle w:val="Tabletext"/>
              <w:jc w:val="center"/>
            </w:pPr>
            <w:r w:rsidRPr="000170CD">
              <w:t>1.56%</w:t>
            </w:r>
          </w:p>
        </w:tc>
        <w:tc>
          <w:tcPr>
            <w:tcW w:w="0" w:type="auto"/>
            <w:tcBorders>
              <w:top w:val="single" w:sz="4" w:space="0" w:color="auto"/>
              <w:bottom w:val="single" w:sz="4" w:space="0" w:color="auto"/>
            </w:tcBorders>
          </w:tcPr>
          <w:p w14:paraId="6638B4C6" w14:textId="16D81227" w:rsidR="00771278" w:rsidRDefault="00771278" w:rsidP="00771278">
            <w:pPr>
              <w:pStyle w:val="Tabletext"/>
              <w:jc w:val="center"/>
            </w:pPr>
            <w:r w:rsidRPr="000170CD">
              <w:t>2.59%</w:t>
            </w:r>
          </w:p>
        </w:tc>
        <w:tc>
          <w:tcPr>
            <w:tcW w:w="0" w:type="auto"/>
            <w:tcBorders>
              <w:top w:val="single" w:sz="4" w:space="0" w:color="auto"/>
              <w:bottom w:val="single" w:sz="4" w:space="0" w:color="auto"/>
            </w:tcBorders>
          </w:tcPr>
          <w:p w14:paraId="287BFFF3" w14:textId="13717841" w:rsidR="00771278" w:rsidRDefault="00771278" w:rsidP="00771278">
            <w:pPr>
              <w:pStyle w:val="Tabletext"/>
              <w:jc w:val="center"/>
            </w:pPr>
            <w:r w:rsidRPr="000170CD">
              <w:t>-0.17%</w:t>
            </w:r>
          </w:p>
        </w:tc>
        <w:tc>
          <w:tcPr>
            <w:tcW w:w="0" w:type="auto"/>
            <w:tcBorders>
              <w:top w:val="single" w:sz="4" w:space="0" w:color="auto"/>
              <w:bottom w:val="single" w:sz="4" w:space="0" w:color="auto"/>
            </w:tcBorders>
          </w:tcPr>
          <w:p w14:paraId="3816D5F5" w14:textId="5C725D93" w:rsidR="00771278" w:rsidRDefault="00771278" w:rsidP="00771278">
            <w:pPr>
              <w:pStyle w:val="Tabletext"/>
              <w:jc w:val="center"/>
            </w:pPr>
            <w:r w:rsidRPr="000170CD">
              <w:t>-1.99%</w:t>
            </w:r>
          </w:p>
        </w:tc>
        <w:tc>
          <w:tcPr>
            <w:tcW w:w="0" w:type="auto"/>
            <w:vMerge w:val="restart"/>
            <w:tcBorders>
              <w:top w:val="single" w:sz="4" w:space="0" w:color="auto"/>
            </w:tcBorders>
            <w:vAlign w:val="center"/>
          </w:tcPr>
          <w:p w14:paraId="5F1AF92F" w14:textId="128E42F8" w:rsidR="00771278" w:rsidRDefault="00294CE1" w:rsidP="00771278">
            <w:pPr>
              <w:pStyle w:val="Tabletext"/>
              <w:jc w:val="center"/>
            </w:pPr>
            <w:r w:rsidRPr="00F50A10">
              <w:t>↑</w:t>
            </w:r>
            <w:r w:rsidR="00771278" w:rsidRPr="00F50A10">
              <w:t>↓</w:t>
            </w:r>
          </w:p>
        </w:tc>
        <w:tc>
          <w:tcPr>
            <w:tcW w:w="0" w:type="auto"/>
            <w:vMerge w:val="restart"/>
            <w:tcBorders>
              <w:top w:val="single" w:sz="4" w:space="0" w:color="auto"/>
            </w:tcBorders>
            <w:vAlign w:val="center"/>
          </w:tcPr>
          <w:p w14:paraId="28D67078" w14:textId="7E565BB1" w:rsidR="00771278" w:rsidRPr="00163E0D" w:rsidRDefault="00771278" w:rsidP="00771278">
            <w:pPr>
              <w:pStyle w:val="Tabletext"/>
              <w:jc w:val="center"/>
            </w:pPr>
            <w:r w:rsidRPr="00914468">
              <w:t>Met Éireann/ Climate Ireland</w:t>
            </w:r>
          </w:p>
        </w:tc>
      </w:tr>
      <w:tr w:rsidR="00771278" w:rsidRPr="00CE4840" w14:paraId="25CB1998" w14:textId="77777777">
        <w:trPr>
          <w:trHeight w:val="247"/>
        </w:trPr>
        <w:tc>
          <w:tcPr>
            <w:tcW w:w="0" w:type="auto"/>
            <w:vMerge/>
            <w:tcBorders>
              <w:bottom w:val="single" w:sz="4" w:space="0" w:color="auto"/>
            </w:tcBorders>
            <w:vAlign w:val="center"/>
          </w:tcPr>
          <w:p w14:paraId="76E368B0" w14:textId="77777777" w:rsidR="00771278" w:rsidRDefault="00771278" w:rsidP="00771278">
            <w:pPr>
              <w:pStyle w:val="Tabletext"/>
              <w:jc w:val="left"/>
            </w:pPr>
          </w:p>
        </w:tc>
        <w:tc>
          <w:tcPr>
            <w:tcW w:w="0" w:type="auto"/>
            <w:vMerge/>
            <w:tcBorders>
              <w:bottom w:val="single" w:sz="4" w:space="0" w:color="auto"/>
            </w:tcBorders>
            <w:vAlign w:val="center"/>
          </w:tcPr>
          <w:p w14:paraId="0D341A35" w14:textId="77777777" w:rsidR="00771278" w:rsidRDefault="00771278" w:rsidP="00771278">
            <w:pPr>
              <w:pStyle w:val="Tabletext"/>
              <w:jc w:val="center"/>
            </w:pPr>
          </w:p>
        </w:tc>
        <w:tc>
          <w:tcPr>
            <w:tcW w:w="0" w:type="auto"/>
            <w:tcBorders>
              <w:bottom w:val="single" w:sz="4" w:space="0" w:color="auto"/>
            </w:tcBorders>
          </w:tcPr>
          <w:p w14:paraId="355FE9D8" w14:textId="2A7CA633" w:rsidR="00771278" w:rsidRDefault="00771278" w:rsidP="00771278">
            <w:pPr>
              <w:pStyle w:val="Tabletext"/>
              <w:jc w:val="center"/>
            </w:pPr>
            <w:r w:rsidRPr="000170CD">
              <w:t>(-4.14 to 12.32%)</w:t>
            </w:r>
          </w:p>
        </w:tc>
        <w:tc>
          <w:tcPr>
            <w:tcW w:w="0" w:type="auto"/>
            <w:tcBorders>
              <w:bottom w:val="single" w:sz="4" w:space="0" w:color="auto"/>
            </w:tcBorders>
          </w:tcPr>
          <w:p w14:paraId="22DE16E2" w14:textId="0B00BC2F" w:rsidR="00771278" w:rsidRDefault="00771278" w:rsidP="00771278">
            <w:pPr>
              <w:pStyle w:val="Tabletext"/>
              <w:jc w:val="center"/>
            </w:pPr>
            <w:r w:rsidRPr="000170CD">
              <w:t>(-6.57 to 12.68%)</w:t>
            </w:r>
          </w:p>
        </w:tc>
        <w:tc>
          <w:tcPr>
            <w:tcW w:w="0" w:type="auto"/>
            <w:gridSpan w:val="2"/>
            <w:tcBorders>
              <w:top w:val="single" w:sz="4" w:space="0" w:color="auto"/>
              <w:bottom w:val="single" w:sz="4" w:space="0" w:color="auto"/>
            </w:tcBorders>
          </w:tcPr>
          <w:p w14:paraId="3D209559" w14:textId="550F104B" w:rsidR="00771278" w:rsidRDefault="00771278" w:rsidP="00771278">
            <w:pPr>
              <w:pStyle w:val="Tabletext"/>
              <w:jc w:val="center"/>
            </w:pPr>
            <w:r w:rsidRPr="000170CD">
              <w:t>(-8.68 to 9.56%)</w:t>
            </w:r>
          </w:p>
        </w:tc>
        <w:tc>
          <w:tcPr>
            <w:tcW w:w="0" w:type="auto"/>
            <w:tcBorders>
              <w:top w:val="single" w:sz="4" w:space="0" w:color="auto"/>
              <w:bottom w:val="single" w:sz="4" w:space="0" w:color="auto"/>
            </w:tcBorders>
          </w:tcPr>
          <w:p w14:paraId="260E487B" w14:textId="613F41BC" w:rsidR="00771278" w:rsidRDefault="00771278" w:rsidP="00771278">
            <w:pPr>
              <w:pStyle w:val="Tabletext"/>
              <w:jc w:val="center"/>
            </w:pPr>
            <w:r w:rsidRPr="000170CD">
              <w:t>(-4.40 to 12.77%)</w:t>
            </w:r>
          </w:p>
        </w:tc>
        <w:tc>
          <w:tcPr>
            <w:tcW w:w="0" w:type="auto"/>
            <w:tcBorders>
              <w:top w:val="single" w:sz="4" w:space="0" w:color="auto"/>
              <w:bottom w:val="single" w:sz="4" w:space="0" w:color="auto"/>
            </w:tcBorders>
          </w:tcPr>
          <w:p w14:paraId="0CFF65A9" w14:textId="20473C11" w:rsidR="00771278" w:rsidRDefault="00771278" w:rsidP="00771278">
            <w:pPr>
              <w:pStyle w:val="Tabletext"/>
              <w:jc w:val="center"/>
            </w:pPr>
            <w:r w:rsidRPr="000170CD">
              <w:t>(-8.24 to 11.07%)</w:t>
            </w:r>
          </w:p>
        </w:tc>
        <w:tc>
          <w:tcPr>
            <w:tcW w:w="0" w:type="auto"/>
            <w:tcBorders>
              <w:top w:val="single" w:sz="4" w:space="0" w:color="auto"/>
              <w:bottom w:val="single" w:sz="4" w:space="0" w:color="auto"/>
            </w:tcBorders>
          </w:tcPr>
          <w:p w14:paraId="3CEBC91B" w14:textId="6646B735" w:rsidR="00771278" w:rsidRDefault="00771278" w:rsidP="00771278">
            <w:pPr>
              <w:pStyle w:val="Tabletext"/>
              <w:jc w:val="center"/>
            </w:pPr>
            <w:r w:rsidRPr="000170CD">
              <w:t>(-14.90 to 10.97%)</w:t>
            </w:r>
          </w:p>
        </w:tc>
        <w:tc>
          <w:tcPr>
            <w:tcW w:w="0" w:type="auto"/>
            <w:vMerge/>
            <w:tcBorders>
              <w:bottom w:val="single" w:sz="4" w:space="0" w:color="auto"/>
            </w:tcBorders>
            <w:vAlign w:val="center"/>
          </w:tcPr>
          <w:p w14:paraId="3C8ED9F0" w14:textId="77777777" w:rsidR="00771278" w:rsidRPr="00F50A10" w:rsidRDefault="00771278" w:rsidP="00771278">
            <w:pPr>
              <w:pStyle w:val="Tabletext"/>
              <w:jc w:val="center"/>
            </w:pPr>
          </w:p>
        </w:tc>
        <w:tc>
          <w:tcPr>
            <w:tcW w:w="0" w:type="auto"/>
            <w:vMerge/>
            <w:tcBorders>
              <w:bottom w:val="single" w:sz="4" w:space="0" w:color="auto"/>
            </w:tcBorders>
            <w:vAlign w:val="center"/>
          </w:tcPr>
          <w:p w14:paraId="4F4BB0D1" w14:textId="77777777" w:rsidR="00771278" w:rsidRPr="00914468" w:rsidRDefault="00771278" w:rsidP="00771278">
            <w:pPr>
              <w:pStyle w:val="Tabletext"/>
              <w:jc w:val="center"/>
            </w:pPr>
          </w:p>
        </w:tc>
      </w:tr>
      <w:tr w:rsidR="00771278" w:rsidRPr="00CE4840" w14:paraId="6AE4243B" w14:textId="77777777">
        <w:trPr>
          <w:trHeight w:val="42"/>
        </w:trPr>
        <w:tc>
          <w:tcPr>
            <w:tcW w:w="0" w:type="auto"/>
            <w:vMerge w:val="restart"/>
            <w:tcBorders>
              <w:top w:val="single" w:sz="4" w:space="0" w:color="auto"/>
            </w:tcBorders>
            <w:vAlign w:val="center"/>
          </w:tcPr>
          <w:p w14:paraId="7BA1A39F" w14:textId="77777777" w:rsidR="00771278" w:rsidRPr="00CC3313" w:rsidRDefault="00771278" w:rsidP="00771278">
            <w:pPr>
              <w:pStyle w:val="Tabletext"/>
              <w:keepNext/>
              <w:keepLines/>
              <w:jc w:val="left"/>
            </w:pPr>
            <w:r>
              <w:t>Mean winter rainfall (mm)</w:t>
            </w:r>
          </w:p>
        </w:tc>
        <w:tc>
          <w:tcPr>
            <w:tcW w:w="0" w:type="auto"/>
            <w:vMerge w:val="restart"/>
            <w:tcBorders>
              <w:top w:val="single" w:sz="4" w:space="0" w:color="auto"/>
            </w:tcBorders>
            <w:vAlign w:val="center"/>
          </w:tcPr>
          <w:p w14:paraId="3DB2774E" w14:textId="77777777" w:rsidR="00771278" w:rsidRDefault="00771278" w:rsidP="00771278">
            <w:pPr>
              <w:pStyle w:val="Tabletext"/>
              <w:keepNext/>
              <w:keepLines/>
              <w:jc w:val="center"/>
            </w:pPr>
            <w:r w:rsidRPr="003B354F">
              <w:t>187.76</w:t>
            </w:r>
          </w:p>
          <w:p w14:paraId="030F0EF0" w14:textId="09DB50AB" w:rsidR="00771278" w:rsidRDefault="00771278" w:rsidP="00771278">
            <w:pPr>
              <w:pStyle w:val="Tabletext"/>
              <w:keepNext/>
              <w:keepLines/>
              <w:jc w:val="center"/>
            </w:pPr>
          </w:p>
        </w:tc>
        <w:tc>
          <w:tcPr>
            <w:tcW w:w="0" w:type="auto"/>
            <w:tcBorders>
              <w:top w:val="single" w:sz="4" w:space="0" w:color="auto"/>
            </w:tcBorders>
          </w:tcPr>
          <w:p w14:paraId="20184D25" w14:textId="18713E11" w:rsidR="00771278" w:rsidRDefault="00771278" w:rsidP="00771278">
            <w:pPr>
              <w:pStyle w:val="Tabletext"/>
              <w:keepNext/>
              <w:keepLines/>
              <w:jc w:val="center"/>
            </w:pPr>
            <w:r w:rsidRPr="00316B6B">
              <w:t>33.20%</w:t>
            </w:r>
          </w:p>
        </w:tc>
        <w:tc>
          <w:tcPr>
            <w:tcW w:w="0" w:type="auto"/>
            <w:tcBorders>
              <w:top w:val="single" w:sz="4" w:space="0" w:color="auto"/>
            </w:tcBorders>
          </w:tcPr>
          <w:p w14:paraId="73BCD08C" w14:textId="4B66DA68" w:rsidR="00771278" w:rsidRDefault="00771278" w:rsidP="00771278">
            <w:pPr>
              <w:pStyle w:val="Tabletext"/>
              <w:keepNext/>
              <w:keepLines/>
              <w:jc w:val="center"/>
            </w:pPr>
            <w:r w:rsidRPr="000170CD">
              <w:t>32.68%</w:t>
            </w:r>
          </w:p>
        </w:tc>
        <w:tc>
          <w:tcPr>
            <w:tcW w:w="0" w:type="auto"/>
            <w:gridSpan w:val="2"/>
            <w:tcBorders>
              <w:top w:val="single" w:sz="4" w:space="0" w:color="auto"/>
              <w:bottom w:val="single" w:sz="4" w:space="0" w:color="auto"/>
            </w:tcBorders>
          </w:tcPr>
          <w:p w14:paraId="2D997004" w14:textId="763B9BB5" w:rsidR="00771278" w:rsidRDefault="00771278" w:rsidP="00771278">
            <w:pPr>
              <w:pStyle w:val="Tabletext"/>
              <w:keepNext/>
              <w:keepLines/>
              <w:jc w:val="center"/>
            </w:pPr>
            <w:r w:rsidRPr="000170CD">
              <w:t>38.77%</w:t>
            </w:r>
          </w:p>
        </w:tc>
        <w:tc>
          <w:tcPr>
            <w:tcW w:w="0" w:type="auto"/>
            <w:tcBorders>
              <w:top w:val="single" w:sz="4" w:space="0" w:color="auto"/>
              <w:bottom w:val="single" w:sz="4" w:space="0" w:color="auto"/>
            </w:tcBorders>
          </w:tcPr>
          <w:p w14:paraId="726B1C3F" w14:textId="652AE653" w:rsidR="00771278" w:rsidRDefault="00771278" w:rsidP="00771278">
            <w:pPr>
              <w:pStyle w:val="Tabletext"/>
              <w:keepNext/>
              <w:keepLines/>
              <w:jc w:val="center"/>
            </w:pPr>
            <w:r w:rsidRPr="000170CD">
              <w:t>33.09%</w:t>
            </w:r>
          </w:p>
        </w:tc>
        <w:tc>
          <w:tcPr>
            <w:tcW w:w="0" w:type="auto"/>
            <w:tcBorders>
              <w:top w:val="single" w:sz="4" w:space="0" w:color="auto"/>
              <w:bottom w:val="single" w:sz="4" w:space="0" w:color="auto"/>
            </w:tcBorders>
          </w:tcPr>
          <w:p w14:paraId="12279214" w14:textId="68F15A3A" w:rsidR="00771278" w:rsidRDefault="00771278" w:rsidP="00771278">
            <w:pPr>
              <w:pStyle w:val="Tabletext"/>
              <w:keepNext/>
              <w:keepLines/>
              <w:jc w:val="center"/>
            </w:pPr>
            <w:r w:rsidRPr="000170CD">
              <w:t>39.93%</w:t>
            </w:r>
          </w:p>
        </w:tc>
        <w:tc>
          <w:tcPr>
            <w:tcW w:w="0" w:type="auto"/>
            <w:tcBorders>
              <w:top w:val="single" w:sz="4" w:space="0" w:color="auto"/>
              <w:bottom w:val="single" w:sz="4" w:space="0" w:color="auto"/>
            </w:tcBorders>
          </w:tcPr>
          <w:p w14:paraId="131BC00B" w14:textId="63A677D1" w:rsidR="00771278" w:rsidRDefault="00771278" w:rsidP="00771278">
            <w:pPr>
              <w:pStyle w:val="Tabletext"/>
              <w:keepNext/>
              <w:keepLines/>
              <w:jc w:val="center"/>
            </w:pPr>
            <w:r w:rsidRPr="000170CD">
              <w:t>47.45%</w:t>
            </w:r>
          </w:p>
        </w:tc>
        <w:tc>
          <w:tcPr>
            <w:tcW w:w="0" w:type="auto"/>
            <w:vMerge w:val="restart"/>
            <w:tcBorders>
              <w:top w:val="single" w:sz="4" w:space="0" w:color="auto"/>
            </w:tcBorders>
            <w:vAlign w:val="center"/>
          </w:tcPr>
          <w:p w14:paraId="2AA31102" w14:textId="77777777" w:rsidR="00771278" w:rsidRDefault="00771278" w:rsidP="00771278">
            <w:pPr>
              <w:pStyle w:val="Tabletext"/>
              <w:keepNext/>
              <w:keepLines/>
              <w:jc w:val="center"/>
            </w:pPr>
            <w:r w:rsidRPr="00F50A10">
              <w:t>↑</w:t>
            </w:r>
          </w:p>
        </w:tc>
        <w:tc>
          <w:tcPr>
            <w:tcW w:w="0" w:type="auto"/>
            <w:vMerge w:val="restart"/>
            <w:tcBorders>
              <w:top w:val="single" w:sz="4" w:space="0" w:color="auto"/>
            </w:tcBorders>
            <w:vAlign w:val="center"/>
          </w:tcPr>
          <w:p w14:paraId="4CD0373E" w14:textId="520888FD" w:rsidR="00771278" w:rsidRPr="00163E0D" w:rsidRDefault="00771278" w:rsidP="00771278">
            <w:pPr>
              <w:pStyle w:val="Tabletext"/>
              <w:keepNext/>
              <w:keepLines/>
              <w:jc w:val="center"/>
            </w:pPr>
            <w:r w:rsidRPr="00914468">
              <w:t>Met Éireann/ Climate Ireland</w:t>
            </w:r>
          </w:p>
        </w:tc>
      </w:tr>
      <w:tr w:rsidR="00771278" w:rsidRPr="00CE4840" w14:paraId="649ACE1F" w14:textId="77777777">
        <w:trPr>
          <w:trHeight w:val="247"/>
        </w:trPr>
        <w:tc>
          <w:tcPr>
            <w:tcW w:w="0" w:type="auto"/>
            <w:vMerge/>
            <w:tcBorders>
              <w:bottom w:val="single" w:sz="4" w:space="0" w:color="auto"/>
            </w:tcBorders>
            <w:vAlign w:val="center"/>
          </w:tcPr>
          <w:p w14:paraId="4D4EDC0D" w14:textId="77777777" w:rsidR="00771278" w:rsidRDefault="00771278" w:rsidP="00771278">
            <w:pPr>
              <w:pStyle w:val="Tabletext"/>
              <w:jc w:val="left"/>
            </w:pPr>
          </w:p>
        </w:tc>
        <w:tc>
          <w:tcPr>
            <w:tcW w:w="0" w:type="auto"/>
            <w:vMerge/>
            <w:tcBorders>
              <w:bottom w:val="single" w:sz="4" w:space="0" w:color="auto"/>
            </w:tcBorders>
            <w:vAlign w:val="center"/>
          </w:tcPr>
          <w:p w14:paraId="655CB8DC" w14:textId="77777777" w:rsidR="00771278" w:rsidRDefault="00771278" w:rsidP="00771278">
            <w:pPr>
              <w:pStyle w:val="Tabletext"/>
              <w:jc w:val="center"/>
            </w:pPr>
          </w:p>
        </w:tc>
        <w:tc>
          <w:tcPr>
            <w:tcW w:w="0" w:type="auto"/>
            <w:tcBorders>
              <w:bottom w:val="single" w:sz="4" w:space="0" w:color="auto"/>
            </w:tcBorders>
          </w:tcPr>
          <w:p w14:paraId="18AD8B46" w14:textId="044F81D1" w:rsidR="00771278" w:rsidRDefault="00771278" w:rsidP="00771278">
            <w:pPr>
              <w:pStyle w:val="Tabletext"/>
              <w:jc w:val="center"/>
            </w:pPr>
            <w:r w:rsidRPr="000170CD">
              <w:t>(23.25 to 40.13%)</w:t>
            </w:r>
          </w:p>
        </w:tc>
        <w:tc>
          <w:tcPr>
            <w:tcW w:w="0" w:type="auto"/>
            <w:tcBorders>
              <w:bottom w:val="single" w:sz="4" w:space="0" w:color="auto"/>
            </w:tcBorders>
          </w:tcPr>
          <w:p w14:paraId="312CBD78" w14:textId="7933F02F" w:rsidR="00771278" w:rsidRDefault="00771278" w:rsidP="00771278">
            <w:pPr>
              <w:pStyle w:val="Tabletext"/>
              <w:jc w:val="center"/>
            </w:pPr>
            <w:r w:rsidRPr="000170CD">
              <w:t>(25.96 to 42.34%)</w:t>
            </w:r>
          </w:p>
        </w:tc>
        <w:tc>
          <w:tcPr>
            <w:tcW w:w="0" w:type="auto"/>
            <w:gridSpan w:val="2"/>
            <w:tcBorders>
              <w:top w:val="single" w:sz="4" w:space="0" w:color="auto"/>
              <w:bottom w:val="single" w:sz="4" w:space="0" w:color="auto"/>
            </w:tcBorders>
          </w:tcPr>
          <w:p w14:paraId="1C6D6D80" w14:textId="7E2C76C6" w:rsidR="00771278" w:rsidRDefault="00771278" w:rsidP="00771278">
            <w:pPr>
              <w:pStyle w:val="Tabletext"/>
              <w:jc w:val="center"/>
            </w:pPr>
            <w:r w:rsidRPr="000170CD">
              <w:t>(29.06 to 45.62%)</w:t>
            </w:r>
          </w:p>
        </w:tc>
        <w:tc>
          <w:tcPr>
            <w:tcW w:w="0" w:type="auto"/>
            <w:tcBorders>
              <w:top w:val="single" w:sz="4" w:space="0" w:color="auto"/>
              <w:bottom w:val="single" w:sz="4" w:space="0" w:color="auto"/>
            </w:tcBorders>
          </w:tcPr>
          <w:p w14:paraId="2D0E973A" w14:textId="3C4F359D" w:rsidR="00771278" w:rsidRDefault="00771278" w:rsidP="00771278">
            <w:pPr>
              <w:pStyle w:val="Tabletext"/>
              <w:jc w:val="center"/>
            </w:pPr>
            <w:r w:rsidRPr="000170CD">
              <w:t>(25.85 to 44.73%)</w:t>
            </w:r>
          </w:p>
        </w:tc>
        <w:tc>
          <w:tcPr>
            <w:tcW w:w="0" w:type="auto"/>
            <w:tcBorders>
              <w:top w:val="single" w:sz="4" w:space="0" w:color="auto"/>
              <w:bottom w:val="single" w:sz="4" w:space="0" w:color="auto"/>
            </w:tcBorders>
          </w:tcPr>
          <w:p w14:paraId="23CC49BD" w14:textId="3E13733E" w:rsidR="00771278" w:rsidRDefault="00771278" w:rsidP="00771278">
            <w:pPr>
              <w:pStyle w:val="Tabletext"/>
              <w:jc w:val="center"/>
            </w:pPr>
            <w:r w:rsidRPr="000170CD">
              <w:t>(27.56 to 49.88%)</w:t>
            </w:r>
          </w:p>
        </w:tc>
        <w:tc>
          <w:tcPr>
            <w:tcW w:w="0" w:type="auto"/>
            <w:tcBorders>
              <w:top w:val="single" w:sz="4" w:space="0" w:color="auto"/>
              <w:bottom w:val="single" w:sz="4" w:space="0" w:color="auto"/>
            </w:tcBorders>
          </w:tcPr>
          <w:p w14:paraId="6F359DF1" w14:textId="23B2690D" w:rsidR="00771278" w:rsidRDefault="00771278" w:rsidP="00771278">
            <w:pPr>
              <w:pStyle w:val="Tabletext"/>
              <w:jc w:val="center"/>
            </w:pPr>
            <w:r w:rsidRPr="000170CD">
              <w:t>(32.31 to 65.20%)</w:t>
            </w:r>
          </w:p>
        </w:tc>
        <w:tc>
          <w:tcPr>
            <w:tcW w:w="0" w:type="auto"/>
            <w:vMerge/>
            <w:tcBorders>
              <w:bottom w:val="single" w:sz="4" w:space="0" w:color="auto"/>
            </w:tcBorders>
            <w:vAlign w:val="center"/>
          </w:tcPr>
          <w:p w14:paraId="76F90EEC" w14:textId="77777777" w:rsidR="00771278" w:rsidRPr="00F50A10" w:rsidRDefault="00771278" w:rsidP="00771278">
            <w:pPr>
              <w:pStyle w:val="Tabletext"/>
              <w:jc w:val="center"/>
            </w:pPr>
          </w:p>
        </w:tc>
        <w:tc>
          <w:tcPr>
            <w:tcW w:w="0" w:type="auto"/>
            <w:vMerge/>
            <w:tcBorders>
              <w:bottom w:val="single" w:sz="4" w:space="0" w:color="auto"/>
            </w:tcBorders>
            <w:vAlign w:val="center"/>
          </w:tcPr>
          <w:p w14:paraId="4BBE74FC" w14:textId="77777777" w:rsidR="00771278" w:rsidRPr="00914468" w:rsidRDefault="00771278" w:rsidP="00771278">
            <w:pPr>
              <w:pStyle w:val="Tabletext"/>
              <w:jc w:val="center"/>
            </w:pPr>
          </w:p>
        </w:tc>
      </w:tr>
      <w:tr w:rsidR="001C50E3" w:rsidRPr="00CE4840" w14:paraId="6DF4F364" w14:textId="77777777" w:rsidTr="0026359C">
        <w:trPr>
          <w:trHeight w:val="245"/>
        </w:trPr>
        <w:tc>
          <w:tcPr>
            <w:tcW w:w="0" w:type="auto"/>
            <w:tcBorders>
              <w:top w:val="single" w:sz="4" w:space="0" w:color="auto"/>
              <w:bottom w:val="single" w:sz="4" w:space="0" w:color="auto"/>
            </w:tcBorders>
            <w:vAlign w:val="center"/>
          </w:tcPr>
          <w:p w14:paraId="21E26EA7" w14:textId="77777777" w:rsidR="001C50E3" w:rsidRPr="00CC3313" w:rsidRDefault="001C50E3" w:rsidP="001C50E3">
            <w:pPr>
              <w:pStyle w:val="Tabletext"/>
              <w:jc w:val="left"/>
            </w:pPr>
            <w:r>
              <w:t>Wettest month on average (mm)</w:t>
            </w:r>
          </w:p>
        </w:tc>
        <w:tc>
          <w:tcPr>
            <w:tcW w:w="0" w:type="auto"/>
            <w:tcBorders>
              <w:top w:val="single" w:sz="4" w:space="0" w:color="auto"/>
              <w:bottom w:val="single" w:sz="4" w:space="0" w:color="auto"/>
            </w:tcBorders>
            <w:vAlign w:val="center"/>
          </w:tcPr>
          <w:p w14:paraId="06BBCC05" w14:textId="10EA7E40" w:rsidR="001C50E3" w:rsidRDefault="001C50E3" w:rsidP="001C50E3">
            <w:pPr>
              <w:pStyle w:val="Tabletext"/>
              <w:jc w:val="center"/>
            </w:pPr>
            <w:r w:rsidRPr="003B354F">
              <w:t>October (81.26)</w:t>
            </w:r>
          </w:p>
        </w:tc>
        <w:tc>
          <w:tcPr>
            <w:tcW w:w="0" w:type="auto"/>
            <w:gridSpan w:val="2"/>
            <w:tcBorders>
              <w:top w:val="single" w:sz="4" w:space="0" w:color="auto"/>
              <w:bottom w:val="single" w:sz="4" w:space="0" w:color="auto"/>
            </w:tcBorders>
            <w:vAlign w:val="center"/>
          </w:tcPr>
          <w:p w14:paraId="6D8E9D00" w14:textId="3303A7A6" w:rsidR="001C50E3" w:rsidRDefault="001C50E3" w:rsidP="001C50E3">
            <w:pPr>
              <w:pStyle w:val="Tabletext"/>
              <w:jc w:val="center"/>
            </w:pPr>
          </w:p>
        </w:tc>
        <w:tc>
          <w:tcPr>
            <w:tcW w:w="0" w:type="auto"/>
            <w:gridSpan w:val="2"/>
            <w:tcBorders>
              <w:top w:val="single" w:sz="4" w:space="0" w:color="auto"/>
              <w:bottom w:val="single" w:sz="4" w:space="0" w:color="auto"/>
            </w:tcBorders>
            <w:vAlign w:val="center"/>
          </w:tcPr>
          <w:p w14:paraId="132A0A41" w14:textId="77777777" w:rsidR="001C50E3" w:rsidRDefault="001C50E3" w:rsidP="001C50E3">
            <w:pPr>
              <w:pStyle w:val="Tabletext"/>
              <w:jc w:val="center"/>
            </w:pPr>
            <w:r>
              <w:t>-</w:t>
            </w:r>
          </w:p>
        </w:tc>
        <w:tc>
          <w:tcPr>
            <w:tcW w:w="0" w:type="auto"/>
            <w:tcBorders>
              <w:top w:val="single" w:sz="4" w:space="0" w:color="auto"/>
              <w:bottom w:val="single" w:sz="4" w:space="0" w:color="auto"/>
            </w:tcBorders>
            <w:vAlign w:val="center"/>
          </w:tcPr>
          <w:p w14:paraId="4ED81FD4" w14:textId="77777777" w:rsidR="001C50E3" w:rsidRDefault="001C50E3" w:rsidP="001C50E3">
            <w:pPr>
              <w:pStyle w:val="Tabletext"/>
              <w:jc w:val="center"/>
            </w:pPr>
            <w:r>
              <w:t>-</w:t>
            </w:r>
          </w:p>
        </w:tc>
        <w:tc>
          <w:tcPr>
            <w:tcW w:w="0" w:type="auto"/>
            <w:tcBorders>
              <w:top w:val="single" w:sz="4" w:space="0" w:color="auto"/>
              <w:bottom w:val="single" w:sz="4" w:space="0" w:color="auto"/>
            </w:tcBorders>
            <w:vAlign w:val="center"/>
          </w:tcPr>
          <w:p w14:paraId="5449D50A" w14:textId="77777777" w:rsidR="001C50E3" w:rsidRDefault="001C50E3" w:rsidP="001C50E3">
            <w:pPr>
              <w:pStyle w:val="Tabletext"/>
              <w:jc w:val="center"/>
            </w:pPr>
            <w:r>
              <w:t>-</w:t>
            </w:r>
          </w:p>
        </w:tc>
        <w:tc>
          <w:tcPr>
            <w:tcW w:w="0" w:type="auto"/>
            <w:tcBorders>
              <w:top w:val="single" w:sz="4" w:space="0" w:color="auto"/>
              <w:bottom w:val="single" w:sz="4" w:space="0" w:color="auto"/>
            </w:tcBorders>
            <w:vAlign w:val="center"/>
          </w:tcPr>
          <w:p w14:paraId="2F7ED659" w14:textId="77777777" w:rsidR="001C50E3" w:rsidRDefault="001C50E3" w:rsidP="001C50E3">
            <w:pPr>
              <w:pStyle w:val="Tabletext"/>
              <w:jc w:val="center"/>
            </w:pPr>
            <w:r>
              <w:t>-</w:t>
            </w:r>
          </w:p>
        </w:tc>
        <w:tc>
          <w:tcPr>
            <w:tcW w:w="0" w:type="auto"/>
            <w:tcBorders>
              <w:top w:val="single" w:sz="4" w:space="0" w:color="auto"/>
              <w:bottom w:val="single" w:sz="4" w:space="0" w:color="auto"/>
            </w:tcBorders>
            <w:vAlign w:val="center"/>
          </w:tcPr>
          <w:p w14:paraId="2FF1D585" w14:textId="77777777" w:rsidR="001C50E3" w:rsidRDefault="001C50E3" w:rsidP="001C50E3">
            <w:pPr>
              <w:pStyle w:val="Tabletext"/>
              <w:jc w:val="center"/>
            </w:pPr>
            <w:r>
              <w:t>-</w:t>
            </w:r>
          </w:p>
        </w:tc>
        <w:tc>
          <w:tcPr>
            <w:tcW w:w="0" w:type="auto"/>
            <w:tcBorders>
              <w:top w:val="single" w:sz="4" w:space="0" w:color="auto"/>
              <w:bottom w:val="single" w:sz="4" w:space="0" w:color="auto"/>
            </w:tcBorders>
            <w:vAlign w:val="center"/>
          </w:tcPr>
          <w:p w14:paraId="6B992A34" w14:textId="77777777" w:rsidR="001C50E3" w:rsidRPr="00163E0D" w:rsidRDefault="001C50E3" w:rsidP="001C50E3">
            <w:pPr>
              <w:pStyle w:val="Tabletext"/>
              <w:jc w:val="center"/>
            </w:pPr>
            <w:r w:rsidRPr="00914468">
              <w:t>Climate Ireland</w:t>
            </w:r>
          </w:p>
        </w:tc>
      </w:tr>
      <w:tr w:rsidR="001C50E3" w:rsidRPr="00CE4840" w14:paraId="616B30A5" w14:textId="77777777" w:rsidTr="0026359C">
        <w:trPr>
          <w:trHeight w:val="245"/>
        </w:trPr>
        <w:tc>
          <w:tcPr>
            <w:tcW w:w="0" w:type="auto"/>
            <w:tcBorders>
              <w:top w:val="single" w:sz="4" w:space="0" w:color="auto"/>
              <w:bottom w:val="single" w:sz="4" w:space="0" w:color="auto"/>
            </w:tcBorders>
            <w:vAlign w:val="center"/>
          </w:tcPr>
          <w:p w14:paraId="692A2FBF" w14:textId="77777777" w:rsidR="001C50E3" w:rsidRPr="00CC3313" w:rsidRDefault="001C50E3" w:rsidP="001C50E3">
            <w:pPr>
              <w:pStyle w:val="Tabletext"/>
              <w:jc w:val="left"/>
            </w:pPr>
            <w:r>
              <w:t>Driest month on average (mm)</w:t>
            </w:r>
          </w:p>
        </w:tc>
        <w:tc>
          <w:tcPr>
            <w:tcW w:w="0" w:type="auto"/>
            <w:tcBorders>
              <w:top w:val="single" w:sz="4" w:space="0" w:color="auto"/>
              <w:bottom w:val="single" w:sz="4" w:space="0" w:color="auto"/>
            </w:tcBorders>
            <w:vAlign w:val="center"/>
          </w:tcPr>
          <w:p w14:paraId="1276AC4C" w14:textId="2BE786A9" w:rsidR="001C50E3" w:rsidRDefault="001C50E3" w:rsidP="001C50E3">
            <w:pPr>
              <w:pStyle w:val="Tabletext"/>
              <w:jc w:val="center"/>
            </w:pPr>
            <w:r w:rsidRPr="003B354F">
              <w:t>February (48.37)</w:t>
            </w:r>
          </w:p>
        </w:tc>
        <w:tc>
          <w:tcPr>
            <w:tcW w:w="0" w:type="auto"/>
            <w:gridSpan w:val="2"/>
            <w:tcBorders>
              <w:top w:val="single" w:sz="4" w:space="0" w:color="auto"/>
              <w:bottom w:val="single" w:sz="4" w:space="0" w:color="auto"/>
            </w:tcBorders>
            <w:vAlign w:val="center"/>
          </w:tcPr>
          <w:p w14:paraId="6DBCA763" w14:textId="2E4360E0" w:rsidR="001C50E3" w:rsidRDefault="001C50E3" w:rsidP="001C50E3">
            <w:pPr>
              <w:pStyle w:val="Tabletext"/>
              <w:jc w:val="center"/>
            </w:pPr>
          </w:p>
        </w:tc>
        <w:tc>
          <w:tcPr>
            <w:tcW w:w="0" w:type="auto"/>
            <w:gridSpan w:val="2"/>
            <w:tcBorders>
              <w:top w:val="single" w:sz="4" w:space="0" w:color="auto"/>
              <w:bottom w:val="single" w:sz="4" w:space="0" w:color="auto"/>
            </w:tcBorders>
            <w:vAlign w:val="center"/>
          </w:tcPr>
          <w:p w14:paraId="796E819D" w14:textId="77777777" w:rsidR="001C50E3" w:rsidRDefault="001C50E3" w:rsidP="001C50E3">
            <w:pPr>
              <w:pStyle w:val="Tabletext"/>
              <w:jc w:val="center"/>
            </w:pPr>
            <w:r>
              <w:t>-</w:t>
            </w:r>
          </w:p>
        </w:tc>
        <w:tc>
          <w:tcPr>
            <w:tcW w:w="0" w:type="auto"/>
            <w:tcBorders>
              <w:top w:val="single" w:sz="4" w:space="0" w:color="auto"/>
              <w:bottom w:val="single" w:sz="4" w:space="0" w:color="auto"/>
            </w:tcBorders>
            <w:vAlign w:val="center"/>
          </w:tcPr>
          <w:p w14:paraId="1F6F5F98" w14:textId="77777777" w:rsidR="001C50E3" w:rsidRDefault="001C50E3" w:rsidP="001C50E3">
            <w:pPr>
              <w:pStyle w:val="Tabletext"/>
              <w:jc w:val="center"/>
            </w:pPr>
            <w:r>
              <w:t>-</w:t>
            </w:r>
          </w:p>
        </w:tc>
        <w:tc>
          <w:tcPr>
            <w:tcW w:w="0" w:type="auto"/>
            <w:tcBorders>
              <w:top w:val="single" w:sz="4" w:space="0" w:color="auto"/>
              <w:bottom w:val="single" w:sz="4" w:space="0" w:color="auto"/>
            </w:tcBorders>
            <w:vAlign w:val="center"/>
          </w:tcPr>
          <w:p w14:paraId="0EB311EE" w14:textId="77777777" w:rsidR="001C50E3" w:rsidRDefault="001C50E3" w:rsidP="001C50E3">
            <w:pPr>
              <w:pStyle w:val="Tabletext"/>
              <w:jc w:val="center"/>
            </w:pPr>
            <w:r>
              <w:t>-</w:t>
            </w:r>
          </w:p>
        </w:tc>
        <w:tc>
          <w:tcPr>
            <w:tcW w:w="0" w:type="auto"/>
            <w:tcBorders>
              <w:top w:val="single" w:sz="4" w:space="0" w:color="auto"/>
              <w:bottom w:val="single" w:sz="4" w:space="0" w:color="auto"/>
            </w:tcBorders>
            <w:vAlign w:val="center"/>
          </w:tcPr>
          <w:p w14:paraId="06C3846C" w14:textId="77777777" w:rsidR="001C50E3" w:rsidRDefault="001C50E3" w:rsidP="001C50E3">
            <w:pPr>
              <w:pStyle w:val="Tabletext"/>
              <w:jc w:val="center"/>
            </w:pPr>
            <w:r>
              <w:t>-</w:t>
            </w:r>
          </w:p>
        </w:tc>
        <w:tc>
          <w:tcPr>
            <w:tcW w:w="0" w:type="auto"/>
            <w:tcBorders>
              <w:top w:val="single" w:sz="4" w:space="0" w:color="auto"/>
              <w:bottom w:val="single" w:sz="4" w:space="0" w:color="auto"/>
            </w:tcBorders>
            <w:vAlign w:val="center"/>
          </w:tcPr>
          <w:p w14:paraId="15BBD61D" w14:textId="77777777" w:rsidR="001C50E3" w:rsidRDefault="001C50E3" w:rsidP="001C50E3">
            <w:pPr>
              <w:pStyle w:val="Tabletext"/>
              <w:jc w:val="center"/>
            </w:pPr>
            <w:r>
              <w:t>-</w:t>
            </w:r>
          </w:p>
        </w:tc>
        <w:tc>
          <w:tcPr>
            <w:tcW w:w="0" w:type="auto"/>
            <w:tcBorders>
              <w:top w:val="single" w:sz="4" w:space="0" w:color="auto"/>
              <w:bottom w:val="single" w:sz="4" w:space="0" w:color="auto"/>
            </w:tcBorders>
            <w:vAlign w:val="center"/>
          </w:tcPr>
          <w:p w14:paraId="6211D6D2" w14:textId="77777777" w:rsidR="001C50E3" w:rsidRPr="00163E0D" w:rsidRDefault="001C50E3" w:rsidP="001C50E3">
            <w:pPr>
              <w:pStyle w:val="Tabletext"/>
              <w:jc w:val="center"/>
            </w:pPr>
            <w:r w:rsidRPr="00914468">
              <w:t>Climate Ireland</w:t>
            </w:r>
          </w:p>
        </w:tc>
      </w:tr>
      <w:tr w:rsidR="001C50E3" w:rsidRPr="00CE4840" w14:paraId="07AAB76E" w14:textId="77777777" w:rsidTr="0026359C">
        <w:trPr>
          <w:trHeight w:val="245"/>
        </w:trPr>
        <w:tc>
          <w:tcPr>
            <w:tcW w:w="0" w:type="auto"/>
            <w:tcBorders>
              <w:top w:val="single" w:sz="4" w:space="0" w:color="auto"/>
              <w:bottom w:val="single" w:sz="4" w:space="0" w:color="auto"/>
            </w:tcBorders>
            <w:vAlign w:val="center"/>
          </w:tcPr>
          <w:p w14:paraId="68361B88" w14:textId="44ABA99E" w:rsidR="001C50E3" w:rsidRPr="00CC3313" w:rsidRDefault="001C50E3" w:rsidP="001C50E3">
            <w:pPr>
              <w:pStyle w:val="Tabletext"/>
              <w:jc w:val="left"/>
            </w:pPr>
            <w:r>
              <w:t>Highest daily rainfall (mm) for baseline period</w:t>
            </w:r>
          </w:p>
        </w:tc>
        <w:tc>
          <w:tcPr>
            <w:tcW w:w="0" w:type="auto"/>
            <w:tcBorders>
              <w:top w:val="single" w:sz="4" w:space="0" w:color="auto"/>
              <w:bottom w:val="single" w:sz="4" w:space="0" w:color="auto"/>
            </w:tcBorders>
            <w:vAlign w:val="center"/>
          </w:tcPr>
          <w:p w14:paraId="7ECB1854" w14:textId="7E6A773D" w:rsidR="001C50E3" w:rsidRDefault="001C50E3" w:rsidP="001C50E3">
            <w:pPr>
              <w:pStyle w:val="Tabletext"/>
              <w:jc w:val="center"/>
            </w:pPr>
            <w:r w:rsidRPr="003B354F">
              <w:t>108.6</w:t>
            </w:r>
          </w:p>
        </w:tc>
        <w:tc>
          <w:tcPr>
            <w:tcW w:w="0" w:type="auto"/>
            <w:gridSpan w:val="2"/>
            <w:tcBorders>
              <w:top w:val="single" w:sz="4" w:space="0" w:color="auto"/>
              <w:bottom w:val="single" w:sz="4" w:space="0" w:color="auto"/>
            </w:tcBorders>
            <w:vAlign w:val="center"/>
          </w:tcPr>
          <w:p w14:paraId="50714C3F" w14:textId="69E8357C" w:rsidR="001C50E3" w:rsidRDefault="001C50E3" w:rsidP="001C50E3">
            <w:pPr>
              <w:pStyle w:val="Tabletext"/>
              <w:jc w:val="center"/>
            </w:pPr>
          </w:p>
        </w:tc>
        <w:tc>
          <w:tcPr>
            <w:tcW w:w="0" w:type="auto"/>
            <w:gridSpan w:val="2"/>
            <w:tcBorders>
              <w:top w:val="single" w:sz="4" w:space="0" w:color="auto"/>
              <w:bottom w:val="single" w:sz="4" w:space="0" w:color="auto"/>
            </w:tcBorders>
            <w:vAlign w:val="center"/>
          </w:tcPr>
          <w:p w14:paraId="2586DEEF" w14:textId="77777777" w:rsidR="001C50E3" w:rsidRDefault="001C50E3" w:rsidP="001C50E3">
            <w:pPr>
              <w:pStyle w:val="Tabletext"/>
              <w:jc w:val="center"/>
            </w:pPr>
            <w:r>
              <w:t>-</w:t>
            </w:r>
          </w:p>
        </w:tc>
        <w:tc>
          <w:tcPr>
            <w:tcW w:w="0" w:type="auto"/>
            <w:tcBorders>
              <w:top w:val="single" w:sz="4" w:space="0" w:color="auto"/>
              <w:bottom w:val="single" w:sz="4" w:space="0" w:color="auto"/>
            </w:tcBorders>
            <w:vAlign w:val="center"/>
          </w:tcPr>
          <w:p w14:paraId="42234CB1" w14:textId="77777777" w:rsidR="001C50E3" w:rsidRDefault="001C50E3" w:rsidP="001C50E3">
            <w:pPr>
              <w:pStyle w:val="Tabletext"/>
              <w:jc w:val="center"/>
            </w:pPr>
            <w:r>
              <w:t>-</w:t>
            </w:r>
          </w:p>
        </w:tc>
        <w:tc>
          <w:tcPr>
            <w:tcW w:w="0" w:type="auto"/>
            <w:tcBorders>
              <w:top w:val="single" w:sz="4" w:space="0" w:color="auto"/>
              <w:bottom w:val="single" w:sz="4" w:space="0" w:color="auto"/>
            </w:tcBorders>
            <w:vAlign w:val="center"/>
          </w:tcPr>
          <w:p w14:paraId="5F420248" w14:textId="77777777" w:rsidR="001C50E3" w:rsidRDefault="001C50E3" w:rsidP="001C50E3">
            <w:pPr>
              <w:pStyle w:val="Tabletext"/>
              <w:jc w:val="center"/>
            </w:pPr>
            <w:r>
              <w:t>-</w:t>
            </w:r>
          </w:p>
        </w:tc>
        <w:tc>
          <w:tcPr>
            <w:tcW w:w="0" w:type="auto"/>
            <w:tcBorders>
              <w:top w:val="single" w:sz="4" w:space="0" w:color="auto"/>
              <w:bottom w:val="single" w:sz="4" w:space="0" w:color="auto"/>
            </w:tcBorders>
            <w:vAlign w:val="center"/>
          </w:tcPr>
          <w:p w14:paraId="025E7826" w14:textId="77777777" w:rsidR="001C50E3" w:rsidRDefault="001C50E3" w:rsidP="001C50E3">
            <w:pPr>
              <w:pStyle w:val="Tabletext"/>
              <w:jc w:val="center"/>
            </w:pPr>
            <w:r>
              <w:t>-</w:t>
            </w:r>
          </w:p>
        </w:tc>
        <w:tc>
          <w:tcPr>
            <w:tcW w:w="0" w:type="auto"/>
            <w:tcBorders>
              <w:top w:val="single" w:sz="4" w:space="0" w:color="auto"/>
              <w:bottom w:val="single" w:sz="4" w:space="0" w:color="auto"/>
            </w:tcBorders>
            <w:vAlign w:val="center"/>
          </w:tcPr>
          <w:p w14:paraId="7D34042C" w14:textId="77777777" w:rsidR="001C50E3" w:rsidRDefault="001C50E3" w:rsidP="001C50E3">
            <w:pPr>
              <w:pStyle w:val="Tabletext"/>
              <w:jc w:val="center"/>
            </w:pPr>
            <w:r>
              <w:t>-</w:t>
            </w:r>
          </w:p>
        </w:tc>
        <w:tc>
          <w:tcPr>
            <w:tcW w:w="0" w:type="auto"/>
            <w:tcBorders>
              <w:top w:val="single" w:sz="4" w:space="0" w:color="auto"/>
              <w:bottom w:val="single" w:sz="4" w:space="0" w:color="auto"/>
            </w:tcBorders>
            <w:vAlign w:val="center"/>
          </w:tcPr>
          <w:p w14:paraId="4F90F8EF" w14:textId="77777777" w:rsidR="001C50E3" w:rsidRPr="00163E0D" w:rsidRDefault="001C50E3" w:rsidP="001C50E3">
            <w:pPr>
              <w:pStyle w:val="Tabletext"/>
              <w:jc w:val="center"/>
            </w:pPr>
            <w:r w:rsidRPr="00914468">
              <w:t>Climate Ireland</w:t>
            </w:r>
          </w:p>
        </w:tc>
      </w:tr>
      <w:tr w:rsidR="00A83D1C" w:rsidRPr="00CE4840" w14:paraId="5E32DAC0" w14:textId="77777777" w:rsidTr="0026359C">
        <w:trPr>
          <w:trHeight w:val="245"/>
        </w:trPr>
        <w:tc>
          <w:tcPr>
            <w:tcW w:w="0" w:type="auto"/>
            <w:gridSpan w:val="11"/>
            <w:tcBorders>
              <w:top w:val="single" w:sz="4" w:space="0" w:color="auto"/>
              <w:bottom w:val="single" w:sz="4" w:space="0" w:color="auto"/>
            </w:tcBorders>
            <w:shd w:val="clear" w:color="auto" w:fill="D9D9D9" w:themeFill="background1" w:themeFillShade="D9"/>
            <w:vAlign w:val="center"/>
          </w:tcPr>
          <w:p w14:paraId="3B4B98D4" w14:textId="77777777" w:rsidR="00A83D1C" w:rsidRPr="00064E60" w:rsidRDefault="00A83D1C">
            <w:pPr>
              <w:pStyle w:val="Tabletext"/>
              <w:jc w:val="center"/>
              <w:rPr>
                <w:b/>
                <w:bCs/>
              </w:rPr>
            </w:pPr>
            <w:r w:rsidRPr="00064E60">
              <w:rPr>
                <w:b/>
                <w:bCs/>
              </w:rPr>
              <w:t>Other</w:t>
            </w:r>
          </w:p>
        </w:tc>
      </w:tr>
      <w:tr w:rsidR="0068146E" w:rsidRPr="00CE4840" w14:paraId="725EEC43" w14:textId="77777777" w:rsidTr="0026359C">
        <w:trPr>
          <w:trHeight w:val="245"/>
        </w:trPr>
        <w:tc>
          <w:tcPr>
            <w:tcW w:w="0" w:type="auto"/>
            <w:tcBorders>
              <w:top w:val="single" w:sz="4" w:space="0" w:color="auto"/>
              <w:bottom w:val="single" w:sz="4" w:space="0" w:color="auto"/>
            </w:tcBorders>
            <w:vAlign w:val="center"/>
          </w:tcPr>
          <w:p w14:paraId="5FFEDA81" w14:textId="77777777" w:rsidR="0068146E" w:rsidRPr="00CC3313" w:rsidRDefault="0068146E">
            <w:pPr>
              <w:pStyle w:val="Tabletext"/>
              <w:jc w:val="left"/>
            </w:pPr>
            <w:r>
              <w:t>Mean wind speed (knot)</w:t>
            </w:r>
          </w:p>
        </w:tc>
        <w:tc>
          <w:tcPr>
            <w:tcW w:w="0" w:type="auto"/>
            <w:tcBorders>
              <w:top w:val="single" w:sz="4" w:space="0" w:color="auto"/>
              <w:bottom w:val="single" w:sz="4" w:space="0" w:color="auto"/>
            </w:tcBorders>
            <w:vAlign w:val="center"/>
          </w:tcPr>
          <w:p w14:paraId="4F117023" w14:textId="0EEDF399" w:rsidR="0068146E" w:rsidRDefault="0068146E">
            <w:pPr>
              <w:pStyle w:val="Tabletext"/>
              <w:jc w:val="center"/>
            </w:pPr>
            <w:r w:rsidRPr="00B57291">
              <w:t>10.72</w:t>
            </w:r>
          </w:p>
        </w:tc>
        <w:tc>
          <w:tcPr>
            <w:tcW w:w="0" w:type="auto"/>
            <w:gridSpan w:val="7"/>
            <w:tcBorders>
              <w:top w:val="single" w:sz="4" w:space="0" w:color="auto"/>
              <w:bottom w:val="single" w:sz="4" w:space="0" w:color="auto"/>
            </w:tcBorders>
            <w:vAlign w:val="center"/>
          </w:tcPr>
          <w:p w14:paraId="25D393AE" w14:textId="326860E8" w:rsidR="0068146E" w:rsidRDefault="0068146E">
            <w:pPr>
              <w:pStyle w:val="Tabletext"/>
            </w:pPr>
            <w:r w:rsidRPr="00A91B46">
              <w:t>Projections from Climate Ireland suggest an increase in the intensity of extreme windstorms is expected. Projections indicate a decrease in wind speeds for summer and increase for winter. Projections indicate a decrease in the numbers of less intense storms for Ireland with an increase in more intense storms which are rare events. However, due to a limited number of studies, these projections should be considered with a high level of caution.</w:t>
            </w:r>
          </w:p>
        </w:tc>
        <w:tc>
          <w:tcPr>
            <w:tcW w:w="0" w:type="auto"/>
            <w:tcBorders>
              <w:top w:val="single" w:sz="4" w:space="0" w:color="auto"/>
              <w:bottom w:val="single" w:sz="4" w:space="0" w:color="auto"/>
            </w:tcBorders>
            <w:vAlign w:val="center"/>
          </w:tcPr>
          <w:p w14:paraId="40D548F6" w14:textId="77777777" w:rsidR="0068146E" w:rsidRDefault="0068146E">
            <w:pPr>
              <w:pStyle w:val="Tabletext"/>
              <w:jc w:val="center"/>
            </w:pPr>
            <w:r w:rsidRPr="00F50A10">
              <w:t>↑</w:t>
            </w:r>
          </w:p>
        </w:tc>
        <w:tc>
          <w:tcPr>
            <w:tcW w:w="0" w:type="auto"/>
            <w:tcBorders>
              <w:top w:val="single" w:sz="4" w:space="0" w:color="auto"/>
              <w:bottom w:val="single" w:sz="4" w:space="0" w:color="auto"/>
            </w:tcBorders>
            <w:vAlign w:val="center"/>
          </w:tcPr>
          <w:p w14:paraId="515CDB89" w14:textId="77777777" w:rsidR="0068146E" w:rsidRPr="00163E0D" w:rsidRDefault="0068146E">
            <w:pPr>
              <w:pStyle w:val="Tabletext"/>
              <w:jc w:val="center"/>
            </w:pPr>
            <w:r w:rsidRPr="00914468">
              <w:t>Climate Ireland</w:t>
            </w:r>
          </w:p>
        </w:tc>
      </w:tr>
      <w:tr w:rsidR="0068146E" w:rsidRPr="00CE4840" w14:paraId="506CE0A9" w14:textId="77777777" w:rsidTr="0026359C">
        <w:trPr>
          <w:trHeight w:val="245"/>
        </w:trPr>
        <w:tc>
          <w:tcPr>
            <w:tcW w:w="0" w:type="auto"/>
            <w:tcBorders>
              <w:top w:val="single" w:sz="4" w:space="0" w:color="auto"/>
              <w:bottom w:val="single" w:sz="4" w:space="0" w:color="auto"/>
            </w:tcBorders>
            <w:vAlign w:val="center"/>
          </w:tcPr>
          <w:p w14:paraId="3E9AA9D8" w14:textId="77777777" w:rsidR="0068146E" w:rsidRPr="00CC3313" w:rsidRDefault="0068146E">
            <w:pPr>
              <w:pStyle w:val="Tabletext"/>
              <w:jc w:val="left"/>
            </w:pPr>
            <w:r>
              <w:t>Storm surges</w:t>
            </w:r>
          </w:p>
        </w:tc>
        <w:tc>
          <w:tcPr>
            <w:tcW w:w="0" w:type="auto"/>
            <w:tcBorders>
              <w:top w:val="single" w:sz="4" w:space="0" w:color="auto"/>
              <w:bottom w:val="single" w:sz="4" w:space="0" w:color="auto"/>
            </w:tcBorders>
            <w:vAlign w:val="center"/>
          </w:tcPr>
          <w:p w14:paraId="4E72A5B3" w14:textId="77777777" w:rsidR="0068146E" w:rsidRDefault="0068146E">
            <w:pPr>
              <w:pStyle w:val="Tabletext"/>
              <w:jc w:val="center"/>
            </w:pPr>
            <w:r w:rsidRPr="00E06C43">
              <w:t>N/A</w:t>
            </w:r>
          </w:p>
        </w:tc>
        <w:tc>
          <w:tcPr>
            <w:tcW w:w="0" w:type="auto"/>
            <w:gridSpan w:val="7"/>
            <w:tcBorders>
              <w:top w:val="single" w:sz="4" w:space="0" w:color="auto"/>
              <w:bottom w:val="single" w:sz="4" w:space="0" w:color="auto"/>
            </w:tcBorders>
            <w:vAlign w:val="center"/>
          </w:tcPr>
          <w:p w14:paraId="33B4B6A8" w14:textId="5F95403F" w:rsidR="0068146E" w:rsidRDefault="0068146E">
            <w:pPr>
              <w:pStyle w:val="Tabletext"/>
            </w:pPr>
            <w:r w:rsidRPr="00B70EAA">
              <w:t>Storm surges, particularly in combination with extreme waves, pose an increasing risk to Ireland. However, projections of changes in storminess and extreme wave heights are uncertain. Significant wave heights (the highest third of all waves) are projected to decrease around Ireland during the remainder of the century. However, the future behaviour of extreme waves around Irish coasts is considerably less certain, with studies showing everything from decreases to increases in wave heights. Expected surge levels for events of a 20 to 30-year return period are likely to increase by up to 9cm by 2100.</w:t>
            </w:r>
          </w:p>
        </w:tc>
        <w:tc>
          <w:tcPr>
            <w:tcW w:w="0" w:type="auto"/>
            <w:tcBorders>
              <w:top w:val="single" w:sz="4" w:space="0" w:color="auto"/>
              <w:bottom w:val="single" w:sz="4" w:space="0" w:color="auto"/>
            </w:tcBorders>
            <w:vAlign w:val="center"/>
          </w:tcPr>
          <w:p w14:paraId="36D01CDB" w14:textId="77777777" w:rsidR="0068146E" w:rsidRDefault="0068146E">
            <w:pPr>
              <w:pStyle w:val="Tabletext"/>
              <w:jc w:val="center"/>
            </w:pPr>
            <w:r w:rsidRPr="00A53390">
              <w:t>↑</w:t>
            </w:r>
          </w:p>
        </w:tc>
        <w:tc>
          <w:tcPr>
            <w:tcW w:w="0" w:type="auto"/>
            <w:tcBorders>
              <w:top w:val="single" w:sz="4" w:space="0" w:color="auto"/>
              <w:bottom w:val="single" w:sz="4" w:space="0" w:color="auto"/>
            </w:tcBorders>
            <w:vAlign w:val="center"/>
          </w:tcPr>
          <w:p w14:paraId="68EFBE85" w14:textId="77777777" w:rsidR="0068146E" w:rsidRPr="00163E0D" w:rsidRDefault="0068146E">
            <w:pPr>
              <w:pStyle w:val="Tabletext"/>
              <w:jc w:val="center"/>
            </w:pPr>
            <w:r w:rsidRPr="00914468">
              <w:t>Climate Ireland</w:t>
            </w:r>
          </w:p>
        </w:tc>
      </w:tr>
      <w:tr w:rsidR="0068146E" w:rsidRPr="00CE4840" w14:paraId="6E9B46B1" w14:textId="77777777" w:rsidTr="0026359C">
        <w:trPr>
          <w:trHeight w:val="245"/>
        </w:trPr>
        <w:tc>
          <w:tcPr>
            <w:tcW w:w="0" w:type="auto"/>
            <w:tcBorders>
              <w:top w:val="single" w:sz="4" w:space="0" w:color="auto"/>
              <w:bottom w:val="single" w:sz="4" w:space="0" w:color="auto"/>
            </w:tcBorders>
            <w:vAlign w:val="center"/>
          </w:tcPr>
          <w:p w14:paraId="7BF3A642" w14:textId="77777777" w:rsidR="0068146E" w:rsidRPr="00CC3313" w:rsidRDefault="0068146E">
            <w:pPr>
              <w:pStyle w:val="Tabletext"/>
              <w:jc w:val="left"/>
            </w:pPr>
            <w:r>
              <w:t>Heatwaves</w:t>
            </w:r>
          </w:p>
        </w:tc>
        <w:tc>
          <w:tcPr>
            <w:tcW w:w="0" w:type="auto"/>
            <w:tcBorders>
              <w:top w:val="single" w:sz="4" w:space="0" w:color="auto"/>
              <w:bottom w:val="single" w:sz="4" w:space="0" w:color="auto"/>
            </w:tcBorders>
            <w:vAlign w:val="center"/>
          </w:tcPr>
          <w:p w14:paraId="4D3E1D46" w14:textId="77777777" w:rsidR="0068146E" w:rsidRDefault="0068146E">
            <w:pPr>
              <w:pStyle w:val="Tabletext"/>
              <w:jc w:val="center"/>
            </w:pPr>
            <w:r w:rsidRPr="00E06C43">
              <w:t>N/A</w:t>
            </w:r>
          </w:p>
        </w:tc>
        <w:tc>
          <w:tcPr>
            <w:tcW w:w="0" w:type="auto"/>
            <w:gridSpan w:val="7"/>
            <w:tcBorders>
              <w:top w:val="single" w:sz="4" w:space="0" w:color="auto"/>
              <w:bottom w:val="single" w:sz="4" w:space="0" w:color="auto"/>
            </w:tcBorders>
            <w:vAlign w:val="center"/>
          </w:tcPr>
          <w:p w14:paraId="0E4A8180" w14:textId="16B59D49" w:rsidR="0068146E" w:rsidRDefault="0068146E">
            <w:pPr>
              <w:pStyle w:val="Tabletext"/>
            </w:pPr>
            <w:r w:rsidRPr="00CA29DA">
              <w:t>An increase in the intensity and duration of heatwaves is expected.</w:t>
            </w:r>
          </w:p>
        </w:tc>
        <w:tc>
          <w:tcPr>
            <w:tcW w:w="0" w:type="auto"/>
            <w:tcBorders>
              <w:top w:val="single" w:sz="4" w:space="0" w:color="auto"/>
              <w:bottom w:val="single" w:sz="4" w:space="0" w:color="auto"/>
            </w:tcBorders>
            <w:vAlign w:val="center"/>
          </w:tcPr>
          <w:p w14:paraId="5B56BDED" w14:textId="77777777" w:rsidR="0068146E" w:rsidRDefault="0068146E">
            <w:pPr>
              <w:pStyle w:val="Tabletext"/>
              <w:jc w:val="center"/>
            </w:pPr>
            <w:r w:rsidRPr="00A53390">
              <w:t>↑</w:t>
            </w:r>
          </w:p>
        </w:tc>
        <w:tc>
          <w:tcPr>
            <w:tcW w:w="0" w:type="auto"/>
            <w:tcBorders>
              <w:top w:val="single" w:sz="4" w:space="0" w:color="auto"/>
              <w:bottom w:val="single" w:sz="4" w:space="0" w:color="auto"/>
            </w:tcBorders>
            <w:vAlign w:val="center"/>
          </w:tcPr>
          <w:p w14:paraId="29C1104E" w14:textId="1DF4F880" w:rsidR="0068146E" w:rsidRPr="00163E0D" w:rsidRDefault="00CB547E">
            <w:pPr>
              <w:pStyle w:val="Tabletext"/>
              <w:jc w:val="center"/>
            </w:pPr>
            <w:r w:rsidRPr="00914468">
              <w:t>Climate Ireland</w:t>
            </w:r>
          </w:p>
        </w:tc>
      </w:tr>
      <w:tr w:rsidR="0068146E" w:rsidRPr="00CE4840" w14:paraId="6C29C5CB" w14:textId="77777777" w:rsidTr="0026359C">
        <w:trPr>
          <w:trHeight w:val="245"/>
        </w:trPr>
        <w:tc>
          <w:tcPr>
            <w:tcW w:w="0" w:type="auto"/>
            <w:tcBorders>
              <w:top w:val="single" w:sz="4" w:space="0" w:color="auto"/>
              <w:bottom w:val="single" w:sz="4" w:space="0" w:color="auto"/>
            </w:tcBorders>
            <w:vAlign w:val="center"/>
          </w:tcPr>
          <w:p w14:paraId="55F3E3A5" w14:textId="77777777" w:rsidR="0068146E" w:rsidRPr="00CC3313" w:rsidRDefault="0068146E">
            <w:pPr>
              <w:pStyle w:val="Tabletext"/>
              <w:jc w:val="left"/>
            </w:pPr>
            <w:r>
              <w:t>Wildfires</w:t>
            </w:r>
          </w:p>
        </w:tc>
        <w:tc>
          <w:tcPr>
            <w:tcW w:w="0" w:type="auto"/>
            <w:tcBorders>
              <w:top w:val="single" w:sz="4" w:space="0" w:color="auto"/>
              <w:bottom w:val="single" w:sz="4" w:space="0" w:color="auto"/>
            </w:tcBorders>
            <w:vAlign w:val="center"/>
          </w:tcPr>
          <w:p w14:paraId="087107C9" w14:textId="77777777" w:rsidR="0068146E" w:rsidRDefault="0068146E">
            <w:pPr>
              <w:pStyle w:val="Tabletext"/>
              <w:jc w:val="center"/>
            </w:pPr>
            <w:r w:rsidRPr="00E06C43">
              <w:t>N/A</w:t>
            </w:r>
          </w:p>
        </w:tc>
        <w:tc>
          <w:tcPr>
            <w:tcW w:w="0" w:type="auto"/>
            <w:gridSpan w:val="7"/>
            <w:tcBorders>
              <w:top w:val="single" w:sz="4" w:space="0" w:color="auto"/>
              <w:bottom w:val="single" w:sz="4" w:space="0" w:color="auto"/>
            </w:tcBorders>
            <w:vAlign w:val="center"/>
          </w:tcPr>
          <w:p w14:paraId="23C32048" w14:textId="67AC8D16" w:rsidR="0068146E" w:rsidRDefault="0068146E">
            <w:pPr>
              <w:pStyle w:val="Tabletext"/>
            </w:pPr>
            <w:r w:rsidRPr="00CA29DA">
              <w:t xml:space="preserve">ThinkHazard has classified the wildfire hazard level in Dublin as Low, according to currently available information. Modelled projections of future climate identify a likely increase in the frequency of fire weather occurrence across </w:t>
            </w:r>
            <w:r w:rsidRPr="00CA29DA">
              <w:lastRenderedPageBreak/>
              <w:t>Ireland, including an increase in temperature and greater variance in rainfall, however there is a slightly lower risk around Dublin.</w:t>
            </w:r>
          </w:p>
        </w:tc>
        <w:tc>
          <w:tcPr>
            <w:tcW w:w="0" w:type="auto"/>
            <w:tcBorders>
              <w:top w:val="single" w:sz="4" w:space="0" w:color="auto"/>
              <w:bottom w:val="single" w:sz="4" w:space="0" w:color="auto"/>
            </w:tcBorders>
            <w:vAlign w:val="center"/>
          </w:tcPr>
          <w:p w14:paraId="0FBA2979" w14:textId="77777777" w:rsidR="0068146E" w:rsidRDefault="0068146E">
            <w:pPr>
              <w:pStyle w:val="Tabletext"/>
              <w:jc w:val="center"/>
            </w:pPr>
            <w:r w:rsidRPr="00A53390">
              <w:lastRenderedPageBreak/>
              <w:t>↑</w:t>
            </w:r>
          </w:p>
        </w:tc>
        <w:tc>
          <w:tcPr>
            <w:tcW w:w="0" w:type="auto"/>
            <w:tcBorders>
              <w:top w:val="single" w:sz="4" w:space="0" w:color="auto"/>
              <w:bottom w:val="single" w:sz="4" w:space="0" w:color="auto"/>
            </w:tcBorders>
            <w:vAlign w:val="center"/>
          </w:tcPr>
          <w:p w14:paraId="73D5CD16" w14:textId="2B438FF3" w:rsidR="0068146E" w:rsidRPr="00163E0D" w:rsidRDefault="00CB547E">
            <w:pPr>
              <w:pStyle w:val="Tabletext"/>
              <w:jc w:val="center"/>
            </w:pPr>
            <w:r w:rsidRPr="0002317A">
              <w:t>ThinkHazard</w:t>
            </w:r>
          </w:p>
        </w:tc>
      </w:tr>
      <w:tr w:rsidR="0068146E" w:rsidRPr="00CE4840" w14:paraId="42769CD8" w14:textId="77777777" w:rsidTr="0026359C">
        <w:trPr>
          <w:trHeight w:val="245"/>
        </w:trPr>
        <w:tc>
          <w:tcPr>
            <w:tcW w:w="0" w:type="auto"/>
            <w:tcBorders>
              <w:top w:val="single" w:sz="4" w:space="0" w:color="auto"/>
              <w:bottom w:val="single" w:sz="4" w:space="0" w:color="auto"/>
            </w:tcBorders>
            <w:vAlign w:val="center"/>
          </w:tcPr>
          <w:p w14:paraId="1995DFE1" w14:textId="77777777" w:rsidR="0068146E" w:rsidRPr="00CC3313" w:rsidRDefault="0068146E">
            <w:pPr>
              <w:pStyle w:val="Tabletext"/>
              <w:jc w:val="left"/>
            </w:pPr>
            <w:r>
              <w:t>Drought</w:t>
            </w:r>
          </w:p>
        </w:tc>
        <w:tc>
          <w:tcPr>
            <w:tcW w:w="0" w:type="auto"/>
            <w:tcBorders>
              <w:top w:val="single" w:sz="4" w:space="0" w:color="auto"/>
              <w:bottom w:val="single" w:sz="4" w:space="0" w:color="auto"/>
            </w:tcBorders>
            <w:vAlign w:val="center"/>
          </w:tcPr>
          <w:p w14:paraId="25BA7A34" w14:textId="228EE3A7" w:rsidR="0068146E" w:rsidRDefault="000E00CA">
            <w:pPr>
              <w:pStyle w:val="Tabletext"/>
              <w:jc w:val="center"/>
            </w:pPr>
            <w:r>
              <w:t>N/A</w:t>
            </w:r>
          </w:p>
        </w:tc>
        <w:tc>
          <w:tcPr>
            <w:tcW w:w="0" w:type="auto"/>
            <w:gridSpan w:val="7"/>
            <w:tcBorders>
              <w:top w:val="single" w:sz="4" w:space="0" w:color="auto"/>
              <w:bottom w:val="single" w:sz="4" w:space="0" w:color="auto"/>
            </w:tcBorders>
            <w:vAlign w:val="center"/>
          </w:tcPr>
          <w:p w14:paraId="529EDF90" w14:textId="3718CDFA" w:rsidR="0068146E" w:rsidRDefault="00CC03D8">
            <w:pPr>
              <w:pStyle w:val="Tabletext"/>
            </w:pPr>
            <w:r w:rsidRPr="00CC03D8">
              <w:t>Extended dry periods, of 5 plus days with less than 1 mm of precipitation recorded, will become more common in Ireland due to climate change. There is an increased risk that droughts will become more regular, longer and with potential for multi-year droughts. Summer rainfall may decrease by approximately 9%, potentially causing water shortages and affecting agriculture.</w:t>
            </w:r>
          </w:p>
        </w:tc>
        <w:tc>
          <w:tcPr>
            <w:tcW w:w="0" w:type="auto"/>
            <w:tcBorders>
              <w:top w:val="single" w:sz="4" w:space="0" w:color="auto"/>
              <w:bottom w:val="single" w:sz="4" w:space="0" w:color="auto"/>
            </w:tcBorders>
            <w:vAlign w:val="center"/>
          </w:tcPr>
          <w:p w14:paraId="33F37B31" w14:textId="77777777" w:rsidR="0068146E" w:rsidRDefault="0068146E">
            <w:pPr>
              <w:pStyle w:val="Tabletext"/>
              <w:jc w:val="center"/>
            </w:pPr>
            <w:r w:rsidRPr="00A53390">
              <w:t>↑</w:t>
            </w:r>
          </w:p>
        </w:tc>
        <w:tc>
          <w:tcPr>
            <w:tcW w:w="0" w:type="auto"/>
            <w:tcBorders>
              <w:top w:val="single" w:sz="4" w:space="0" w:color="auto"/>
              <w:bottom w:val="single" w:sz="4" w:space="0" w:color="auto"/>
            </w:tcBorders>
            <w:vAlign w:val="center"/>
          </w:tcPr>
          <w:p w14:paraId="1EC9E583" w14:textId="77777777" w:rsidR="0068146E" w:rsidRPr="00163E0D" w:rsidRDefault="0068146E">
            <w:pPr>
              <w:pStyle w:val="Tabletext"/>
              <w:jc w:val="center"/>
            </w:pPr>
            <w:r w:rsidRPr="00914468">
              <w:t>Climate Ireland</w:t>
            </w:r>
          </w:p>
        </w:tc>
      </w:tr>
      <w:tr w:rsidR="000E00CA" w:rsidRPr="00CE4840" w14:paraId="36FA5F95" w14:textId="77777777" w:rsidTr="000E00CA">
        <w:trPr>
          <w:trHeight w:val="771"/>
        </w:trPr>
        <w:tc>
          <w:tcPr>
            <w:tcW w:w="0" w:type="auto"/>
            <w:tcBorders>
              <w:top w:val="single" w:sz="4" w:space="0" w:color="auto"/>
            </w:tcBorders>
            <w:vAlign w:val="center"/>
          </w:tcPr>
          <w:p w14:paraId="5B6BE488" w14:textId="77777777" w:rsidR="000E00CA" w:rsidRPr="00CC3313" w:rsidRDefault="000E00CA" w:rsidP="000E00CA">
            <w:pPr>
              <w:pStyle w:val="Tabletext"/>
              <w:jc w:val="left"/>
            </w:pPr>
            <w:r>
              <w:t>Sea level rise (m)*</w:t>
            </w:r>
          </w:p>
        </w:tc>
        <w:tc>
          <w:tcPr>
            <w:tcW w:w="0" w:type="auto"/>
            <w:tcBorders>
              <w:top w:val="single" w:sz="4" w:space="0" w:color="auto"/>
            </w:tcBorders>
            <w:vAlign w:val="center"/>
          </w:tcPr>
          <w:p w14:paraId="552B1BFB" w14:textId="77777777" w:rsidR="000E00CA" w:rsidRDefault="000E00CA" w:rsidP="000E00CA">
            <w:pPr>
              <w:pStyle w:val="Tabletext"/>
              <w:jc w:val="center"/>
            </w:pPr>
            <w:r>
              <w:t>-</w:t>
            </w:r>
          </w:p>
        </w:tc>
        <w:tc>
          <w:tcPr>
            <w:tcW w:w="0" w:type="auto"/>
            <w:tcBorders>
              <w:top w:val="single" w:sz="4" w:space="0" w:color="auto"/>
            </w:tcBorders>
            <w:vAlign w:val="center"/>
          </w:tcPr>
          <w:p w14:paraId="7849F625" w14:textId="6E1A9131" w:rsidR="000E00CA" w:rsidRDefault="000E00CA" w:rsidP="000E00CA">
            <w:pPr>
              <w:pStyle w:val="Tabletext"/>
              <w:jc w:val="center"/>
            </w:pPr>
            <w:r w:rsidRPr="003C5F70">
              <w:t>0.06 to 0.15</w:t>
            </w:r>
          </w:p>
        </w:tc>
        <w:tc>
          <w:tcPr>
            <w:tcW w:w="0" w:type="auto"/>
            <w:tcBorders>
              <w:top w:val="single" w:sz="4" w:space="0" w:color="auto"/>
            </w:tcBorders>
            <w:vAlign w:val="center"/>
          </w:tcPr>
          <w:p w14:paraId="71DD5F92" w14:textId="0C40FBCA" w:rsidR="000E00CA" w:rsidRDefault="000E00CA" w:rsidP="000E00CA">
            <w:pPr>
              <w:pStyle w:val="Tabletext"/>
              <w:jc w:val="center"/>
            </w:pPr>
            <w:r w:rsidRPr="003C5F70">
              <w:t>0.15 to 0.28</w:t>
            </w:r>
          </w:p>
        </w:tc>
        <w:tc>
          <w:tcPr>
            <w:tcW w:w="0" w:type="auto"/>
            <w:gridSpan w:val="2"/>
            <w:tcBorders>
              <w:top w:val="single" w:sz="4" w:space="0" w:color="auto"/>
            </w:tcBorders>
            <w:vAlign w:val="center"/>
          </w:tcPr>
          <w:p w14:paraId="54A859C0" w14:textId="3A7D571C" w:rsidR="000E00CA" w:rsidRDefault="000E00CA" w:rsidP="000E00CA">
            <w:pPr>
              <w:pStyle w:val="Tabletext"/>
              <w:jc w:val="center"/>
            </w:pPr>
            <w:r w:rsidRPr="003C5F70">
              <w:t>0.34 to 0.51</w:t>
            </w:r>
          </w:p>
        </w:tc>
        <w:tc>
          <w:tcPr>
            <w:tcW w:w="0" w:type="auto"/>
            <w:tcBorders>
              <w:top w:val="single" w:sz="4" w:space="0" w:color="auto"/>
            </w:tcBorders>
            <w:vAlign w:val="center"/>
          </w:tcPr>
          <w:p w14:paraId="59880260" w14:textId="53C55120" w:rsidR="000E00CA" w:rsidRDefault="000E00CA" w:rsidP="000E00CA">
            <w:pPr>
              <w:pStyle w:val="Tabletext"/>
              <w:jc w:val="center"/>
            </w:pPr>
            <w:r w:rsidRPr="003C5F70">
              <w:t>0.06 to 0.16</w:t>
            </w:r>
          </w:p>
        </w:tc>
        <w:tc>
          <w:tcPr>
            <w:tcW w:w="0" w:type="auto"/>
            <w:tcBorders>
              <w:top w:val="single" w:sz="4" w:space="0" w:color="auto"/>
            </w:tcBorders>
            <w:vAlign w:val="center"/>
          </w:tcPr>
          <w:p w14:paraId="51CFFEBB" w14:textId="74CA0258" w:rsidR="000E00CA" w:rsidRDefault="000E00CA" w:rsidP="000E00CA">
            <w:pPr>
              <w:pStyle w:val="Tabletext"/>
              <w:jc w:val="center"/>
            </w:pPr>
            <w:r w:rsidRPr="003C5F70">
              <w:t>0.15 to 0.29</w:t>
            </w:r>
          </w:p>
        </w:tc>
        <w:tc>
          <w:tcPr>
            <w:tcW w:w="0" w:type="auto"/>
            <w:tcBorders>
              <w:top w:val="single" w:sz="4" w:space="0" w:color="auto"/>
            </w:tcBorders>
            <w:vAlign w:val="center"/>
          </w:tcPr>
          <w:p w14:paraId="336C2E51" w14:textId="26DE58FF" w:rsidR="000E00CA" w:rsidRDefault="000E00CA" w:rsidP="000E00CA">
            <w:pPr>
              <w:pStyle w:val="Tabletext"/>
              <w:jc w:val="center"/>
            </w:pPr>
            <w:r w:rsidRPr="003C5F70">
              <w:t>0.38 to 0.58</w:t>
            </w:r>
          </w:p>
        </w:tc>
        <w:tc>
          <w:tcPr>
            <w:tcW w:w="0" w:type="auto"/>
            <w:tcBorders>
              <w:top w:val="single" w:sz="4" w:space="0" w:color="auto"/>
            </w:tcBorders>
            <w:vAlign w:val="center"/>
          </w:tcPr>
          <w:p w14:paraId="58399FDB" w14:textId="77777777" w:rsidR="000E00CA" w:rsidRDefault="000E00CA" w:rsidP="000E00CA">
            <w:pPr>
              <w:pStyle w:val="Tabletext"/>
              <w:jc w:val="center"/>
            </w:pPr>
            <w:r w:rsidRPr="00F50A10">
              <w:t>↑</w:t>
            </w:r>
          </w:p>
        </w:tc>
        <w:tc>
          <w:tcPr>
            <w:tcW w:w="0" w:type="auto"/>
            <w:tcBorders>
              <w:top w:val="single" w:sz="4" w:space="0" w:color="auto"/>
            </w:tcBorders>
            <w:vAlign w:val="center"/>
          </w:tcPr>
          <w:p w14:paraId="35B68ADF" w14:textId="77777777" w:rsidR="000E00CA" w:rsidRPr="00163E0D" w:rsidRDefault="000E00CA" w:rsidP="000E00CA">
            <w:pPr>
              <w:pStyle w:val="Tabletext"/>
              <w:jc w:val="center"/>
            </w:pPr>
            <w:r w:rsidRPr="0002317A">
              <w:t>IPCC AR6 Sea Level Projection Tool</w:t>
            </w:r>
          </w:p>
        </w:tc>
      </w:tr>
      <w:tr w:rsidR="00A83D1C" w:rsidRPr="00CE4840" w14:paraId="145620A6" w14:textId="77777777" w:rsidTr="0026359C">
        <w:trPr>
          <w:trHeight w:val="245"/>
        </w:trPr>
        <w:tc>
          <w:tcPr>
            <w:tcW w:w="0" w:type="auto"/>
            <w:gridSpan w:val="11"/>
            <w:tcBorders>
              <w:top w:val="single" w:sz="4" w:space="0" w:color="auto"/>
              <w:bottom w:val="nil"/>
            </w:tcBorders>
            <w:vAlign w:val="center"/>
          </w:tcPr>
          <w:p w14:paraId="3E31B76A" w14:textId="77777777" w:rsidR="00A83D1C" w:rsidRPr="00D32F1C" w:rsidRDefault="00A83D1C">
            <w:pPr>
              <w:pStyle w:val="Tabletext"/>
              <w:jc w:val="left"/>
              <w:rPr>
                <w:i/>
                <w:iCs/>
              </w:rPr>
            </w:pPr>
            <w:r w:rsidRPr="00D32F1C">
              <w:rPr>
                <w:i/>
                <w:iCs/>
              </w:rPr>
              <w:t>*10</w:t>
            </w:r>
            <w:r w:rsidRPr="00D32F1C">
              <w:rPr>
                <w:i/>
                <w:iCs/>
                <w:vertAlign w:val="superscript"/>
              </w:rPr>
              <w:t>th</w:t>
            </w:r>
            <w:r w:rsidRPr="00D32F1C">
              <w:rPr>
                <w:i/>
                <w:iCs/>
              </w:rPr>
              <w:t>-90</w:t>
            </w:r>
            <w:r w:rsidRPr="00D32F1C">
              <w:rPr>
                <w:i/>
                <w:iCs/>
                <w:vertAlign w:val="superscript"/>
              </w:rPr>
              <w:t>th</w:t>
            </w:r>
            <w:r w:rsidRPr="00D32F1C">
              <w:rPr>
                <w:i/>
                <w:iCs/>
              </w:rPr>
              <w:t xml:space="preserve"> percentile range</w:t>
            </w:r>
          </w:p>
        </w:tc>
      </w:tr>
    </w:tbl>
    <w:p w14:paraId="489BC9DB" w14:textId="31F36072" w:rsidR="00AC7CB5" w:rsidRPr="006A587F" w:rsidRDefault="00AC7CB5" w:rsidP="007F198D">
      <w:pPr>
        <w:tabs>
          <w:tab w:val="clear" w:pos="284"/>
        </w:tabs>
        <w:spacing w:line="240" w:lineRule="auto"/>
        <w:jc w:val="left"/>
        <w:rPr>
          <w:highlight w:val="yellow"/>
        </w:rPr>
      </w:pPr>
      <w:r>
        <w:rPr>
          <w:highlight w:val="yellow"/>
        </w:rPr>
        <w:br w:type="page"/>
      </w:r>
    </w:p>
    <w:p w14:paraId="4716D3AC" w14:textId="77777777" w:rsidR="0016766B" w:rsidRDefault="0016766B" w:rsidP="004108F2">
      <w:pPr>
        <w:pStyle w:val="Heading3"/>
        <w:sectPr w:rsidR="0016766B" w:rsidSect="001B6A0C">
          <w:pgSz w:w="16838" w:h="11906" w:orient="landscape"/>
          <w:pgMar w:top="1418" w:right="1134" w:bottom="1134" w:left="851" w:header="567" w:footer="284" w:gutter="0"/>
          <w:pgNumType w:chapStyle="1"/>
          <w:cols w:space="284"/>
          <w:docGrid w:linePitch="360"/>
        </w:sectPr>
      </w:pPr>
    </w:p>
    <w:p w14:paraId="3597B848" w14:textId="37D1051F" w:rsidR="004745EA" w:rsidRDefault="001043AA" w:rsidP="00F425BB">
      <w:pPr>
        <w:pStyle w:val="Heading2"/>
      </w:pPr>
      <w:bookmarkStart w:id="118" w:name="_Ref231378500"/>
      <w:bookmarkStart w:id="119" w:name="_Toc239776194"/>
      <w:r>
        <w:lastRenderedPageBreak/>
        <w:t xml:space="preserve">Embedded </w:t>
      </w:r>
      <w:r w:rsidR="004745EA">
        <w:t>Mitigation Measures</w:t>
      </w:r>
      <w:bookmarkEnd w:id="118"/>
      <w:bookmarkEnd w:id="119"/>
    </w:p>
    <w:p w14:paraId="524A5A33" w14:textId="77777777" w:rsidR="00E92C4A" w:rsidRDefault="00E92C4A" w:rsidP="00E92C4A">
      <w:pPr>
        <w:pStyle w:val="Heading3"/>
      </w:pPr>
      <w:bookmarkStart w:id="120" w:name="_Ref232511192"/>
      <w:bookmarkStart w:id="121" w:name="_Ref232585525"/>
      <w:bookmarkStart w:id="122" w:name="_Ref232587447"/>
      <w:bookmarkStart w:id="123" w:name="_Toc239776195"/>
      <w:r w:rsidRPr="00E92C4A">
        <w:t>Lifecycle GHG Assessment</w:t>
      </w:r>
      <w:bookmarkEnd w:id="120"/>
      <w:bookmarkEnd w:id="121"/>
      <w:bookmarkEnd w:id="122"/>
      <w:bookmarkEnd w:id="123"/>
    </w:p>
    <w:p w14:paraId="37595ECC" w14:textId="2C7C3D22" w:rsidR="00471CEC" w:rsidRDefault="00471CEC" w:rsidP="00471CEC">
      <w:pPr>
        <w:pStyle w:val="BodyText"/>
      </w:pPr>
      <w:r>
        <w:t xml:space="preserve">A number of mitigation measures will be embedded through the construction and operation </w:t>
      </w:r>
      <w:r w:rsidR="00392E14">
        <w:t xml:space="preserve">phases </w:t>
      </w:r>
      <w:r>
        <w:t xml:space="preserve">of the Proposed Development to manage environmental and climate-related risks. </w:t>
      </w:r>
      <w:r w:rsidR="001A5651">
        <w:t xml:space="preserve">The following measures to reduce carbon in design </w:t>
      </w:r>
      <w:r w:rsidR="00064937">
        <w:t>have been employed as per the Stage 2A</w:t>
      </w:r>
      <w:r w:rsidR="008C18C8">
        <w:t xml:space="preserve"> </w:t>
      </w:r>
      <w:r w:rsidR="007C7305">
        <w:t>Structural</w:t>
      </w:r>
      <w:r w:rsidR="008C18C8">
        <w:t xml:space="preserve"> Engineering Report </w:t>
      </w:r>
      <w:r w:rsidR="00A06EDD">
        <w:t xml:space="preserve">submitted with this Planning Application </w:t>
      </w:r>
      <w:r w:rsidR="00A06EDD" w:rsidRPr="000B2FEF">
        <w:rPr>
          <w:b/>
          <w:bCs/>
          <w:color w:val="FF0000"/>
        </w:rPr>
        <w:t xml:space="preserve">[HOLD </w:t>
      </w:r>
      <w:r w:rsidR="00366C7C" w:rsidRPr="000B2FEF">
        <w:rPr>
          <w:b/>
          <w:bCs/>
          <w:color w:val="FF0000"/>
        </w:rPr>
        <w:t>–</w:t>
      </w:r>
      <w:r w:rsidR="00A06EDD" w:rsidRPr="000B2FEF">
        <w:rPr>
          <w:b/>
          <w:bCs/>
          <w:color w:val="FF0000"/>
        </w:rPr>
        <w:t xml:space="preserve"> Conf</w:t>
      </w:r>
      <w:r w:rsidR="00366C7C" w:rsidRPr="000B2FEF">
        <w:rPr>
          <w:b/>
          <w:bCs/>
          <w:color w:val="FF0000"/>
        </w:rPr>
        <w:t>irm to be Submitted</w:t>
      </w:r>
      <w:r w:rsidR="0016778B" w:rsidRPr="000B2FEF">
        <w:rPr>
          <w:b/>
          <w:bCs/>
          <w:color w:val="FF0000"/>
        </w:rPr>
        <w:t>].</w:t>
      </w:r>
    </w:p>
    <w:p w14:paraId="431E953B" w14:textId="55FC4EFB" w:rsidR="005A7936" w:rsidRPr="00A7414A" w:rsidRDefault="005A7936" w:rsidP="008C5FC4">
      <w:pPr>
        <w:pStyle w:val="BulletPoint1"/>
        <w:rPr>
          <w:b/>
          <w:bCs/>
        </w:rPr>
      </w:pPr>
      <w:r w:rsidRPr="00A7414A">
        <w:rPr>
          <w:b/>
          <w:bCs/>
        </w:rPr>
        <w:t>Optimise structural typology</w:t>
      </w:r>
      <w:r w:rsidR="00CB6C5D">
        <w:rPr>
          <w:b/>
          <w:bCs/>
        </w:rPr>
        <w:t xml:space="preserve"> </w:t>
      </w:r>
      <w:r w:rsidR="009B0C7B">
        <w:t>–</w:t>
      </w:r>
      <w:r w:rsidR="00CB6C5D">
        <w:t xml:space="preserve"> </w:t>
      </w:r>
      <w:r w:rsidR="007C7305">
        <w:t>Structural</w:t>
      </w:r>
      <w:r w:rsidR="009B0C7B">
        <w:t xml:space="preserve"> elements and options have been assessed</w:t>
      </w:r>
      <w:r w:rsidR="00EC7434">
        <w:t>, with embodied carbon being a valuable criteria in selected the most appropriate option.</w:t>
      </w:r>
    </w:p>
    <w:p w14:paraId="728D781E" w14:textId="112AFFCD" w:rsidR="005A7936" w:rsidRPr="00A7414A" w:rsidRDefault="005A7936" w:rsidP="008C5FC4">
      <w:pPr>
        <w:pStyle w:val="BulletPoint1"/>
        <w:rPr>
          <w:b/>
          <w:bCs/>
        </w:rPr>
      </w:pPr>
      <w:r w:rsidRPr="00A7414A">
        <w:rPr>
          <w:b/>
          <w:bCs/>
        </w:rPr>
        <w:t>Reduce or remove basement structures</w:t>
      </w:r>
      <w:r w:rsidR="00EC7434" w:rsidRPr="00A7414A">
        <w:t xml:space="preserve"> – No basements have been proposed for th</w:t>
      </w:r>
      <w:r w:rsidR="00392E14">
        <w:t xml:space="preserve">e Proposed Development </w:t>
      </w:r>
      <w:r w:rsidR="00EC7434" w:rsidRPr="00A7414A">
        <w:t>to reduce the overall carbon footprint.</w:t>
      </w:r>
    </w:p>
    <w:p w14:paraId="3089BF80" w14:textId="49356CD9" w:rsidR="005B3E4F" w:rsidRPr="00A7414A" w:rsidRDefault="005B3E4F" w:rsidP="008C5FC4">
      <w:pPr>
        <w:pStyle w:val="BulletPoint1"/>
        <w:rPr>
          <w:b/>
          <w:bCs/>
        </w:rPr>
      </w:pPr>
      <w:r w:rsidRPr="00A7414A">
        <w:rPr>
          <w:b/>
          <w:bCs/>
        </w:rPr>
        <w:t>Minimise use of energy intensive materials</w:t>
      </w:r>
      <w:r w:rsidR="004C3AB3">
        <w:rPr>
          <w:b/>
          <w:bCs/>
        </w:rPr>
        <w:t xml:space="preserve"> </w:t>
      </w:r>
      <w:r w:rsidR="00025722">
        <w:t>–</w:t>
      </w:r>
      <w:r w:rsidR="004C3AB3">
        <w:t xml:space="preserve"> </w:t>
      </w:r>
      <w:r w:rsidR="00025722">
        <w:t>A minimum of 30% clinker replacement with low-carbon secondary cementitious materials will be included in the specification for structural concrete.</w:t>
      </w:r>
    </w:p>
    <w:p w14:paraId="281B3FBB" w14:textId="41D8672B" w:rsidR="0079300F" w:rsidRDefault="00F3143E" w:rsidP="00471CEC">
      <w:pPr>
        <w:pStyle w:val="BodyText"/>
      </w:pPr>
      <w:r>
        <w:t>Additionally, a</w:t>
      </w:r>
      <w:r w:rsidR="00892351">
        <w:t>n Outline</w:t>
      </w:r>
      <w:r w:rsidR="00471CEC">
        <w:t xml:space="preserve"> Construction Environmental Management Plan (</w:t>
      </w:r>
      <w:r w:rsidR="00892351">
        <w:t>o</w:t>
      </w:r>
      <w:r w:rsidR="00471CEC">
        <w:t>CEMP) will</w:t>
      </w:r>
      <w:r>
        <w:t xml:space="preserve"> be produced to</w:t>
      </w:r>
      <w:r w:rsidR="00471CEC">
        <w:t xml:space="preserve"> outline measures govern</w:t>
      </w:r>
      <w:r w:rsidR="00715116">
        <w:t>ing</w:t>
      </w:r>
      <w:r w:rsidR="00471CEC">
        <w:t xml:space="preserve"> construction activities and minimis</w:t>
      </w:r>
      <w:r w:rsidR="00715116">
        <w:t>ing</w:t>
      </w:r>
      <w:r w:rsidR="00471CEC">
        <w:t xml:space="preserve"> environmental impacts.</w:t>
      </w:r>
      <w:r w:rsidR="00892351">
        <w:t xml:space="preserve"> A detailed CEMP with be prepared by the appointed contractor prior </w:t>
      </w:r>
      <w:r w:rsidR="00B72515">
        <w:t>to construction.</w:t>
      </w:r>
    </w:p>
    <w:p w14:paraId="14675872" w14:textId="3AA00736" w:rsidR="00715116" w:rsidRPr="0079300F" w:rsidRDefault="002C46D0" w:rsidP="00471CEC">
      <w:pPr>
        <w:pStyle w:val="BodyText"/>
      </w:pPr>
      <w:r>
        <w:t xml:space="preserve">It should be noted that carbon reductions resulting from the mitigation </w:t>
      </w:r>
      <w:r w:rsidR="000B6F38">
        <w:t xml:space="preserve">measures listed above may not be realised in the emissions totals presented within </w:t>
      </w:r>
      <w:r w:rsidR="00822AD6" w:rsidRPr="008928B6">
        <w:t xml:space="preserve">Section </w:t>
      </w:r>
      <w:r w:rsidR="00822AD6" w:rsidRPr="008928B6">
        <w:fldChar w:fldCharType="begin"/>
      </w:r>
      <w:r w:rsidR="00822AD6" w:rsidRPr="008928B6">
        <w:instrText xml:space="preserve"> REF _Ref232502167 \r \h </w:instrText>
      </w:r>
      <w:r w:rsidR="007C7305" w:rsidRPr="008928B6">
        <w:instrText xml:space="preserve"> \* MERGEFORMAT </w:instrText>
      </w:r>
      <w:r w:rsidR="00822AD6" w:rsidRPr="008928B6">
        <w:fldChar w:fldCharType="separate"/>
      </w:r>
      <w:r w:rsidR="00D83C6F">
        <w:t>10.6.1</w:t>
      </w:r>
      <w:r w:rsidR="00822AD6" w:rsidRPr="008928B6">
        <w:fldChar w:fldCharType="end"/>
      </w:r>
      <w:r w:rsidR="00B73597">
        <w:t xml:space="preserve"> due to the </w:t>
      </w:r>
      <w:r w:rsidR="007C7305">
        <w:t>unavailability</w:t>
      </w:r>
      <w:r w:rsidR="00B73597">
        <w:t xml:space="preserve"> of material quantities for the GHG assessment.</w:t>
      </w:r>
    </w:p>
    <w:p w14:paraId="04210D2A" w14:textId="0E84C4F9" w:rsidR="004745EA" w:rsidRDefault="0079300F" w:rsidP="004745EA">
      <w:pPr>
        <w:pStyle w:val="Heading3"/>
      </w:pPr>
      <w:bookmarkStart w:id="124" w:name="_Toc239776196"/>
      <w:r w:rsidRPr="0079300F">
        <w:t>Climate Change Risk Assessment and In-Combination Climate Change Impact Assessment</w:t>
      </w:r>
      <w:bookmarkEnd w:id="124"/>
    </w:p>
    <w:p w14:paraId="0894B40C" w14:textId="0339174C" w:rsidR="00DC7936" w:rsidRDefault="00DC7936" w:rsidP="0079300F">
      <w:pPr>
        <w:pStyle w:val="Heading4"/>
      </w:pPr>
      <w:r>
        <w:t>Construction Phase</w:t>
      </w:r>
    </w:p>
    <w:p w14:paraId="0A35AEAC" w14:textId="27C6F696" w:rsidR="007E46B7" w:rsidRPr="002578E6" w:rsidRDefault="007E46B7" w:rsidP="007E46B7">
      <w:pPr>
        <w:pStyle w:val="BodyText"/>
      </w:pPr>
      <w:r w:rsidRPr="002578E6">
        <w:t xml:space="preserve">One of the key regulations for construction in Ireland is the Irish Safety, Health, and Welfare at </w:t>
      </w:r>
      <w:r w:rsidR="00894311">
        <w:t>W</w:t>
      </w:r>
      <w:r w:rsidRPr="002578E6">
        <w:t>ork (</w:t>
      </w:r>
      <w:r w:rsidR="00894311">
        <w:t>C</w:t>
      </w:r>
      <w:r w:rsidRPr="002578E6">
        <w:t xml:space="preserve">onstruction) Regulations 2013 </w:t>
      </w:r>
      <w:r w:rsidRPr="00A7414A">
        <w:t>(</w:t>
      </w:r>
      <w:r w:rsidR="00894311" w:rsidRPr="00A7414A">
        <w:t>Government of Ireland, 2013</w:t>
      </w:r>
      <w:r w:rsidRPr="00A7414A">
        <w:t>).</w:t>
      </w:r>
      <w:r w:rsidRPr="002578E6">
        <w:t xml:space="preserve"> The appointed contractors, designers, workers and other construction stakeholders shall comply with all rules set out in this regulation, during the construction process. This regulation sets out a number of standards and mitigation measures which must be met on the construction site. These measures will act as embedded or planned controls for safety and health concerns and risks arising from climate change during construction. Examples of such measures are as follows:</w:t>
      </w:r>
    </w:p>
    <w:p w14:paraId="487AA53F" w14:textId="77777777" w:rsidR="007E46B7" w:rsidRPr="002578E6" w:rsidRDefault="007E46B7" w:rsidP="008928B6">
      <w:pPr>
        <w:pStyle w:val="BulletPoint1"/>
      </w:pPr>
      <w:r w:rsidRPr="002578E6">
        <w:t xml:space="preserve">“A contractor responsible for a construction site shall ensure for that site that adequate precautions are taken in any excavation, shaft, earthwork, underground works or tunnel to…guard against the occurrence of fire or flooding…” </w:t>
      </w:r>
    </w:p>
    <w:p w14:paraId="24223489" w14:textId="77777777" w:rsidR="007E46B7" w:rsidRPr="002578E6" w:rsidRDefault="007E46B7" w:rsidP="008928B6">
      <w:pPr>
        <w:pStyle w:val="BulletPoint1"/>
      </w:pPr>
      <w:r w:rsidRPr="002578E6">
        <w:t>“A contractor responsible for a construction site shall ensure for that site, prior to the commencement of demolition work and during the progress of the work, that appropriate steps are taken to prevent danger to persons at work and others on the site from risk of — (a) fire or explosion through leakage or accumulation of flammable liquids, gas or vapour, and (b) flooding.”</w:t>
      </w:r>
    </w:p>
    <w:p w14:paraId="4F462CA8" w14:textId="77777777" w:rsidR="007E46B7" w:rsidRPr="002578E6" w:rsidRDefault="007E46B7" w:rsidP="008928B6">
      <w:pPr>
        <w:pStyle w:val="BulletPoint1"/>
      </w:pPr>
      <w:r w:rsidRPr="002578E6">
        <w:t xml:space="preserve">“…a contractor responsible for a construction site shall provide or cause to be provided at or in the immediate vicinity of the site for the use of persons at work and conveniently accessible to them— (a) adequate and suitable enclosed accommodation for taking shelter during interruptions of work owing to bad weather…” </w:t>
      </w:r>
    </w:p>
    <w:p w14:paraId="522C0E69" w14:textId="77777777" w:rsidR="007E46B7" w:rsidRPr="002578E6" w:rsidRDefault="007E46B7" w:rsidP="008928B6">
      <w:pPr>
        <w:pStyle w:val="BulletPoint1"/>
      </w:pPr>
      <w:r w:rsidRPr="002578E6">
        <w:t>“Every person engaged in work to which these Regulations apply shall —…make proper use of any safety helmet, harness or any other personal protective equipment provided for the person’s safety and health,…”</w:t>
      </w:r>
    </w:p>
    <w:p w14:paraId="7F31A2C4" w14:textId="5D6D41DC" w:rsidR="007E46B7" w:rsidRPr="002578E6" w:rsidRDefault="007E46B7" w:rsidP="007E46B7">
      <w:pPr>
        <w:pStyle w:val="BodyText"/>
      </w:pPr>
      <w:r w:rsidRPr="002578E6">
        <w:t xml:space="preserve">Regulation 12 of the Safety, Health, and Welfare at </w:t>
      </w:r>
      <w:r w:rsidR="00894311">
        <w:t>W</w:t>
      </w:r>
      <w:r w:rsidRPr="002578E6">
        <w:t>ork (</w:t>
      </w:r>
      <w:r w:rsidR="00894311">
        <w:t>C</w:t>
      </w:r>
      <w:r w:rsidRPr="002578E6">
        <w:t xml:space="preserve">onstruction) Regulations 2013 </w:t>
      </w:r>
      <w:r w:rsidR="005D2B5F" w:rsidRPr="00D25C52">
        <w:t>(Government of Ireland, 2013)</w:t>
      </w:r>
      <w:r w:rsidR="005D2B5F" w:rsidRPr="002578E6">
        <w:t xml:space="preserve"> </w:t>
      </w:r>
      <w:r w:rsidRPr="002578E6">
        <w:t>states that the Project Supervisor for the design process (PSDP) must prepare a Preliminary Health and Safety Plan. This plan must identify any exceptional features of design and construction, including any risks associated with climate impacts during construction</w:t>
      </w:r>
      <w:r w:rsidR="00CD1398">
        <w:t xml:space="preserve">. </w:t>
      </w:r>
    </w:p>
    <w:p w14:paraId="2E3E2421" w14:textId="4EC190A9" w:rsidR="007E46B7" w:rsidRPr="002578E6" w:rsidRDefault="007E46B7" w:rsidP="007E46B7">
      <w:pPr>
        <w:pStyle w:val="BodyText"/>
      </w:pPr>
      <w:r w:rsidRPr="002578E6">
        <w:lastRenderedPageBreak/>
        <w:t xml:space="preserve">Regulation 16 of the Safety, Health, and Welfare at </w:t>
      </w:r>
      <w:r w:rsidR="00894311">
        <w:t>W</w:t>
      </w:r>
      <w:r w:rsidRPr="002578E6">
        <w:t>ork (</w:t>
      </w:r>
      <w:r w:rsidR="00894311">
        <w:t>C</w:t>
      </w:r>
      <w:r w:rsidRPr="002578E6">
        <w:t xml:space="preserve">onstruction) Regulations 2013 </w:t>
      </w:r>
      <w:r w:rsidR="005D2B5F" w:rsidRPr="00D25C52">
        <w:t>(Government of Ireland, 2013)</w:t>
      </w:r>
      <w:r w:rsidR="005D2B5F" w:rsidRPr="002578E6">
        <w:t xml:space="preserve"> </w:t>
      </w:r>
      <w:r w:rsidRPr="002578E6">
        <w:t xml:space="preserve">states that the Project Supervisor for the construction stage, based on the findings in the Preliminary Health and Safety Plan, will further develop a Safety and Health Plan for the construction period, prior to commencement of works on site. This will also take into consideration risks associated with the impacts of climate change. </w:t>
      </w:r>
    </w:p>
    <w:p w14:paraId="1F409FC2" w14:textId="25FAC513" w:rsidR="0020367A" w:rsidRDefault="007E46B7" w:rsidP="00471CEC">
      <w:pPr>
        <w:pStyle w:val="BodyText"/>
      </w:pPr>
      <w:r w:rsidRPr="002578E6">
        <w:t>A</w:t>
      </w:r>
      <w:r w:rsidR="00C435DD">
        <w:t>s detailed above</w:t>
      </w:r>
      <w:r w:rsidRPr="002578E6">
        <w:t xml:space="preserve"> </w:t>
      </w:r>
      <w:r w:rsidR="00C435DD">
        <w:t>a</w:t>
      </w:r>
      <w:r w:rsidR="00C435DD" w:rsidRPr="00C435DD">
        <w:t xml:space="preserve">n oCEMP will be prepared for </w:t>
      </w:r>
      <w:r w:rsidR="00C435DD">
        <w:t xml:space="preserve">submission with the Proposed Development </w:t>
      </w:r>
      <w:r w:rsidR="00C435DD" w:rsidRPr="00C435DD">
        <w:t xml:space="preserve">planning application. </w:t>
      </w:r>
      <w:r w:rsidRPr="002578E6">
        <w:t xml:space="preserve">A </w:t>
      </w:r>
      <w:r w:rsidR="00C435DD" w:rsidRPr="00C435DD">
        <w:t xml:space="preserve">detailed CEMP will be prepared by the </w:t>
      </w:r>
      <w:r w:rsidR="00D26520">
        <w:t xml:space="preserve">construction </w:t>
      </w:r>
      <w:r w:rsidR="00C435DD" w:rsidRPr="00C435DD">
        <w:t>contractor</w:t>
      </w:r>
      <w:r w:rsidRPr="002578E6">
        <w:t xml:space="preserve">. The </w:t>
      </w:r>
      <w:r w:rsidR="00D26520">
        <w:t>contractor’s</w:t>
      </w:r>
      <w:r w:rsidRPr="002578E6">
        <w:t xml:space="preserve"> CEMP will identify current construction environmental risks within and around the environment of the Proposed Development construction site, in addition to outlining the associated controls that will be adopted during construction. </w:t>
      </w:r>
      <w:r w:rsidRPr="00A7414A">
        <w:t xml:space="preserve">The CEMP will provide site specific recommendations and refer to general best practice procedures to comply with when </w:t>
      </w:r>
      <w:r w:rsidR="0020367A" w:rsidRPr="00A7414A">
        <w:t xml:space="preserve">construction wors are carried out. </w:t>
      </w:r>
    </w:p>
    <w:p w14:paraId="7D52B99C" w14:textId="0DB14985" w:rsidR="00DC7936" w:rsidRDefault="00DC7936" w:rsidP="0079300F">
      <w:pPr>
        <w:pStyle w:val="Heading4"/>
      </w:pPr>
      <w:r>
        <w:t>Operational Phase</w:t>
      </w:r>
    </w:p>
    <w:p w14:paraId="25884DAE" w14:textId="3C9AFD27" w:rsidR="0097786E" w:rsidRPr="001764FA" w:rsidRDefault="0097786E" w:rsidP="0097786E">
      <w:pPr>
        <w:pStyle w:val="BodyText"/>
      </w:pPr>
      <w:r>
        <w:t xml:space="preserve">A number of operational planned control measures </w:t>
      </w:r>
      <w:r w:rsidR="00D26520">
        <w:t xml:space="preserve">have </w:t>
      </w:r>
      <w:r>
        <w:t xml:space="preserve">also </w:t>
      </w:r>
      <w:r w:rsidR="00D26520">
        <w:t xml:space="preserve">been </w:t>
      </w:r>
      <w:r>
        <w:t xml:space="preserve">captured while undertaking this CCRA. Some </w:t>
      </w:r>
      <w:r w:rsidRPr="001764FA">
        <w:t xml:space="preserve">such measures include: </w:t>
      </w:r>
    </w:p>
    <w:p w14:paraId="132BB2D1" w14:textId="20326AA6" w:rsidR="00310447" w:rsidRPr="001764FA" w:rsidRDefault="00310447" w:rsidP="008928B6">
      <w:pPr>
        <w:pStyle w:val="BulletPoint1"/>
      </w:pPr>
      <w:r w:rsidRPr="001764FA">
        <w:t>Residential dwellings</w:t>
      </w:r>
      <w:r w:rsidR="00020B2C">
        <w:t xml:space="preserve"> and substation building</w:t>
      </w:r>
      <w:r w:rsidRPr="001764FA">
        <w:t xml:space="preserve"> </w:t>
      </w:r>
      <w:r w:rsidR="00B347AA" w:rsidRPr="001764FA">
        <w:t>will be</w:t>
      </w:r>
      <w:r w:rsidRPr="001764FA">
        <w:t xml:space="preserve"> above the breach flood level</w:t>
      </w:r>
      <w:r w:rsidR="007C7305">
        <w:t xml:space="preserve"> to mitigate </w:t>
      </w:r>
      <w:r w:rsidR="00D35133">
        <w:t>risks from pluvial and fluvial flooding</w:t>
      </w:r>
      <w:r w:rsidRPr="001764FA">
        <w:t xml:space="preserve">; </w:t>
      </w:r>
    </w:p>
    <w:p w14:paraId="2311D741" w14:textId="7E7DD938" w:rsidR="00310447" w:rsidRDefault="00A102F2" w:rsidP="008928B6">
      <w:pPr>
        <w:pStyle w:val="BulletPoint1"/>
      </w:pPr>
      <w:r>
        <w:t>S</w:t>
      </w:r>
      <w:r w:rsidRPr="00A102F2">
        <w:t>ustainable drainage systems (</w:t>
      </w:r>
      <w:r w:rsidR="00310447" w:rsidRPr="001764FA">
        <w:t>SuDS</w:t>
      </w:r>
      <w:r w:rsidRPr="00A102F2">
        <w:t>)</w:t>
      </w:r>
      <w:r w:rsidR="00310447" w:rsidRPr="001764FA">
        <w:t xml:space="preserve"> measures will be implemented across the development </w:t>
      </w:r>
      <w:r w:rsidR="00B347AA" w:rsidRPr="001764FA">
        <w:t xml:space="preserve">as part of the drainage </w:t>
      </w:r>
      <w:r w:rsidR="0006675B" w:rsidRPr="001764FA">
        <w:t>strategy</w:t>
      </w:r>
      <w:r w:rsidR="00D35133">
        <w:t xml:space="preserve"> as a sustainable </w:t>
      </w:r>
      <w:r w:rsidR="002E1F95">
        <w:t>adaptation measure to reduce</w:t>
      </w:r>
      <w:r w:rsidR="00D35133">
        <w:t xml:space="preserve"> flood risk</w:t>
      </w:r>
      <w:r w:rsidR="00EC6EBE">
        <w:t>;</w:t>
      </w:r>
      <w:r w:rsidR="00310447" w:rsidRPr="001764FA">
        <w:t xml:space="preserve"> </w:t>
      </w:r>
    </w:p>
    <w:p w14:paraId="181FE388" w14:textId="4686BA18" w:rsidR="00F73133" w:rsidRDefault="008732CF" w:rsidP="008928B6">
      <w:pPr>
        <w:pStyle w:val="BulletPoint1"/>
      </w:pPr>
      <w:r>
        <w:t xml:space="preserve">An </w:t>
      </w:r>
      <w:r w:rsidR="00F73133">
        <w:t>FRA</w:t>
      </w:r>
      <w:r>
        <w:t xml:space="preserve"> </w:t>
      </w:r>
      <w:r w:rsidR="00F73133">
        <w:t>has been completed to inform a suitable surface water drainage strategy</w:t>
      </w:r>
      <w:r w:rsidR="008A5E40">
        <w:t>, with a</w:t>
      </w:r>
      <w:r w:rsidR="00E83CEF">
        <w:t xml:space="preserve"> drainage network designed to accommodate a 1 in 100-year rainfall event</w:t>
      </w:r>
      <w:r w:rsidR="00F6457E">
        <w:t>, plus a 20% climate change allowance</w:t>
      </w:r>
      <w:r>
        <w:t>;</w:t>
      </w:r>
    </w:p>
    <w:p w14:paraId="493C8423" w14:textId="78092245" w:rsidR="00321DE0" w:rsidRPr="001764FA" w:rsidRDefault="00321DE0" w:rsidP="008928B6">
      <w:pPr>
        <w:pStyle w:val="BulletPoint1"/>
      </w:pPr>
      <w:r w:rsidRPr="00686FE1">
        <w:t xml:space="preserve">The </w:t>
      </w:r>
      <w:r w:rsidR="008732CF">
        <w:t>P</w:t>
      </w:r>
      <w:r w:rsidRPr="00686FE1">
        <w:t xml:space="preserve">roposed </w:t>
      </w:r>
      <w:r w:rsidR="008732CF">
        <w:t>D</w:t>
      </w:r>
      <w:r w:rsidRPr="00686FE1">
        <w:t>evelopment has been designed in line with the</w:t>
      </w:r>
      <w:r>
        <w:t xml:space="preserve"> South Dublin County Development Plan</w:t>
      </w:r>
      <w:r w:rsidR="00F37B39">
        <w:t xml:space="preserve"> (SDCC, 2022)</w:t>
      </w:r>
      <w:r>
        <w:t xml:space="preserve"> </w:t>
      </w:r>
      <w:r w:rsidRPr="00686FE1">
        <w:t xml:space="preserve">and </w:t>
      </w:r>
      <w:r w:rsidR="008732CF">
        <w:t>t</w:t>
      </w:r>
      <w:r w:rsidRPr="00686FE1">
        <w:t xml:space="preserve">he Planning System &amp; Flood Risk Management Guidelines </w:t>
      </w:r>
      <w:r w:rsidR="00E73D99">
        <w:t>(Government of Ireland, 2019)</w:t>
      </w:r>
      <w:r w:rsidRPr="00686FE1">
        <w:t xml:space="preserve"> core objectives and policies</w:t>
      </w:r>
      <w:r>
        <w:t>, to promote urban design benefits</w:t>
      </w:r>
      <w:r w:rsidR="008732CF">
        <w:t>;</w:t>
      </w:r>
      <w:r w:rsidRPr="00686FE1">
        <w:t xml:space="preserve">  </w:t>
      </w:r>
    </w:p>
    <w:p w14:paraId="1712235F" w14:textId="3D12CDA3" w:rsidR="00310447" w:rsidRPr="001764FA" w:rsidRDefault="00310447" w:rsidP="008928B6">
      <w:pPr>
        <w:pStyle w:val="BulletPoint1"/>
      </w:pPr>
      <w:r w:rsidRPr="001764FA">
        <w:t>Native and some (relatively) drought tolerant plant species are included in the planting palette. Irrigation will be required during plant establishment and then kept as a back-up to be used during prolonged hot and dry periods in the long-term</w:t>
      </w:r>
      <w:r w:rsidR="00EC6EBE">
        <w:t>;</w:t>
      </w:r>
      <w:r w:rsidRPr="001764FA">
        <w:t xml:space="preserve"> </w:t>
      </w:r>
    </w:p>
    <w:p w14:paraId="069F2CE1" w14:textId="7945257D" w:rsidR="0097786E" w:rsidRPr="009E1BAF" w:rsidRDefault="0097786E" w:rsidP="008928B6">
      <w:pPr>
        <w:pStyle w:val="BulletPoint1"/>
      </w:pPr>
      <w:r w:rsidRPr="009E1BAF">
        <w:t>Buildings and structures will be built in line with the design standard</w:t>
      </w:r>
      <w:r w:rsidR="008A7FD5" w:rsidRPr="009E1BAF">
        <w:t>, such as Eurocode EN 1991-1-4,</w:t>
      </w:r>
      <w:r w:rsidRPr="009E1BAF">
        <w:t xml:space="preserve"> for wind loading</w:t>
      </w:r>
      <w:r w:rsidR="00EC6EBE" w:rsidRPr="009E1BAF">
        <w:t xml:space="preserve">; </w:t>
      </w:r>
    </w:p>
    <w:p w14:paraId="5A611080" w14:textId="0CAA38F8" w:rsidR="00583FA2" w:rsidRDefault="0097786E" w:rsidP="008928B6">
      <w:pPr>
        <w:pStyle w:val="BulletPoint1"/>
      </w:pPr>
      <w:r w:rsidRPr="001764FA">
        <w:t>Building layouts and designs will consider ways to maximise daylight and natural ventilation</w:t>
      </w:r>
      <w:r w:rsidR="00F25F00">
        <w:t>, reducing impacts from extreme heat</w:t>
      </w:r>
      <w:r w:rsidR="00583FA2">
        <w:t>;</w:t>
      </w:r>
    </w:p>
    <w:p w14:paraId="39CE87FD" w14:textId="0A31FB48" w:rsidR="004745EA" w:rsidRDefault="0079300F" w:rsidP="00F425BB">
      <w:pPr>
        <w:pStyle w:val="Heading2"/>
      </w:pPr>
      <w:bookmarkStart w:id="125" w:name="_Toc239776197"/>
      <w:r>
        <w:t>Potential Impacts</w:t>
      </w:r>
      <w:bookmarkEnd w:id="125"/>
    </w:p>
    <w:p w14:paraId="3DEBB37D" w14:textId="77777777" w:rsidR="00E0009C" w:rsidRDefault="00E0009C" w:rsidP="00E0009C">
      <w:pPr>
        <w:pStyle w:val="Heading3"/>
      </w:pPr>
      <w:bookmarkStart w:id="126" w:name="_Ref232502167"/>
      <w:bookmarkStart w:id="127" w:name="_Ref232596325"/>
      <w:bookmarkStart w:id="128" w:name="_Toc239776198"/>
      <w:r w:rsidRPr="00E0009C">
        <w:t>Lifecycle GHG Assessment</w:t>
      </w:r>
      <w:bookmarkEnd w:id="126"/>
      <w:bookmarkEnd w:id="127"/>
      <w:bookmarkEnd w:id="128"/>
    </w:p>
    <w:p w14:paraId="300DF9A1" w14:textId="37385315" w:rsidR="00F432FA" w:rsidRPr="008928B6" w:rsidRDefault="00F432FA" w:rsidP="00F432FA">
      <w:pPr>
        <w:pStyle w:val="BodyText"/>
        <w:rPr>
          <w:color w:val="000000" w:themeColor="text1"/>
          <w:lang w:val="en-IE"/>
        </w:rPr>
      </w:pPr>
      <w:r w:rsidRPr="00A7414A">
        <w:t xml:space="preserve">Emissions from the construction </w:t>
      </w:r>
      <w:r w:rsidR="003010FC">
        <w:t>and opera</w:t>
      </w:r>
      <w:r w:rsidR="00F903C5">
        <w:t>t</w:t>
      </w:r>
      <w:r w:rsidR="003010FC">
        <w:t>ion</w:t>
      </w:r>
      <w:r w:rsidR="003010FC" w:rsidRPr="00A7414A">
        <w:t xml:space="preserve"> </w:t>
      </w:r>
      <w:r w:rsidRPr="00A7414A">
        <w:t xml:space="preserve">of the Proposed Development </w:t>
      </w:r>
      <w:r w:rsidR="00265370">
        <w:t xml:space="preserve">have been </w:t>
      </w:r>
      <w:r w:rsidRPr="00A7414A">
        <w:t xml:space="preserve">broken down by activity and </w:t>
      </w:r>
      <w:r w:rsidR="00265370">
        <w:t xml:space="preserve">are </w:t>
      </w:r>
      <w:r w:rsidRPr="00A7414A">
        <w:t xml:space="preserve">shown </w:t>
      </w:r>
      <w:r w:rsidRPr="008928B6">
        <w:rPr>
          <w:color w:val="000000" w:themeColor="text1"/>
          <w:lang w:val="en-IE"/>
        </w:rPr>
        <w:t xml:space="preserve">in </w:t>
      </w:r>
      <w:r w:rsidR="00DD5E3F" w:rsidRPr="008928B6">
        <w:rPr>
          <w:color w:val="000000" w:themeColor="text1"/>
          <w:lang w:val="en-IE"/>
        </w:rPr>
        <w:fldChar w:fldCharType="begin"/>
      </w:r>
      <w:r w:rsidR="00DD5E3F" w:rsidRPr="008928B6">
        <w:rPr>
          <w:color w:val="000000" w:themeColor="text1"/>
          <w:lang w:val="en-IE"/>
        </w:rPr>
        <w:instrText xml:space="preserve"> REF _Ref214371481 \h </w:instrText>
      </w:r>
      <w:r w:rsidR="0044463C" w:rsidRPr="008928B6">
        <w:rPr>
          <w:color w:val="000000" w:themeColor="text1"/>
          <w:lang w:val="en-IE"/>
        </w:rPr>
        <w:instrText xml:space="preserve"> \* MERGEFORMAT </w:instrText>
      </w:r>
      <w:r w:rsidR="00DD5E3F" w:rsidRPr="00511353">
        <w:rPr>
          <w:color w:val="000000" w:themeColor="text1"/>
          <w:lang w:val="en-IE"/>
        </w:rPr>
      </w:r>
      <w:r w:rsidR="00DD5E3F" w:rsidRPr="008928B6">
        <w:rPr>
          <w:color w:val="000000" w:themeColor="text1"/>
          <w:lang w:val="en-IE"/>
        </w:rPr>
        <w:fldChar w:fldCharType="separate"/>
      </w:r>
      <w:r w:rsidR="00D83C6F" w:rsidRPr="005049F3">
        <w:rPr>
          <w:color w:val="000000" w:themeColor="text1"/>
          <w:lang w:val="en-IE"/>
        </w:rPr>
        <w:t>Table 10</w:t>
      </w:r>
      <w:r w:rsidR="00D83C6F" w:rsidRPr="005049F3">
        <w:rPr>
          <w:color w:val="000000" w:themeColor="text1"/>
          <w:lang w:val="en-IE"/>
        </w:rPr>
        <w:noBreakHyphen/>
        <w:t>15</w:t>
      </w:r>
      <w:r w:rsidR="00DD5E3F" w:rsidRPr="008928B6">
        <w:rPr>
          <w:color w:val="000000" w:themeColor="text1"/>
          <w:lang w:val="en-IE"/>
        </w:rPr>
        <w:fldChar w:fldCharType="end"/>
      </w:r>
      <w:r w:rsidRPr="008928B6">
        <w:rPr>
          <w:color w:val="000000" w:themeColor="text1"/>
          <w:lang w:val="en-IE"/>
        </w:rPr>
        <w:t>.</w:t>
      </w:r>
    </w:p>
    <w:p w14:paraId="232E5062" w14:textId="2171A91A" w:rsidR="00F432FA" w:rsidRPr="0075392C" w:rsidRDefault="00F432FA" w:rsidP="00181882">
      <w:pPr>
        <w:pStyle w:val="Caption"/>
      </w:pPr>
      <w:bookmarkStart w:id="129" w:name="_Ref214371481"/>
      <w:bookmarkStart w:id="130" w:name="_Ref214375367"/>
      <w:bookmarkStart w:id="131" w:name="_Toc216107540"/>
      <w:bookmarkStart w:id="132" w:name="_Toc238199690"/>
      <w:r w:rsidRPr="0075392C">
        <w:t xml:space="preserve">Table </w:t>
      </w:r>
      <w:r>
        <w:fldChar w:fldCharType="begin"/>
      </w:r>
      <w:r>
        <w:instrText>STYLEREF 1 \s</w:instrText>
      </w:r>
      <w:r>
        <w:fldChar w:fldCharType="separate"/>
      </w:r>
      <w:r w:rsidR="00D83C6F">
        <w:rPr>
          <w:noProof/>
        </w:rPr>
        <w:t>10</w:t>
      </w:r>
      <w:r>
        <w:fldChar w:fldCharType="end"/>
      </w:r>
      <w:r w:rsidR="00BE5583" w:rsidRPr="0075392C">
        <w:noBreakHyphen/>
      </w:r>
      <w:r>
        <w:fldChar w:fldCharType="begin"/>
      </w:r>
      <w:r>
        <w:instrText>SEQ Table \* ARABIC \s 1</w:instrText>
      </w:r>
      <w:r>
        <w:fldChar w:fldCharType="separate"/>
      </w:r>
      <w:r w:rsidR="00D83C6F">
        <w:rPr>
          <w:noProof/>
        </w:rPr>
        <w:t>15</w:t>
      </w:r>
      <w:r>
        <w:fldChar w:fldCharType="end"/>
      </w:r>
      <w:bookmarkEnd w:id="129"/>
      <w:r w:rsidR="00361852">
        <w:t>:</w:t>
      </w:r>
      <w:r w:rsidRPr="0075392C">
        <w:t xml:space="preserve"> Project Lifecycle GHG Emissions</w:t>
      </w:r>
      <w:bookmarkEnd w:id="130"/>
      <w:bookmarkEnd w:id="131"/>
      <w:bookmarkEnd w:id="132"/>
      <w:r w:rsidRPr="0075392C">
        <w:t xml:space="preserve"> </w:t>
      </w:r>
    </w:p>
    <w:tbl>
      <w:tblPr>
        <w:tblStyle w:val="AECOMtable"/>
        <w:tblW w:w="5001" w:type="pct"/>
        <w:tblInd w:w="-1" w:type="dxa"/>
        <w:tblLayout w:type="fixed"/>
        <w:tblCellMar>
          <w:right w:w="108" w:type="dxa"/>
        </w:tblCellMar>
        <w:tblLook w:val="04A0" w:firstRow="1" w:lastRow="0" w:firstColumn="1" w:lastColumn="0" w:noHBand="0" w:noVBand="1"/>
      </w:tblPr>
      <w:tblGrid>
        <w:gridCol w:w="3674"/>
        <w:gridCol w:w="2563"/>
        <w:gridCol w:w="3119"/>
      </w:tblGrid>
      <w:tr w:rsidR="00F432FA" w:rsidRPr="00F432FA" w14:paraId="4B0C8AE1" w14:textId="77777777" w:rsidTr="00EF3FD3">
        <w:trPr>
          <w:cnfStyle w:val="100000000000" w:firstRow="1" w:lastRow="0" w:firstColumn="0" w:lastColumn="0" w:oddVBand="0" w:evenVBand="0" w:oddHBand="0" w:evenHBand="0" w:firstRowFirstColumn="0" w:firstRowLastColumn="0" w:lastRowFirstColumn="0" w:lastRowLastColumn="0"/>
          <w:trHeight w:val="318"/>
          <w:tblHeader/>
        </w:trPr>
        <w:tc>
          <w:tcPr>
            <w:tcW w:w="3674" w:type="dxa"/>
          </w:tcPr>
          <w:p w14:paraId="42CE9099" w14:textId="77777777" w:rsidR="00F432FA" w:rsidRPr="0075392C" w:rsidRDefault="00F432FA">
            <w:pPr>
              <w:pStyle w:val="Tabletext"/>
              <w:jc w:val="left"/>
            </w:pPr>
            <w:r w:rsidRPr="0075392C">
              <w:t xml:space="preserve">Lifecycle Stage </w:t>
            </w:r>
          </w:p>
        </w:tc>
        <w:tc>
          <w:tcPr>
            <w:tcW w:w="2563" w:type="dxa"/>
          </w:tcPr>
          <w:p w14:paraId="098E24FD" w14:textId="77777777" w:rsidR="00F432FA" w:rsidRPr="0075392C" w:rsidRDefault="00F432FA">
            <w:pPr>
              <w:pStyle w:val="Tabletext"/>
              <w:jc w:val="center"/>
            </w:pPr>
            <w:r w:rsidRPr="0075392C">
              <w:t>GHG Emissions (tCO</w:t>
            </w:r>
            <w:r w:rsidRPr="0075392C">
              <w:rPr>
                <w:vertAlign w:val="subscript"/>
              </w:rPr>
              <w:t>2</w:t>
            </w:r>
            <w:r w:rsidRPr="0075392C">
              <w:t>e)</w:t>
            </w:r>
          </w:p>
        </w:tc>
        <w:tc>
          <w:tcPr>
            <w:tcW w:w="3119" w:type="dxa"/>
          </w:tcPr>
          <w:p w14:paraId="2D2DA480" w14:textId="77777777" w:rsidR="00F432FA" w:rsidRPr="0075392C" w:rsidRDefault="00F432FA">
            <w:pPr>
              <w:pStyle w:val="Tabletext"/>
              <w:jc w:val="center"/>
            </w:pPr>
            <w:r w:rsidRPr="0075392C">
              <w:t>Proportion of GHG Emissions</w:t>
            </w:r>
          </w:p>
        </w:tc>
      </w:tr>
      <w:tr w:rsidR="00F432FA" w:rsidRPr="00F432FA" w14:paraId="4E82EDC0" w14:textId="77777777" w:rsidTr="00EF3FD3">
        <w:trPr>
          <w:trHeight w:val="245"/>
        </w:trPr>
        <w:tc>
          <w:tcPr>
            <w:tcW w:w="3674" w:type="dxa"/>
            <w:tcBorders>
              <w:top w:val="single" w:sz="12" w:space="0" w:color="008768" w:themeColor="accent1"/>
              <w:bottom w:val="single" w:sz="4" w:space="0" w:color="auto"/>
            </w:tcBorders>
          </w:tcPr>
          <w:p w14:paraId="3B38C569" w14:textId="06D81025" w:rsidR="00F432FA" w:rsidRPr="0075392C" w:rsidRDefault="0075392C">
            <w:pPr>
              <w:pStyle w:val="Tabletext"/>
              <w:keepNext/>
              <w:jc w:val="left"/>
            </w:pPr>
            <w:r w:rsidRPr="0075392C">
              <w:t>Construction</w:t>
            </w:r>
            <w:r w:rsidR="00F432FA" w:rsidRPr="0075392C">
              <w:t xml:space="preserve"> </w:t>
            </w:r>
            <w:r w:rsidR="00265370">
              <w:t>s</w:t>
            </w:r>
            <w:r w:rsidR="00F432FA" w:rsidRPr="0075392C">
              <w:t>tage (A1-</w:t>
            </w:r>
            <w:r w:rsidRPr="0075392C">
              <w:t>5</w:t>
            </w:r>
            <w:r w:rsidR="00F432FA" w:rsidRPr="0075392C">
              <w:t xml:space="preserve">) </w:t>
            </w:r>
          </w:p>
        </w:tc>
        <w:tc>
          <w:tcPr>
            <w:tcW w:w="2563" w:type="dxa"/>
            <w:tcBorders>
              <w:top w:val="single" w:sz="12" w:space="0" w:color="008768" w:themeColor="accent1"/>
              <w:bottom w:val="single" w:sz="4" w:space="0" w:color="auto"/>
            </w:tcBorders>
            <w:vAlign w:val="center"/>
          </w:tcPr>
          <w:p w14:paraId="0BFA27A9" w14:textId="3DFCD599" w:rsidR="00F432FA" w:rsidRPr="0075392C" w:rsidRDefault="009E088A">
            <w:pPr>
              <w:pStyle w:val="Tabletext"/>
              <w:keepNext/>
              <w:keepLines/>
              <w:jc w:val="center"/>
            </w:pPr>
            <w:r>
              <w:t>5,</w:t>
            </w:r>
            <w:r w:rsidR="00361303">
              <w:t>804</w:t>
            </w:r>
          </w:p>
        </w:tc>
        <w:tc>
          <w:tcPr>
            <w:tcW w:w="3119" w:type="dxa"/>
            <w:tcBorders>
              <w:top w:val="single" w:sz="12" w:space="0" w:color="008768" w:themeColor="accent1"/>
              <w:bottom w:val="single" w:sz="4" w:space="0" w:color="auto"/>
            </w:tcBorders>
            <w:vAlign w:val="center"/>
          </w:tcPr>
          <w:p w14:paraId="16D0420F" w14:textId="279B1192" w:rsidR="00F432FA" w:rsidRPr="0075392C" w:rsidRDefault="000D2C51">
            <w:pPr>
              <w:pStyle w:val="Tabletext"/>
              <w:keepNext/>
              <w:keepLines/>
              <w:jc w:val="center"/>
            </w:pPr>
            <w:r>
              <w:t>28</w:t>
            </w:r>
            <w:r w:rsidR="0075392C" w:rsidRPr="0075392C">
              <w:t>%</w:t>
            </w:r>
          </w:p>
        </w:tc>
      </w:tr>
      <w:tr w:rsidR="00F432FA" w:rsidRPr="00F432FA" w14:paraId="1A03754E" w14:textId="77777777" w:rsidTr="00EF3FD3">
        <w:trPr>
          <w:trHeight w:val="245"/>
        </w:trPr>
        <w:tc>
          <w:tcPr>
            <w:tcW w:w="3674" w:type="dxa"/>
            <w:tcBorders>
              <w:top w:val="single" w:sz="4" w:space="0" w:color="auto"/>
              <w:bottom w:val="single" w:sz="4" w:space="0" w:color="auto"/>
            </w:tcBorders>
          </w:tcPr>
          <w:p w14:paraId="7365D5D4" w14:textId="420B4ADB" w:rsidR="00F432FA" w:rsidRPr="00401451" w:rsidRDefault="00F432FA">
            <w:pPr>
              <w:pStyle w:val="Tabletext"/>
              <w:keepNext/>
              <w:jc w:val="left"/>
            </w:pPr>
            <w:r w:rsidRPr="00401451">
              <w:t xml:space="preserve">Maintenance and </w:t>
            </w:r>
            <w:r w:rsidR="00265370">
              <w:t>r</w:t>
            </w:r>
            <w:r w:rsidRPr="00401451">
              <w:t xml:space="preserve">epair (including </w:t>
            </w:r>
            <w:r w:rsidR="00265370">
              <w:t>w</w:t>
            </w:r>
            <w:r w:rsidRPr="00401451">
              <w:t xml:space="preserve">aste, </w:t>
            </w:r>
            <w:r w:rsidR="00265370">
              <w:t>t</w:t>
            </w:r>
            <w:r w:rsidRPr="00401451">
              <w:t xml:space="preserve">ransport, </w:t>
            </w:r>
            <w:r w:rsidR="00265370">
              <w:t>c</w:t>
            </w:r>
            <w:r w:rsidRPr="00401451">
              <w:t>ommuting) (B2-5)</w:t>
            </w:r>
          </w:p>
        </w:tc>
        <w:tc>
          <w:tcPr>
            <w:tcW w:w="2563" w:type="dxa"/>
            <w:tcBorders>
              <w:top w:val="single" w:sz="4" w:space="0" w:color="auto"/>
              <w:bottom w:val="single" w:sz="4" w:space="0" w:color="auto"/>
            </w:tcBorders>
            <w:vAlign w:val="center"/>
          </w:tcPr>
          <w:p w14:paraId="24C9197B" w14:textId="02FDD05B" w:rsidR="00F432FA" w:rsidRPr="00401451" w:rsidRDefault="00EF3FD3">
            <w:pPr>
              <w:pStyle w:val="Tabletext"/>
              <w:keepNext/>
              <w:keepLines/>
              <w:jc w:val="center"/>
            </w:pPr>
            <w:r w:rsidRPr="00401451">
              <w:t>2,</w:t>
            </w:r>
            <w:r w:rsidR="00420F6F">
              <w:t>308</w:t>
            </w:r>
          </w:p>
        </w:tc>
        <w:tc>
          <w:tcPr>
            <w:tcW w:w="3119" w:type="dxa"/>
            <w:tcBorders>
              <w:top w:val="single" w:sz="4" w:space="0" w:color="auto"/>
              <w:bottom w:val="single" w:sz="4" w:space="0" w:color="auto"/>
            </w:tcBorders>
            <w:vAlign w:val="center"/>
          </w:tcPr>
          <w:p w14:paraId="51E35A13" w14:textId="5E2EDD04" w:rsidR="00F432FA" w:rsidRPr="00401451" w:rsidRDefault="00B820C8">
            <w:pPr>
              <w:pStyle w:val="Tabletext"/>
              <w:keepNext/>
              <w:keepLines/>
              <w:jc w:val="center"/>
            </w:pPr>
            <w:r>
              <w:t>1</w:t>
            </w:r>
            <w:r w:rsidR="00BA4E7A">
              <w:t>1</w:t>
            </w:r>
            <w:r w:rsidR="00401451" w:rsidRPr="00401451">
              <w:t>%</w:t>
            </w:r>
          </w:p>
        </w:tc>
      </w:tr>
      <w:tr w:rsidR="00F432FA" w:rsidRPr="00F432FA" w14:paraId="3A3BEC5D" w14:textId="77777777" w:rsidTr="00EF3FD3">
        <w:trPr>
          <w:trHeight w:val="245"/>
        </w:trPr>
        <w:tc>
          <w:tcPr>
            <w:tcW w:w="3674" w:type="dxa"/>
            <w:tcBorders>
              <w:top w:val="single" w:sz="4" w:space="0" w:color="auto"/>
              <w:bottom w:val="single" w:sz="4" w:space="0" w:color="auto"/>
            </w:tcBorders>
          </w:tcPr>
          <w:p w14:paraId="11B7E21E" w14:textId="28ED6FB8" w:rsidR="00F432FA" w:rsidRPr="00DB480F" w:rsidRDefault="00F432FA">
            <w:pPr>
              <w:pStyle w:val="Tabletext"/>
              <w:keepNext/>
              <w:jc w:val="left"/>
            </w:pPr>
            <w:r w:rsidRPr="00DB480F">
              <w:t xml:space="preserve">Operational </w:t>
            </w:r>
            <w:r w:rsidR="00265370">
              <w:t>e</w:t>
            </w:r>
            <w:r w:rsidRPr="00DB480F">
              <w:t xml:space="preserve">nergy </w:t>
            </w:r>
            <w:r w:rsidR="00265370">
              <w:t>u</w:t>
            </w:r>
            <w:r w:rsidRPr="00DB480F">
              <w:t xml:space="preserve">se (B7) </w:t>
            </w:r>
          </w:p>
        </w:tc>
        <w:tc>
          <w:tcPr>
            <w:tcW w:w="2563" w:type="dxa"/>
            <w:tcBorders>
              <w:top w:val="single" w:sz="4" w:space="0" w:color="auto"/>
              <w:bottom w:val="single" w:sz="4" w:space="0" w:color="auto"/>
            </w:tcBorders>
            <w:vAlign w:val="center"/>
          </w:tcPr>
          <w:p w14:paraId="566A55E4" w14:textId="165D5193" w:rsidR="00F432FA" w:rsidRPr="00DB480F" w:rsidRDefault="00401451">
            <w:pPr>
              <w:pStyle w:val="Tabletext"/>
              <w:keepNext/>
              <w:keepLines/>
              <w:jc w:val="center"/>
            </w:pPr>
            <w:r w:rsidRPr="00DB480F">
              <w:t>4,706</w:t>
            </w:r>
          </w:p>
        </w:tc>
        <w:tc>
          <w:tcPr>
            <w:tcW w:w="3119" w:type="dxa"/>
            <w:tcBorders>
              <w:top w:val="single" w:sz="4" w:space="0" w:color="auto"/>
              <w:bottom w:val="single" w:sz="4" w:space="0" w:color="auto"/>
            </w:tcBorders>
            <w:vAlign w:val="center"/>
          </w:tcPr>
          <w:p w14:paraId="486DE01F" w14:textId="46E1D7DE" w:rsidR="00F432FA" w:rsidRPr="00DB480F" w:rsidRDefault="00B820C8">
            <w:pPr>
              <w:pStyle w:val="Tabletext"/>
              <w:keepNext/>
              <w:keepLines/>
              <w:jc w:val="center"/>
            </w:pPr>
            <w:r>
              <w:t>2</w:t>
            </w:r>
            <w:r w:rsidR="00B52D8D">
              <w:t>3</w:t>
            </w:r>
            <w:r w:rsidR="00F432FA" w:rsidRPr="00DB480F">
              <w:t>%</w:t>
            </w:r>
          </w:p>
        </w:tc>
      </w:tr>
      <w:tr w:rsidR="00F432FA" w:rsidRPr="00F432FA" w14:paraId="376DD150" w14:textId="77777777" w:rsidTr="00EF3FD3">
        <w:trPr>
          <w:trHeight w:val="245"/>
        </w:trPr>
        <w:tc>
          <w:tcPr>
            <w:tcW w:w="3674" w:type="dxa"/>
            <w:tcBorders>
              <w:top w:val="single" w:sz="4" w:space="0" w:color="auto"/>
              <w:bottom w:val="single" w:sz="4" w:space="0" w:color="auto"/>
            </w:tcBorders>
          </w:tcPr>
          <w:p w14:paraId="27E7833A" w14:textId="37E3B292" w:rsidR="00F432FA" w:rsidRPr="00832E1E" w:rsidRDefault="00F432FA">
            <w:pPr>
              <w:pStyle w:val="Tabletext"/>
              <w:keepNext/>
              <w:jc w:val="left"/>
            </w:pPr>
            <w:r w:rsidRPr="00832E1E">
              <w:t xml:space="preserve">User’s </w:t>
            </w:r>
            <w:r w:rsidR="00265370">
              <w:t>u</w:t>
            </w:r>
            <w:r w:rsidRPr="00832E1E">
              <w:t>tilisation (B8)</w:t>
            </w:r>
          </w:p>
        </w:tc>
        <w:tc>
          <w:tcPr>
            <w:tcW w:w="2563" w:type="dxa"/>
            <w:tcBorders>
              <w:top w:val="single" w:sz="4" w:space="0" w:color="auto"/>
              <w:bottom w:val="single" w:sz="4" w:space="0" w:color="auto"/>
            </w:tcBorders>
            <w:vAlign w:val="center"/>
          </w:tcPr>
          <w:p w14:paraId="77A220EF" w14:textId="66AA7333" w:rsidR="00F432FA" w:rsidRPr="00832E1E" w:rsidRDefault="00ED7E40">
            <w:pPr>
              <w:pStyle w:val="Tabletext"/>
              <w:keepNext/>
              <w:keepLines/>
              <w:jc w:val="center"/>
            </w:pPr>
            <w:r>
              <w:t>7</w:t>
            </w:r>
            <w:r w:rsidR="00832E1E" w:rsidRPr="00832E1E">
              <w:t>,</w:t>
            </w:r>
            <w:r>
              <w:t>604</w:t>
            </w:r>
          </w:p>
        </w:tc>
        <w:tc>
          <w:tcPr>
            <w:tcW w:w="3119" w:type="dxa"/>
            <w:tcBorders>
              <w:top w:val="single" w:sz="4" w:space="0" w:color="auto"/>
              <w:bottom w:val="single" w:sz="4" w:space="0" w:color="auto"/>
            </w:tcBorders>
            <w:vAlign w:val="center"/>
          </w:tcPr>
          <w:p w14:paraId="21D65B00" w14:textId="61234254" w:rsidR="00F432FA" w:rsidRPr="00832E1E" w:rsidRDefault="00B820C8">
            <w:pPr>
              <w:pStyle w:val="Tabletext"/>
              <w:keepNext/>
              <w:keepLines/>
              <w:jc w:val="center"/>
            </w:pPr>
            <w:r>
              <w:t>3</w:t>
            </w:r>
            <w:r w:rsidR="000D2C51">
              <w:t>8</w:t>
            </w:r>
            <w:r w:rsidR="00F432FA" w:rsidRPr="00832E1E">
              <w:t>%</w:t>
            </w:r>
          </w:p>
        </w:tc>
      </w:tr>
      <w:tr w:rsidR="00F432FA" w:rsidRPr="00CE4840" w14:paraId="26D5BD5D" w14:textId="77777777" w:rsidTr="00EF3FD3">
        <w:trPr>
          <w:trHeight w:val="245"/>
        </w:trPr>
        <w:tc>
          <w:tcPr>
            <w:tcW w:w="3674" w:type="dxa"/>
            <w:tcBorders>
              <w:top w:val="single" w:sz="4" w:space="0" w:color="auto"/>
              <w:bottom w:val="single" w:sz="4" w:space="0" w:color="auto"/>
            </w:tcBorders>
          </w:tcPr>
          <w:p w14:paraId="0B03BA64" w14:textId="77777777" w:rsidR="00F432FA" w:rsidRPr="00832E1E" w:rsidRDefault="00F432FA">
            <w:pPr>
              <w:pStyle w:val="Tabletext"/>
              <w:keepNext/>
              <w:jc w:val="left"/>
              <w:rPr>
                <w:b/>
                <w:bCs/>
              </w:rPr>
            </w:pPr>
            <w:r w:rsidRPr="00832E1E">
              <w:rPr>
                <w:b/>
                <w:bCs/>
              </w:rPr>
              <w:t xml:space="preserve">Total Emissions </w:t>
            </w:r>
          </w:p>
        </w:tc>
        <w:tc>
          <w:tcPr>
            <w:tcW w:w="2563" w:type="dxa"/>
            <w:tcBorders>
              <w:top w:val="single" w:sz="4" w:space="0" w:color="auto"/>
              <w:bottom w:val="single" w:sz="4" w:space="0" w:color="auto"/>
            </w:tcBorders>
            <w:vAlign w:val="center"/>
          </w:tcPr>
          <w:p w14:paraId="29123704" w14:textId="45A5C81E" w:rsidR="00F432FA" w:rsidRPr="00832E1E" w:rsidRDefault="00BE6F3B">
            <w:pPr>
              <w:pStyle w:val="Tabletext"/>
              <w:keepNext/>
              <w:keepLines/>
              <w:jc w:val="center"/>
              <w:rPr>
                <w:b/>
                <w:bCs/>
              </w:rPr>
            </w:pPr>
            <w:r>
              <w:rPr>
                <w:b/>
                <w:bCs/>
              </w:rPr>
              <w:t>2</w:t>
            </w:r>
            <w:r w:rsidR="009E088A">
              <w:rPr>
                <w:b/>
                <w:bCs/>
              </w:rPr>
              <w:t>0</w:t>
            </w:r>
            <w:r>
              <w:rPr>
                <w:b/>
                <w:bCs/>
              </w:rPr>
              <w:t>,</w:t>
            </w:r>
            <w:r w:rsidR="00420F6F">
              <w:rPr>
                <w:b/>
                <w:bCs/>
              </w:rPr>
              <w:t>422</w:t>
            </w:r>
          </w:p>
        </w:tc>
        <w:tc>
          <w:tcPr>
            <w:tcW w:w="3119" w:type="dxa"/>
            <w:tcBorders>
              <w:top w:val="single" w:sz="4" w:space="0" w:color="auto"/>
              <w:bottom w:val="single" w:sz="4" w:space="0" w:color="auto"/>
            </w:tcBorders>
            <w:vAlign w:val="center"/>
          </w:tcPr>
          <w:p w14:paraId="3AD56022" w14:textId="77777777" w:rsidR="00F432FA" w:rsidRPr="00832E1E" w:rsidRDefault="00F432FA">
            <w:pPr>
              <w:pStyle w:val="Tabletext"/>
              <w:keepNext/>
              <w:keepLines/>
              <w:jc w:val="center"/>
              <w:rPr>
                <w:b/>
                <w:bCs/>
              </w:rPr>
            </w:pPr>
          </w:p>
        </w:tc>
      </w:tr>
    </w:tbl>
    <w:p w14:paraId="49D6BE1E" w14:textId="77777777" w:rsidR="00F432FA" w:rsidRDefault="00F432FA" w:rsidP="00F432FA">
      <w:pPr>
        <w:pStyle w:val="BodyText"/>
      </w:pPr>
    </w:p>
    <w:p w14:paraId="772BD55D" w14:textId="2490817C" w:rsidR="00F23593" w:rsidRDefault="00F23593" w:rsidP="00F23593">
      <w:pPr>
        <w:pStyle w:val="Heading4"/>
      </w:pPr>
      <w:r>
        <w:lastRenderedPageBreak/>
        <w:t>Construction Period</w:t>
      </w:r>
    </w:p>
    <w:p w14:paraId="11D8E99E" w14:textId="05220AB9" w:rsidR="00F506D6" w:rsidRPr="008928B6" w:rsidRDefault="00F506D6" w:rsidP="00F506D6">
      <w:pPr>
        <w:pStyle w:val="BodyText"/>
        <w:rPr>
          <w:color w:val="000000" w:themeColor="text1"/>
          <w:lang w:val="en-IE"/>
        </w:rPr>
      </w:pPr>
      <w:r w:rsidRPr="00A7414A">
        <w:t xml:space="preserve">As discussed in </w:t>
      </w:r>
      <w:r w:rsidR="00743E09" w:rsidRPr="00265370">
        <w:rPr>
          <w:color w:val="000000" w:themeColor="text1"/>
          <w:lang w:val="en-IE"/>
        </w:rPr>
        <w:t>S</w:t>
      </w:r>
      <w:r w:rsidRPr="00265370">
        <w:rPr>
          <w:color w:val="000000" w:themeColor="text1"/>
          <w:lang w:val="en-IE"/>
        </w:rPr>
        <w:t>ection</w:t>
      </w:r>
      <w:r w:rsidR="00AE5D1D" w:rsidRPr="00265370">
        <w:rPr>
          <w:color w:val="000000" w:themeColor="text1"/>
          <w:lang w:val="en-IE"/>
        </w:rPr>
        <w:t xml:space="preserve"> </w:t>
      </w:r>
      <w:r w:rsidR="00AE5D1D" w:rsidRPr="00265370">
        <w:rPr>
          <w:color w:val="000000" w:themeColor="text1"/>
          <w:lang w:val="en-IE"/>
        </w:rPr>
        <w:fldChar w:fldCharType="begin"/>
      </w:r>
      <w:r w:rsidR="00AE5D1D" w:rsidRPr="00A7414A">
        <w:rPr>
          <w:rFonts w:asciiTheme="majorHAnsi" w:hAnsiTheme="majorHAnsi"/>
          <w:b/>
          <w:color w:val="008768" w:themeColor="accent1"/>
        </w:rPr>
        <w:instrText xml:space="preserve"> REF _Ref231376664 \r \h </w:instrText>
      </w:r>
      <w:r w:rsidR="00743E09">
        <w:rPr>
          <w:rFonts w:asciiTheme="majorHAnsi" w:hAnsiTheme="majorHAnsi"/>
          <w:b/>
          <w:color w:val="008768" w:themeColor="accent1"/>
        </w:rPr>
        <w:instrText xml:space="preserve"> \* MERGEFORMAT </w:instrText>
      </w:r>
      <w:r w:rsidR="00AE5D1D" w:rsidRPr="00265370">
        <w:rPr>
          <w:color w:val="000000" w:themeColor="text1"/>
          <w:lang w:val="en-IE"/>
        </w:rPr>
      </w:r>
      <w:r w:rsidR="00AE5D1D" w:rsidRPr="00265370">
        <w:rPr>
          <w:color w:val="000000" w:themeColor="text1"/>
          <w:lang w:val="en-IE"/>
        </w:rPr>
        <w:fldChar w:fldCharType="separate"/>
      </w:r>
      <w:r w:rsidR="00265370">
        <w:rPr>
          <w:color w:val="000000" w:themeColor="text1"/>
          <w:lang w:val="en-IE"/>
        </w:rPr>
        <w:t>10.3.1.</w:t>
      </w:r>
      <w:r w:rsidR="00D83C6F" w:rsidRPr="00265370">
        <w:rPr>
          <w:color w:val="000000" w:themeColor="text1"/>
          <w:lang w:val="en-IE"/>
        </w:rPr>
        <w:t>4</w:t>
      </w:r>
      <w:r w:rsidR="00AE5D1D" w:rsidRPr="00265370">
        <w:rPr>
          <w:color w:val="000000" w:themeColor="text1"/>
          <w:lang w:val="en-IE"/>
        </w:rPr>
        <w:fldChar w:fldCharType="end"/>
      </w:r>
      <w:r w:rsidRPr="008928B6">
        <w:rPr>
          <w:color w:val="000000" w:themeColor="text1"/>
          <w:lang w:val="en-IE"/>
        </w:rPr>
        <w:t xml:space="preserve">, in order to contextualise the construction emissions, Ireland’s Carbon Budgets and Ireland’s Industry Sectoral Emission Ceiling </w:t>
      </w:r>
      <w:r w:rsidR="00F5143D" w:rsidRPr="008928B6">
        <w:rPr>
          <w:color w:val="000000" w:themeColor="text1"/>
          <w:lang w:val="en-IE"/>
        </w:rPr>
        <w:t xml:space="preserve">(Government of Ireland, 2022b) </w:t>
      </w:r>
      <w:r w:rsidRPr="008928B6">
        <w:rPr>
          <w:color w:val="000000" w:themeColor="text1"/>
          <w:lang w:val="en-IE"/>
        </w:rPr>
        <w:t>ha</w:t>
      </w:r>
      <w:r w:rsidR="001870A5" w:rsidRPr="008928B6">
        <w:rPr>
          <w:color w:val="000000" w:themeColor="text1"/>
          <w:lang w:val="en-IE"/>
        </w:rPr>
        <w:t>ve</w:t>
      </w:r>
      <w:r w:rsidRPr="008928B6">
        <w:rPr>
          <w:color w:val="000000" w:themeColor="text1"/>
          <w:lang w:val="en-IE"/>
        </w:rPr>
        <w:t xml:space="preserve"> been used as a proxy to determine the significance of emissions </w:t>
      </w:r>
      <w:r w:rsidR="007C0BF5" w:rsidRPr="008928B6">
        <w:rPr>
          <w:color w:val="000000" w:themeColor="text1"/>
          <w:lang w:val="en-IE"/>
        </w:rPr>
        <w:t>during construction</w:t>
      </w:r>
      <w:r w:rsidRPr="008928B6">
        <w:rPr>
          <w:color w:val="000000" w:themeColor="text1"/>
          <w:lang w:val="en-IE"/>
        </w:rPr>
        <w:t xml:space="preserve"> between 202</w:t>
      </w:r>
      <w:r w:rsidR="000C5EF4">
        <w:rPr>
          <w:color w:val="000000" w:themeColor="text1"/>
          <w:lang w:val="en-IE"/>
        </w:rPr>
        <w:t>7</w:t>
      </w:r>
      <w:r w:rsidRPr="008928B6">
        <w:rPr>
          <w:color w:val="000000" w:themeColor="text1"/>
          <w:lang w:val="en-IE"/>
        </w:rPr>
        <w:t xml:space="preserve"> to 20</w:t>
      </w:r>
      <w:r w:rsidR="007C0BF5" w:rsidRPr="008928B6">
        <w:rPr>
          <w:color w:val="000000" w:themeColor="text1"/>
          <w:lang w:val="en-IE"/>
        </w:rPr>
        <w:t>29</w:t>
      </w:r>
      <w:r w:rsidRPr="008928B6">
        <w:rPr>
          <w:color w:val="000000" w:themeColor="text1"/>
          <w:lang w:val="en-IE"/>
        </w:rPr>
        <w:t xml:space="preserve">. </w:t>
      </w:r>
      <w:r w:rsidR="007F42E8" w:rsidRPr="008928B6">
        <w:rPr>
          <w:color w:val="000000" w:themeColor="text1"/>
          <w:lang w:val="en-IE"/>
        </w:rPr>
        <w:t xml:space="preserve">Construction phase emissions have been compared to </w:t>
      </w:r>
      <w:r w:rsidR="00E13A5A" w:rsidRPr="008928B6">
        <w:rPr>
          <w:color w:val="000000" w:themeColor="text1"/>
          <w:lang w:val="en-IE"/>
        </w:rPr>
        <w:t>both Irish national budgets (</w:t>
      </w:r>
      <w:r w:rsidR="00AE4868" w:rsidRPr="008928B6">
        <w:rPr>
          <w:color w:val="000000" w:themeColor="text1"/>
          <w:lang w:val="en-IE"/>
        </w:rPr>
        <w:fldChar w:fldCharType="begin"/>
      </w:r>
      <w:r w:rsidR="00AE4868" w:rsidRPr="008928B6">
        <w:rPr>
          <w:color w:val="000000" w:themeColor="text1"/>
          <w:lang w:val="en-IE"/>
        </w:rPr>
        <w:instrText xml:space="preserve"> REF _Ref232510477 \h </w:instrText>
      </w:r>
      <w:r w:rsidR="006E27F5" w:rsidRPr="008928B6">
        <w:rPr>
          <w:color w:val="000000" w:themeColor="text1"/>
          <w:lang w:val="en-IE"/>
        </w:rPr>
        <w:instrText xml:space="preserve"> \* MERGEFORMAT </w:instrText>
      </w:r>
      <w:r w:rsidR="00AE4868" w:rsidRPr="00511353">
        <w:rPr>
          <w:color w:val="000000" w:themeColor="text1"/>
          <w:lang w:val="en-IE"/>
        </w:rPr>
      </w:r>
      <w:r w:rsidR="00AE4868" w:rsidRPr="008928B6">
        <w:rPr>
          <w:color w:val="000000" w:themeColor="text1"/>
          <w:lang w:val="en-IE"/>
        </w:rPr>
        <w:fldChar w:fldCharType="separate"/>
      </w:r>
      <w:r w:rsidR="00D83C6F" w:rsidRPr="005049F3">
        <w:rPr>
          <w:color w:val="000000" w:themeColor="text1"/>
          <w:lang w:val="en-IE"/>
        </w:rPr>
        <w:t>Table 10</w:t>
      </w:r>
      <w:r w:rsidR="00D83C6F" w:rsidRPr="005049F3">
        <w:rPr>
          <w:color w:val="000000" w:themeColor="text1"/>
          <w:lang w:val="en-IE"/>
        </w:rPr>
        <w:noBreakHyphen/>
        <w:t>16</w:t>
      </w:r>
      <w:r w:rsidR="00AE4868" w:rsidRPr="008928B6">
        <w:rPr>
          <w:color w:val="000000" w:themeColor="text1"/>
          <w:lang w:val="en-IE"/>
        </w:rPr>
        <w:fldChar w:fldCharType="end"/>
      </w:r>
      <w:r w:rsidR="00E13A5A" w:rsidRPr="008928B6">
        <w:rPr>
          <w:color w:val="000000" w:themeColor="text1"/>
          <w:lang w:val="en-IE"/>
        </w:rPr>
        <w:t>) and sectoral emissions ceilings (</w:t>
      </w:r>
      <w:r w:rsidR="00E13A5A" w:rsidRPr="008928B6">
        <w:rPr>
          <w:color w:val="000000" w:themeColor="text1"/>
          <w:lang w:val="en-IE"/>
        </w:rPr>
        <w:fldChar w:fldCharType="begin"/>
      </w:r>
      <w:r w:rsidR="00E13A5A" w:rsidRPr="00A7414A">
        <w:rPr>
          <w:rFonts w:asciiTheme="majorHAnsi" w:hAnsiTheme="majorHAnsi"/>
          <w:b/>
          <w:color w:val="008768" w:themeColor="accent1"/>
        </w:rPr>
        <w:instrText xml:space="preserve"> REF _Ref232510398 \h </w:instrText>
      </w:r>
      <w:r w:rsidR="00743E09" w:rsidRPr="00A7414A">
        <w:rPr>
          <w:rFonts w:asciiTheme="majorHAnsi" w:hAnsiTheme="majorHAnsi"/>
          <w:b/>
          <w:color w:val="008768" w:themeColor="accent1"/>
        </w:rPr>
        <w:instrText xml:space="preserve"> \* MERGEFORMAT </w:instrText>
      </w:r>
      <w:r w:rsidR="00E13A5A" w:rsidRPr="00511353">
        <w:rPr>
          <w:color w:val="000000" w:themeColor="text1"/>
          <w:lang w:val="en-IE"/>
        </w:rPr>
      </w:r>
      <w:r w:rsidR="00E13A5A" w:rsidRPr="008928B6">
        <w:rPr>
          <w:color w:val="000000" w:themeColor="text1"/>
          <w:lang w:val="en-IE"/>
        </w:rPr>
        <w:fldChar w:fldCharType="separate"/>
      </w:r>
      <w:r w:rsidR="00D83C6F" w:rsidRPr="005049F3">
        <w:rPr>
          <w:color w:val="000000" w:themeColor="text1"/>
          <w:lang w:val="en-IE"/>
        </w:rPr>
        <w:t>Table 10</w:t>
      </w:r>
      <w:r w:rsidR="00D83C6F" w:rsidRPr="005049F3">
        <w:rPr>
          <w:color w:val="000000" w:themeColor="text1"/>
          <w:lang w:val="en-IE"/>
        </w:rPr>
        <w:noBreakHyphen/>
        <w:t>17</w:t>
      </w:r>
      <w:r w:rsidR="00E13A5A" w:rsidRPr="008928B6">
        <w:rPr>
          <w:color w:val="000000" w:themeColor="text1"/>
          <w:lang w:val="en-IE"/>
        </w:rPr>
        <w:fldChar w:fldCharType="end"/>
      </w:r>
      <w:r w:rsidR="00AE4868" w:rsidRPr="008928B6">
        <w:rPr>
          <w:color w:val="000000" w:themeColor="text1"/>
          <w:lang w:val="en-IE"/>
        </w:rPr>
        <w:t>)</w:t>
      </w:r>
      <w:r w:rsidR="00265370">
        <w:rPr>
          <w:color w:val="000000" w:themeColor="text1"/>
          <w:lang w:val="en-IE"/>
        </w:rPr>
        <w:t>.</w:t>
      </w:r>
    </w:p>
    <w:p w14:paraId="49870E57" w14:textId="03FAFAF9" w:rsidR="00F506D6" w:rsidRPr="00F506D6" w:rsidRDefault="00F506D6" w:rsidP="00F506D6">
      <w:pPr>
        <w:pStyle w:val="BodyText"/>
        <w:rPr>
          <w:highlight w:val="cyan"/>
        </w:rPr>
      </w:pPr>
      <w:r w:rsidRPr="00A7414A">
        <w:t>The construction emissions in comparison to Ireland’s Industry Sectoral Emission Ceiling only account for 0.</w:t>
      </w:r>
      <w:r w:rsidR="0052258D" w:rsidRPr="00A7414A">
        <w:t>02</w:t>
      </w:r>
      <w:r w:rsidR="00FF587A">
        <w:t>1</w:t>
      </w:r>
      <w:r w:rsidRPr="00A7414A">
        <w:t>% of the relevant carbon budget.</w:t>
      </w:r>
    </w:p>
    <w:p w14:paraId="5D3E056E" w14:textId="6898DD68" w:rsidR="00F506D6" w:rsidRPr="005244A9" w:rsidRDefault="00F506D6" w:rsidP="00F506D6">
      <w:pPr>
        <w:pStyle w:val="Caption"/>
      </w:pPr>
      <w:bookmarkStart w:id="133" w:name="_Ref232510477"/>
      <w:bookmarkStart w:id="134" w:name="_Toc216107541"/>
      <w:bookmarkStart w:id="135" w:name="_Toc238199691"/>
      <w:r w:rsidRPr="005244A9">
        <w:t xml:space="preserve">Table </w:t>
      </w:r>
      <w:r>
        <w:fldChar w:fldCharType="begin"/>
      </w:r>
      <w:r>
        <w:instrText>STYLEREF 1 \s</w:instrText>
      </w:r>
      <w:r>
        <w:fldChar w:fldCharType="separate"/>
      </w:r>
      <w:r w:rsidR="00D83C6F">
        <w:rPr>
          <w:noProof/>
        </w:rPr>
        <w:t>10</w:t>
      </w:r>
      <w:r>
        <w:fldChar w:fldCharType="end"/>
      </w:r>
      <w:r w:rsidR="00BE5583" w:rsidRPr="005244A9">
        <w:noBreakHyphen/>
      </w:r>
      <w:r>
        <w:fldChar w:fldCharType="begin"/>
      </w:r>
      <w:r>
        <w:instrText>SEQ Table \* ARABIC \s 1</w:instrText>
      </w:r>
      <w:r>
        <w:fldChar w:fldCharType="separate"/>
      </w:r>
      <w:r w:rsidR="00D83C6F">
        <w:rPr>
          <w:noProof/>
        </w:rPr>
        <w:t>16</w:t>
      </w:r>
      <w:r>
        <w:fldChar w:fldCharType="end"/>
      </w:r>
      <w:bookmarkEnd w:id="133"/>
      <w:r w:rsidR="00361852">
        <w:t>:</w:t>
      </w:r>
      <w:r w:rsidRPr="005244A9">
        <w:t xml:space="preserve"> Construction </w:t>
      </w:r>
      <w:r w:rsidR="00BB3A10">
        <w:t>E</w:t>
      </w:r>
      <w:r w:rsidRPr="005244A9">
        <w:t xml:space="preserve">missions </w:t>
      </w:r>
      <w:r w:rsidR="00BB3A10">
        <w:t>C</w:t>
      </w:r>
      <w:r w:rsidRPr="005244A9">
        <w:t>ompared to Ireland's Carbon Budgets</w:t>
      </w:r>
      <w:bookmarkEnd w:id="134"/>
      <w:bookmarkEnd w:id="135"/>
    </w:p>
    <w:tbl>
      <w:tblPr>
        <w:tblStyle w:val="AECOMtable"/>
        <w:tblW w:w="5000" w:type="pct"/>
        <w:tblLook w:val="04A0" w:firstRow="1" w:lastRow="0" w:firstColumn="1" w:lastColumn="0" w:noHBand="0" w:noVBand="1"/>
      </w:tblPr>
      <w:tblGrid>
        <w:gridCol w:w="2792"/>
        <w:gridCol w:w="1884"/>
        <w:gridCol w:w="2339"/>
        <w:gridCol w:w="2339"/>
      </w:tblGrid>
      <w:tr w:rsidR="00F506D6" w:rsidRPr="005244A9" w14:paraId="70516C92" w14:textId="77777777">
        <w:trPr>
          <w:cnfStyle w:val="100000000000" w:firstRow="1" w:lastRow="0" w:firstColumn="0" w:lastColumn="0" w:oddVBand="0" w:evenVBand="0" w:oddHBand="0" w:evenHBand="0" w:firstRowFirstColumn="0" w:firstRowLastColumn="0" w:lastRowFirstColumn="0" w:lastRowLastColumn="0"/>
          <w:trHeight w:val="318"/>
          <w:tblHeader/>
        </w:trPr>
        <w:tc>
          <w:tcPr>
            <w:tcW w:w="1492" w:type="pct"/>
          </w:tcPr>
          <w:p w14:paraId="2F634765" w14:textId="77777777" w:rsidR="00F506D6" w:rsidRPr="00A7414A" w:rsidRDefault="00F506D6">
            <w:pPr>
              <w:pStyle w:val="Tabletext"/>
              <w:ind w:right="57"/>
              <w:jc w:val="left"/>
            </w:pPr>
            <w:r w:rsidRPr="00A7414A">
              <w:t>Carbon Budget</w:t>
            </w:r>
          </w:p>
        </w:tc>
        <w:tc>
          <w:tcPr>
            <w:tcW w:w="1007" w:type="pct"/>
          </w:tcPr>
          <w:p w14:paraId="0EB6BFE4" w14:textId="77777777" w:rsidR="00F506D6" w:rsidRPr="00A7414A" w:rsidRDefault="00F506D6">
            <w:pPr>
              <w:pStyle w:val="Tabletext"/>
              <w:ind w:right="57"/>
              <w:jc w:val="center"/>
            </w:pPr>
            <w:r w:rsidRPr="00A7414A">
              <w:t>Ireland Carbon Budget (MtCO</w:t>
            </w:r>
            <w:r w:rsidRPr="00A7414A">
              <w:rPr>
                <w:vertAlign w:val="subscript"/>
              </w:rPr>
              <w:t>2</w:t>
            </w:r>
            <w:r w:rsidRPr="00A7414A">
              <w:t>eq)</w:t>
            </w:r>
          </w:p>
        </w:tc>
        <w:tc>
          <w:tcPr>
            <w:tcW w:w="1250" w:type="pct"/>
          </w:tcPr>
          <w:p w14:paraId="13EC4B46" w14:textId="77777777" w:rsidR="00F506D6" w:rsidRPr="005244A9" w:rsidRDefault="00F506D6">
            <w:pPr>
              <w:pStyle w:val="Tabletext"/>
              <w:ind w:right="57"/>
              <w:jc w:val="center"/>
            </w:pPr>
            <w:r w:rsidRPr="005244A9">
              <w:t>Project Emissions (tCO</w:t>
            </w:r>
            <w:r w:rsidRPr="005244A9">
              <w:rPr>
                <w:vertAlign w:val="subscript"/>
              </w:rPr>
              <w:t>2</w:t>
            </w:r>
            <w:r w:rsidRPr="005244A9">
              <w:t>e)</w:t>
            </w:r>
          </w:p>
        </w:tc>
        <w:tc>
          <w:tcPr>
            <w:tcW w:w="1250" w:type="pct"/>
          </w:tcPr>
          <w:p w14:paraId="6B106DCE" w14:textId="77777777" w:rsidR="00F506D6" w:rsidRPr="005244A9" w:rsidRDefault="00F506D6">
            <w:pPr>
              <w:pStyle w:val="Tabletext"/>
              <w:ind w:right="57"/>
              <w:jc w:val="center"/>
            </w:pPr>
            <w:r w:rsidRPr="005244A9">
              <w:t>Percentage Contribution of Ireland’s Budget Emissions (%)</w:t>
            </w:r>
          </w:p>
        </w:tc>
      </w:tr>
      <w:tr w:rsidR="00F506D6" w:rsidRPr="005244A9" w14:paraId="0771DA90" w14:textId="77777777">
        <w:trPr>
          <w:trHeight w:val="245"/>
        </w:trPr>
        <w:tc>
          <w:tcPr>
            <w:tcW w:w="1492" w:type="pct"/>
          </w:tcPr>
          <w:p w14:paraId="7EBF1D3D" w14:textId="77777777" w:rsidR="00F506D6" w:rsidRPr="00A7414A" w:rsidRDefault="00F506D6">
            <w:pPr>
              <w:pStyle w:val="Tabletext"/>
              <w:jc w:val="left"/>
            </w:pPr>
            <w:r w:rsidRPr="00A7414A">
              <w:t xml:space="preserve">Carbon Budget 2 (2026 – 2030) </w:t>
            </w:r>
          </w:p>
        </w:tc>
        <w:tc>
          <w:tcPr>
            <w:tcW w:w="1007" w:type="pct"/>
          </w:tcPr>
          <w:p w14:paraId="04D1A546" w14:textId="77777777" w:rsidR="00F506D6" w:rsidRPr="00A7414A" w:rsidRDefault="00F506D6">
            <w:pPr>
              <w:pStyle w:val="Tabletext"/>
              <w:jc w:val="center"/>
            </w:pPr>
            <w:r w:rsidRPr="00A7414A">
              <w:t>200</w:t>
            </w:r>
          </w:p>
        </w:tc>
        <w:tc>
          <w:tcPr>
            <w:tcW w:w="1250" w:type="pct"/>
          </w:tcPr>
          <w:p w14:paraId="79BE287F" w14:textId="7C7AC7AD" w:rsidR="00F506D6" w:rsidRPr="005244A9" w:rsidRDefault="00DC3551">
            <w:pPr>
              <w:pStyle w:val="Tabletext"/>
              <w:jc w:val="center"/>
            </w:pPr>
            <w:r>
              <w:t>5</w:t>
            </w:r>
            <w:r w:rsidR="00FA0097">
              <w:t>,804</w:t>
            </w:r>
          </w:p>
        </w:tc>
        <w:tc>
          <w:tcPr>
            <w:tcW w:w="1250" w:type="pct"/>
          </w:tcPr>
          <w:p w14:paraId="0F248793" w14:textId="66BBA010" w:rsidR="00F506D6" w:rsidRPr="005244A9" w:rsidRDefault="00F506D6">
            <w:pPr>
              <w:pStyle w:val="Tabletext"/>
              <w:jc w:val="center"/>
            </w:pPr>
            <w:r w:rsidRPr="0052258D">
              <w:t>0.0</w:t>
            </w:r>
            <w:r w:rsidR="00EE1746" w:rsidRPr="00A7414A">
              <w:t>0</w:t>
            </w:r>
            <w:r w:rsidR="00550F77" w:rsidRPr="00A7414A">
              <w:t>3</w:t>
            </w:r>
            <w:r w:rsidRPr="0052258D">
              <w:t>%</w:t>
            </w:r>
          </w:p>
        </w:tc>
      </w:tr>
      <w:tr w:rsidR="00F506D6" w:rsidRPr="005244A9" w14:paraId="7D2F847B" w14:textId="77777777">
        <w:trPr>
          <w:trHeight w:val="245"/>
        </w:trPr>
        <w:tc>
          <w:tcPr>
            <w:tcW w:w="1492" w:type="pct"/>
          </w:tcPr>
          <w:p w14:paraId="35DA76B8" w14:textId="77777777" w:rsidR="00F506D6" w:rsidRPr="005244A9" w:rsidRDefault="00F506D6">
            <w:pPr>
              <w:pStyle w:val="Tabletext"/>
            </w:pPr>
          </w:p>
        </w:tc>
        <w:tc>
          <w:tcPr>
            <w:tcW w:w="1007" w:type="pct"/>
          </w:tcPr>
          <w:p w14:paraId="1909315C" w14:textId="77777777" w:rsidR="00F506D6" w:rsidRPr="005244A9" w:rsidRDefault="00F506D6">
            <w:pPr>
              <w:pStyle w:val="Tabletext"/>
              <w:jc w:val="right"/>
            </w:pPr>
          </w:p>
        </w:tc>
        <w:tc>
          <w:tcPr>
            <w:tcW w:w="1250" w:type="pct"/>
          </w:tcPr>
          <w:p w14:paraId="10B758F6" w14:textId="77777777" w:rsidR="00F506D6" w:rsidRPr="005244A9" w:rsidDel="009434DA" w:rsidRDefault="00F506D6">
            <w:pPr>
              <w:pStyle w:val="Tabletext"/>
              <w:jc w:val="right"/>
            </w:pPr>
          </w:p>
        </w:tc>
        <w:tc>
          <w:tcPr>
            <w:tcW w:w="1250" w:type="pct"/>
          </w:tcPr>
          <w:p w14:paraId="64DC943B" w14:textId="77777777" w:rsidR="00F506D6" w:rsidRPr="005244A9" w:rsidDel="009434DA" w:rsidRDefault="00F506D6">
            <w:pPr>
              <w:pStyle w:val="Tabletext"/>
              <w:jc w:val="right"/>
            </w:pPr>
          </w:p>
        </w:tc>
      </w:tr>
    </w:tbl>
    <w:p w14:paraId="22FA55DA" w14:textId="16033164" w:rsidR="00F506D6" w:rsidRPr="005244A9" w:rsidRDefault="00F506D6" w:rsidP="00F506D6">
      <w:pPr>
        <w:pStyle w:val="Caption"/>
      </w:pPr>
      <w:bookmarkStart w:id="136" w:name="_Ref232510398"/>
      <w:bookmarkStart w:id="137" w:name="_Toc216107542"/>
      <w:bookmarkStart w:id="138" w:name="_Toc238199692"/>
      <w:r w:rsidRPr="005244A9">
        <w:t xml:space="preserve">Table </w:t>
      </w:r>
      <w:r>
        <w:fldChar w:fldCharType="begin"/>
      </w:r>
      <w:r>
        <w:instrText>STYLEREF 1 \s</w:instrText>
      </w:r>
      <w:r>
        <w:fldChar w:fldCharType="separate"/>
      </w:r>
      <w:r w:rsidR="00D83C6F">
        <w:rPr>
          <w:noProof/>
        </w:rPr>
        <w:t>10</w:t>
      </w:r>
      <w:r>
        <w:fldChar w:fldCharType="end"/>
      </w:r>
      <w:r w:rsidR="00BE5583" w:rsidRPr="005244A9">
        <w:noBreakHyphen/>
      </w:r>
      <w:r>
        <w:fldChar w:fldCharType="begin"/>
      </w:r>
      <w:r>
        <w:instrText>SEQ Table \* ARABIC \s 1</w:instrText>
      </w:r>
      <w:r>
        <w:fldChar w:fldCharType="separate"/>
      </w:r>
      <w:r w:rsidR="00D83C6F">
        <w:rPr>
          <w:noProof/>
        </w:rPr>
        <w:t>17</w:t>
      </w:r>
      <w:r>
        <w:fldChar w:fldCharType="end"/>
      </w:r>
      <w:bookmarkEnd w:id="136"/>
      <w:r w:rsidR="00361852">
        <w:t>:</w:t>
      </w:r>
      <w:r w:rsidRPr="005244A9">
        <w:t xml:space="preserve"> Construction </w:t>
      </w:r>
      <w:r w:rsidR="00BB3A10">
        <w:t>E</w:t>
      </w:r>
      <w:r w:rsidRPr="005244A9">
        <w:t xml:space="preserve">missions </w:t>
      </w:r>
      <w:r w:rsidR="00BB3A10">
        <w:t>C</w:t>
      </w:r>
      <w:r w:rsidRPr="005244A9">
        <w:t xml:space="preserve">ompared to the </w:t>
      </w:r>
      <w:r w:rsidR="00BB3A10">
        <w:t>R</w:t>
      </w:r>
      <w:r w:rsidRPr="005244A9">
        <w:t>elevant Ireland's Industry Sectoral Emission Ceiling</w:t>
      </w:r>
      <w:bookmarkEnd w:id="137"/>
      <w:bookmarkEnd w:id="138"/>
    </w:p>
    <w:tbl>
      <w:tblPr>
        <w:tblStyle w:val="AECOMtable"/>
        <w:tblW w:w="5000" w:type="pct"/>
        <w:tblLook w:val="04A0" w:firstRow="1" w:lastRow="0" w:firstColumn="1" w:lastColumn="0" w:noHBand="0" w:noVBand="1"/>
      </w:tblPr>
      <w:tblGrid>
        <w:gridCol w:w="2338"/>
        <w:gridCol w:w="2338"/>
        <w:gridCol w:w="2339"/>
        <w:gridCol w:w="2339"/>
      </w:tblGrid>
      <w:tr w:rsidR="00F506D6" w:rsidRPr="005244A9" w14:paraId="4A3192F4" w14:textId="77777777">
        <w:trPr>
          <w:cnfStyle w:val="100000000000" w:firstRow="1" w:lastRow="0" w:firstColumn="0" w:lastColumn="0" w:oddVBand="0" w:evenVBand="0" w:oddHBand="0" w:evenHBand="0" w:firstRowFirstColumn="0" w:firstRowLastColumn="0" w:lastRowFirstColumn="0" w:lastRowLastColumn="0"/>
          <w:trHeight w:val="318"/>
          <w:tblHeader/>
        </w:trPr>
        <w:tc>
          <w:tcPr>
            <w:tcW w:w="1250" w:type="pct"/>
          </w:tcPr>
          <w:p w14:paraId="78BC46B6" w14:textId="77777777" w:rsidR="00F506D6" w:rsidRPr="00A7414A" w:rsidRDefault="00F506D6">
            <w:pPr>
              <w:pStyle w:val="Tabletext"/>
              <w:ind w:right="57"/>
              <w:jc w:val="left"/>
            </w:pPr>
            <w:r w:rsidRPr="00A7414A">
              <w:t>Carbon Budget</w:t>
            </w:r>
          </w:p>
        </w:tc>
        <w:tc>
          <w:tcPr>
            <w:tcW w:w="1250" w:type="pct"/>
          </w:tcPr>
          <w:p w14:paraId="69F1AEFF" w14:textId="77777777" w:rsidR="00F506D6" w:rsidRPr="00A7414A" w:rsidRDefault="00F506D6">
            <w:pPr>
              <w:pStyle w:val="Tabletext"/>
              <w:ind w:right="57"/>
              <w:jc w:val="center"/>
            </w:pPr>
            <w:r w:rsidRPr="00A7414A">
              <w:t>Ireland’s Industry Sectoral Emission Ceiling (MtCO</w:t>
            </w:r>
            <w:r w:rsidRPr="00A7414A">
              <w:rPr>
                <w:vertAlign w:val="subscript"/>
              </w:rPr>
              <w:t>2</w:t>
            </w:r>
            <w:r w:rsidRPr="00A7414A">
              <w:t>eq)</w:t>
            </w:r>
          </w:p>
        </w:tc>
        <w:tc>
          <w:tcPr>
            <w:tcW w:w="1250" w:type="pct"/>
          </w:tcPr>
          <w:p w14:paraId="77D368A4" w14:textId="77777777" w:rsidR="00F506D6" w:rsidRPr="005244A9" w:rsidRDefault="00F506D6">
            <w:pPr>
              <w:pStyle w:val="Tabletext"/>
              <w:ind w:right="57"/>
              <w:jc w:val="center"/>
            </w:pPr>
            <w:r w:rsidRPr="005244A9">
              <w:t>Project Emissions (tCO</w:t>
            </w:r>
            <w:r w:rsidRPr="005244A9">
              <w:rPr>
                <w:vertAlign w:val="subscript"/>
              </w:rPr>
              <w:t>2</w:t>
            </w:r>
            <w:r w:rsidRPr="005244A9">
              <w:t>e)</w:t>
            </w:r>
          </w:p>
        </w:tc>
        <w:tc>
          <w:tcPr>
            <w:tcW w:w="1250" w:type="pct"/>
          </w:tcPr>
          <w:p w14:paraId="04624D06" w14:textId="77777777" w:rsidR="00F506D6" w:rsidRPr="005244A9" w:rsidRDefault="00F506D6">
            <w:pPr>
              <w:pStyle w:val="Tabletext"/>
              <w:ind w:right="57"/>
              <w:jc w:val="center"/>
            </w:pPr>
            <w:r w:rsidRPr="005244A9">
              <w:t>Percentage Contribution of Ireland’s Industry Sectoral Emissions Ceiling (%)</w:t>
            </w:r>
          </w:p>
        </w:tc>
      </w:tr>
      <w:tr w:rsidR="00F506D6" w:rsidRPr="005244A9" w14:paraId="5B03900D" w14:textId="77777777">
        <w:trPr>
          <w:trHeight w:val="245"/>
        </w:trPr>
        <w:tc>
          <w:tcPr>
            <w:tcW w:w="1250" w:type="pct"/>
          </w:tcPr>
          <w:p w14:paraId="6ADF882F" w14:textId="46F86D23" w:rsidR="00F506D6" w:rsidRPr="00A7414A" w:rsidRDefault="00F506D6">
            <w:pPr>
              <w:pStyle w:val="Tabletext"/>
              <w:jc w:val="left"/>
            </w:pPr>
            <w:r w:rsidRPr="00A7414A">
              <w:t>Carbon Budget 2 (</w:t>
            </w:r>
            <w:r w:rsidR="00B8383D" w:rsidRPr="00A7414A">
              <w:t xml:space="preserve">2026 </w:t>
            </w:r>
            <w:r w:rsidRPr="00A7414A">
              <w:t>– 2030)</w:t>
            </w:r>
          </w:p>
        </w:tc>
        <w:tc>
          <w:tcPr>
            <w:tcW w:w="1250" w:type="pct"/>
            <w:vAlign w:val="center"/>
          </w:tcPr>
          <w:p w14:paraId="1C786258" w14:textId="437FC410" w:rsidR="00F506D6" w:rsidRPr="00A7414A" w:rsidRDefault="00F506D6">
            <w:pPr>
              <w:pStyle w:val="Tabletext"/>
              <w:jc w:val="center"/>
            </w:pPr>
            <w:r w:rsidRPr="00A7414A">
              <w:t>2</w:t>
            </w:r>
            <w:r w:rsidR="00EA3D0A">
              <w:t>7.45</w:t>
            </w:r>
          </w:p>
        </w:tc>
        <w:tc>
          <w:tcPr>
            <w:tcW w:w="1250" w:type="pct"/>
            <w:vAlign w:val="center"/>
          </w:tcPr>
          <w:p w14:paraId="516199C4" w14:textId="17FA5055" w:rsidR="00F506D6" w:rsidRPr="005244A9" w:rsidRDefault="00FF587A">
            <w:pPr>
              <w:pStyle w:val="Tabletext"/>
              <w:jc w:val="center"/>
            </w:pPr>
            <w:r>
              <w:t>5,</w:t>
            </w:r>
            <w:r w:rsidR="00FA0097">
              <w:t>804</w:t>
            </w:r>
          </w:p>
        </w:tc>
        <w:tc>
          <w:tcPr>
            <w:tcW w:w="1250" w:type="pct"/>
            <w:vAlign w:val="center"/>
          </w:tcPr>
          <w:p w14:paraId="2854DF34" w14:textId="78E89E8C" w:rsidR="00F506D6" w:rsidRPr="005244A9" w:rsidRDefault="00F506D6">
            <w:pPr>
              <w:pStyle w:val="Tabletext"/>
              <w:jc w:val="center"/>
            </w:pPr>
            <w:r w:rsidRPr="0052258D">
              <w:t>0.</w:t>
            </w:r>
            <w:r w:rsidR="001A0F37" w:rsidRPr="00A7414A">
              <w:t>02</w:t>
            </w:r>
            <w:r w:rsidR="00FF587A">
              <w:t>1</w:t>
            </w:r>
            <w:r w:rsidRPr="0052258D">
              <w:t>%</w:t>
            </w:r>
          </w:p>
        </w:tc>
      </w:tr>
      <w:tr w:rsidR="00F506D6" w:rsidRPr="00F506D6" w14:paraId="6CCAFAB0" w14:textId="77777777">
        <w:trPr>
          <w:trHeight w:val="245"/>
        </w:trPr>
        <w:tc>
          <w:tcPr>
            <w:tcW w:w="1250" w:type="pct"/>
          </w:tcPr>
          <w:p w14:paraId="32BA2B79" w14:textId="77777777" w:rsidR="00F506D6" w:rsidRPr="005244A9" w:rsidRDefault="00F506D6">
            <w:pPr>
              <w:pStyle w:val="Tabletext"/>
            </w:pPr>
          </w:p>
        </w:tc>
        <w:tc>
          <w:tcPr>
            <w:tcW w:w="1250" w:type="pct"/>
          </w:tcPr>
          <w:p w14:paraId="2B229840" w14:textId="77777777" w:rsidR="00F506D6" w:rsidRPr="005244A9" w:rsidRDefault="00F506D6">
            <w:pPr>
              <w:pStyle w:val="Tabletext"/>
              <w:jc w:val="right"/>
            </w:pPr>
          </w:p>
        </w:tc>
        <w:tc>
          <w:tcPr>
            <w:tcW w:w="1250" w:type="pct"/>
          </w:tcPr>
          <w:p w14:paraId="69379A2D" w14:textId="77777777" w:rsidR="00F506D6" w:rsidRPr="005244A9" w:rsidRDefault="00F506D6">
            <w:pPr>
              <w:pStyle w:val="Tabletext"/>
              <w:jc w:val="right"/>
            </w:pPr>
          </w:p>
        </w:tc>
        <w:tc>
          <w:tcPr>
            <w:tcW w:w="1250" w:type="pct"/>
          </w:tcPr>
          <w:p w14:paraId="1522A2C4" w14:textId="77777777" w:rsidR="00F506D6" w:rsidRPr="005244A9" w:rsidDel="00937157" w:rsidRDefault="00F506D6">
            <w:pPr>
              <w:pStyle w:val="Tabletext"/>
              <w:jc w:val="right"/>
            </w:pPr>
          </w:p>
        </w:tc>
      </w:tr>
    </w:tbl>
    <w:p w14:paraId="1B26311F" w14:textId="468EB238" w:rsidR="00F506D6" w:rsidRPr="00A7414A" w:rsidRDefault="00F506D6" w:rsidP="00F506D6">
      <w:pPr>
        <w:pStyle w:val="Numberedtext"/>
        <w:numPr>
          <w:ilvl w:val="2"/>
          <w:numId w:val="0"/>
        </w:numPr>
        <w:spacing w:before="240"/>
        <w:rPr>
          <w:rFonts w:eastAsiaTheme="minorHAnsi" w:cstheme="minorBidi"/>
          <w:bCs w:val="0"/>
          <w:sz w:val="20"/>
          <w:szCs w:val="18"/>
        </w:rPr>
      </w:pPr>
      <w:r w:rsidRPr="00A7414A">
        <w:rPr>
          <w:rFonts w:eastAsiaTheme="minorHAnsi" w:cstheme="minorBidi"/>
          <w:bCs w:val="0"/>
          <w:sz w:val="20"/>
          <w:szCs w:val="18"/>
        </w:rPr>
        <w:t>There is likely to be substantial decarbonisation of materials within global supply chains with improvements in technology and low carbon fuels</w:t>
      </w:r>
      <w:r w:rsidRPr="00A7414A">
        <w:rPr>
          <w:rFonts w:eastAsiaTheme="minorHAnsi" w:cstheme="minorBidi"/>
          <w:bCs w:val="0"/>
          <w:sz w:val="20"/>
          <w:szCs w:val="18"/>
          <w:vertAlign w:val="superscript"/>
        </w:rPr>
        <w:footnoteReference w:id="1"/>
      </w:r>
      <w:r w:rsidR="00622D5C" w:rsidRPr="00A7414A">
        <w:rPr>
          <w:rFonts w:eastAsiaTheme="minorHAnsi" w:cstheme="minorBidi"/>
          <w:bCs w:val="0"/>
          <w:sz w:val="20"/>
          <w:szCs w:val="18"/>
        </w:rPr>
        <w:t xml:space="preserve">. </w:t>
      </w:r>
      <w:r w:rsidRPr="00A7414A">
        <w:rPr>
          <w:rFonts w:eastAsiaTheme="minorHAnsi" w:cstheme="minorBidi"/>
          <w:bCs w:val="0"/>
          <w:sz w:val="20"/>
          <w:szCs w:val="18"/>
        </w:rPr>
        <w:t xml:space="preserve">However, it is challenging to understand to what extent measures to decarbonise the supply chain will have been implemented by the time the Proposed Development is being constructed. The figures for construction presented here </w:t>
      </w:r>
      <w:r w:rsidR="006E27F5" w:rsidRPr="00A7414A">
        <w:rPr>
          <w:rFonts w:eastAsiaTheme="minorHAnsi" w:cstheme="minorBidi"/>
          <w:bCs w:val="0"/>
          <w:sz w:val="20"/>
          <w:szCs w:val="18"/>
        </w:rPr>
        <w:t xml:space="preserve">therefore </w:t>
      </w:r>
      <w:r w:rsidRPr="00A7414A">
        <w:rPr>
          <w:rFonts w:eastAsiaTheme="minorHAnsi" w:cstheme="minorBidi"/>
          <w:bCs w:val="0"/>
          <w:sz w:val="20"/>
          <w:szCs w:val="18"/>
        </w:rPr>
        <w:t>represent</w:t>
      </w:r>
      <w:r w:rsidR="00D77B37" w:rsidRPr="00A7414A">
        <w:rPr>
          <w:rFonts w:eastAsiaTheme="minorHAnsi" w:cstheme="minorBidi"/>
          <w:bCs w:val="0"/>
          <w:sz w:val="20"/>
          <w:szCs w:val="18"/>
        </w:rPr>
        <w:t xml:space="preserve"> an estimate of the </w:t>
      </w:r>
      <w:r w:rsidR="00E41A67">
        <w:rPr>
          <w:rFonts w:eastAsiaTheme="minorHAnsi" w:cstheme="minorBidi"/>
          <w:bCs w:val="0"/>
          <w:sz w:val="20"/>
          <w:szCs w:val="18"/>
        </w:rPr>
        <w:t xml:space="preserve">GHG </w:t>
      </w:r>
      <w:r w:rsidR="00612817" w:rsidRPr="00A7414A">
        <w:rPr>
          <w:rFonts w:eastAsiaTheme="minorHAnsi" w:cstheme="minorBidi"/>
          <w:bCs w:val="0"/>
          <w:sz w:val="20"/>
          <w:szCs w:val="18"/>
        </w:rPr>
        <w:t xml:space="preserve">emissions resulting from industry standard practices in </w:t>
      </w:r>
      <w:r w:rsidR="009E08F1" w:rsidRPr="00A7414A">
        <w:rPr>
          <w:rFonts w:eastAsiaTheme="minorHAnsi" w:cstheme="minorBidi"/>
          <w:bCs w:val="0"/>
          <w:sz w:val="20"/>
          <w:szCs w:val="18"/>
        </w:rPr>
        <w:t>2025</w:t>
      </w:r>
      <w:r w:rsidR="00D17998">
        <w:rPr>
          <w:rFonts w:eastAsiaTheme="minorHAnsi" w:cstheme="minorBidi"/>
          <w:bCs w:val="0"/>
          <w:sz w:val="20"/>
          <w:szCs w:val="18"/>
        </w:rPr>
        <w:t xml:space="preserve"> as presented in the FHH benchmarking report (FHH, 2025)</w:t>
      </w:r>
      <w:r w:rsidR="006E27F5" w:rsidRPr="00A7414A">
        <w:rPr>
          <w:rFonts w:eastAsiaTheme="minorHAnsi" w:cstheme="minorBidi"/>
          <w:bCs w:val="0"/>
          <w:sz w:val="20"/>
          <w:szCs w:val="18"/>
        </w:rPr>
        <w:t>.</w:t>
      </w:r>
    </w:p>
    <w:p w14:paraId="233740CA" w14:textId="44DF1DFE" w:rsidR="00F506D6" w:rsidRPr="00A7414A" w:rsidRDefault="00F506D6" w:rsidP="00F506D6">
      <w:pPr>
        <w:pStyle w:val="Numberedtext"/>
        <w:numPr>
          <w:ilvl w:val="2"/>
          <w:numId w:val="0"/>
        </w:numPr>
        <w:spacing w:before="240"/>
      </w:pPr>
      <w:r w:rsidRPr="00A7414A">
        <w:rPr>
          <w:rFonts w:eastAsiaTheme="minorHAnsi" w:cstheme="minorBidi"/>
          <w:bCs w:val="0"/>
          <w:sz w:val="20"/>
          <w:szCs w:val="18"/>
        </w:rPr>
        <w:t xml:space="preserve">As material manufacturing technologies improve, and government policy relating to </w:t>
      </w:r>
      <w:r w:rsidR="00E41A67">
        <w:rPr>
          <w:rFonts w:eastAsiaTheme="minorHAnsi" w:cstheme="minorBidi"/>
          <w:bCs w:val="0"/>
          <w:sz w:val="20"/>
          <w:szCs w:val="18"/>
        </w:rPr>
        <w:t xml:space="preserve">GHG </w:t>
      </w:r>
      <w:r w:rsidRPr="00A7414A">
        <w:rPr>
          <w:rFonts w:eastAsiaTheme="minorHAnsi" w:cstheme="minorBidi"/>
          <w:bCs w:val="0"/>
          <w:sz w:val="20"/>
          <w:szCs w:val="18"/>
        </w:rPr>
        <w:t>emissions from construction and transport continues to evolve, all future construction activities will be required to comply w</w:t>
      </w:r>
      <w:r w:rsidR="00E43316" w:rsidRPr="00A7414A">
        <w:rPr>
          <w:rFonts w:eastAsiaTheme="minorHAnsi" w:cstheme="minorBidi"/>
          <w:bCs w:val="0"/>
          <w:sz w:val="20"/>
          <w:szCs w:val="18"/>
        </w:rPr>
        <w:t xml:space="preserve">ith existing and future </w:t>
      </w:r>
      <w:r w:rsidR="00743E09" w:rsidRPr="00743E09">
        <w:rPr>
          <w:rFonts w:eastAsiaTheme="minorHAnsi" w:cstheme="minorBidi"/>
          <w:bCs w:val="0"/>
          <w:sz w:val="20"/>
          <w:szCs w:val="18"/>
        </w:rPr>
        <w:t>legislation</w:t>
      </w:r>
      <w:r w:rsidRPr="00A7414A">
        <w:rPr>
          <w:rFonts w:eastAsiaTheme="minorHAnsi" w:cstheme="minorBidi"/>
          <w:bCs w:val="0"/>
          <w:sz w:val="20"/>
          <w:szCs w:val="18"/>
        </w:rPr>
        <w:t xml:space="preserve">. Furthermore, construction </w:t>
      </w:r>
      <w:r w:rsidR="00E41A67">
        <w:rPr>
          <w:rFonts w:eastAsiaTheme="minorHAnsi" w:cstheme="minorBidi"/>
          <w:bCs w:val="0"/>
          <w:sz w:val="20"/>
          <w:szCs w:val="18"/>
        </w:rPr>
        <w:t xml:space="preserve">phase GHG </w:t>
      </w:r>
      <w:r w:rsidRPr="00A7414A">
        <w:rPr>
          <w:rFonts w:eastAsiaTheme="minorHAnsi" w:cstheme="minorBidi"/>
          <w:bCs w:val="0"/>
          <w:sz w:val="20"/>
          <w:szCs w:val="18"/>
        </w:rPr>
        <w:t xml:space="preserve">emissions </w:t>
      </w:r>
      <w:r w:rsidR="00EE428A">
        <w:rPr>
          <w:rFonts w:eastAsiaTheme="minorHAnsi" w:cstheme="minorBidi"/>
          <w:bCs w:val="0"/>
          <w:sz w:val="20"/>
          <w:szCs w:val="18"/>
        </w:rPr>
        <w:t>are not expected to</w:t>
      </w:r>
      <w:r w:rsidRPr="00A7414A">
        <w:rPr>
          <w:rFonts w:eastAsiaTheme="minorHAnsi" w:cstheme="minorBidi"/>
          <w:bCs w:val="0"/>
          <w:sz w:val="20"/>
          <w:szCs w:val="18"/>
        </w:rPr>
        <w:t xml:space="preserve"> materially impact Ireland's net zero target for 2050</w:t>
      </w:r>
      <w:r w:rsidR="00E461DF">
        <w:rPr>
          <w:rFonts w:eastAsiaTheme="minorHAnsi" w:cstheme="minorBidi"/>
          <w:bCs w:val="0"/>
          <w:sz w:val="20"/>
          <w:szCs w:val="18"/>
        </w:rPr>
        <w:t xml:space="preserve"> due to the scale of development</w:t>
      </w:r>
      <w:r w:rsidR="00DE1626">
        <w:rPr>
          <w:rFonts w:eastAsiaTheme="minorHAnsi" w:cstheme="minorBidi"/>
          <w:bCs w:val="0"/>
          <w:sz w:val="20"/>
          <w:szCs w:val="18"/>
        </w:rPr>
        <w:t xml:space="preserve"> and typical carbon intensity of residential </w:t>
      </w:r>
      <w:r w:rsidR="001266F4">
        <w:rPr>
          <w:rFonts w:eastAsiaTheme="minorHAnsi" w:cstheme="minorBidi"/>
          <w:bCs w:val="0"/>
          <w:sz w:val="20"/>
          <w:szCs w:val="18"/>
        </w:rPr>
        <w:t>developments of this type</w:t>
      </w:r>
      <w:r w:rsidRPr="00A7414A">
        <w:rPr>
          <w:rFonts w:eastAsiaTheme="minorHAnsi" w:cstheme="minorBidi"/>
          <w:bCs w:val="0"/>
          <w:sz w:val="20"/>
          <w:szCs w:val="18"/>
        </w:rPr>
        <w:t>.</w:t>
      </w:r>
    </w:p>
    <w:p w14:paraId="19BD46A6" w14:textId="3EE6565D" w:rsidR="00F506D6" w:rsidRPr="00A7414A" w:rsidRDefault="00F506D6" w:rsidP="00F506D6">
      <w:pPr>
        <w:pStyle w:val="Numberedtext"/>
        <w:numPr>
          <w:ilvl w:val="2"/>
          <w:numId w:val="0"/>
        </w:numPr>
        <w:spacing w:before="240"/>
        <w:rPr>
          <w:rFonts w:eastAsiaTheme="minorHAnsi" w:cstheme="minorBidi"/>
          <w:bCs w:val="0"/>
          <w:sz w:val="20"/>
          <w:szCs w:val="18"/>
        </w:rPr>
      </w:pPr>
      <w:r w:rsidRPr="00A7414A">
        <w:rPr>
          <w:rFonts w:eastAsiaTheme="minorHAnsi" w:cstheme="minorBidi"/>
          <w:bCs w:val="0"/>
          <w:sz w:val="20"/>
          <w:szCs w:val="18"/>
        </w:rPr>
        <w:t>For these reasons,</w:t>
      </w:r>
      <w:r w:rsidR="00C122B3" w:rsidRPr="00A7414A">
        <w:rPr>
          <w:rFonts w:eastAsiaTheme="minorHAnsi" w:cstheme="minorBidi"/>
          <w:bCs w:val="0"/>
          <w:sz w:val="20"/>
          <w:szCs w:val="18"/>
        </w:rPr>
        <w:t xml:space="preserve"> and </w:t>
      </w:r>
      <w:r w:rsidR="00391AA0">
        <w:rPr>
          <w:rFonts w:eastAsiaTheme="minorHAnsi" w:cstheme="minorBidi"/>
          <w:bCs w:val="0"/>
          <w:sz w:val="20"/>
          <w:szCs w:val="18"/>
        </w:rPr>
        <w:t xml:space="preserve">taking into account </w:t>
      </w:r>
      <w:r w:rsidR="00C122B3" w:rsidRPr="00A7414A">
        <w:rPr>
          <w:rFonts w:eastAsiaTheme="minorHAnsi" w:cstheme="minorBidi"/>
          <w:bCs w:val="0"/>
          <w:sz w:val="20"/>
          <w:szCs w:val="18"/>
        </w:rPr>
        <w:t xml:space="preserve">the mitigation measures </w:t>
      </w:r>
      <w:r w:rsidR="00391AA0">
        <w:rPr>
          <w:rFonts w:eastAsiaTheme="minorHAnsi" w:cstheme="minorBidi"/>
          <w:bCs w:val="0"/>
          <w:sz w:val="20"/>
          <w:szCs w:val="18"/>
        </w:rPr>
        <w:t xml:space="preserve">as </w:t>
      </w:r>
      <w:r w:rsidR="00C122B3" w:rsidRPr="008928B6">
        <w:rPr>
          <w:rFonts w:eastAsiaTheme="minorHAnsi" w:cstheme="minorBidi"/>
          <w:color w:val="000000" w:themeColor="text1"/>
          <w:sz w:val="20"/>
          <w:szCs w:val="18"/>
          <w:lang w:val="en-IE"/>
        </w:rPr>
        <w:t xml:space="preserve">outlined in Section </w:t>
      </w:r>
      <w:r w:rsidR="00C122B3" w:rsidRPr="008928B6">
        <w:rPr>
          <w:rFonts w:eastAsiaTheme="minorHAnsi" w:cstheme="minorBidi"/>
          <w:color w:val="000000" w:themeColor="text1"/>
          <w:sz w:val="20"/>
          <w:szCs w:val="18"/>
          <w:lang w:val="en-IE"/>
        </w:rPr>
        <w:fldChar w:fldCharType="begin"/>
      </w:r>
      <w:r w:rsidR="00C122B3" w:rsidRPr="00A7414A">
        <w:rPr>
          <w:rFonts w:asciiTheme="majorHAnsi" w:eastAsiaTheme="minorHAnsi" w:hAnsiTheme="majorHAnsi" w:cstheme="minorBidi"/>
          <w:b/>
          <w:bCs w:val="0"/>
          <w:color w:val="008768" w:themeColor="accent1"/>
          <w:sz w:val="20"/>
          <w:szCs w:val="18"/>
        </w:rPr>
        <w:instrText xml:space="preserve"> REF _Ref232511192 \r \h  \* MERGEFORMAT </w:instrText>
      </w:r>
      <w:r w:rsidR="00C122B3" w:rsidRPr="00511353">
        <w:rPr>
          <w:rFonts w:eastAsiaTheme="minorHAnsi" w:cstheme="minorBidi"/>
          <w:color w:val="000000" w:themeColor="text1"/>
          <w:sz w:val="20"/>
          <w:szCs w:val="18"/>
          <w:lang w:val="en-IE"/>
        </w:rPr>
      </w:r>
      <w:r w:rsidR="00C122B3" w:rsidRPr="008928B6">
        <w:rPr>
          <w:rFonts w:eastAsiaTheme="minorHAnsi" w:cstheme="minorBidi"/>
          <w:color w:val="000000" w:themeColor="text1"/>
          <w:sz w:val="20"/>
          <w:szCs w:val="18"/>
          <w:lang w:val="en-IE"/>
        </w:rPr>
        <w:fldChar w:fldCharType="separate"/>
      </w:r>
      <w:r w:rsidR="00D83C6F" w:rsidRPr="005049F3">
        <w:rPr>
          <w:rFonts w:eastAsiaTheme="minorHAnsi" w:cstheme="minorBidi"/>
          <w:color w:val="000000" w:themeColor="text1"/>
          <w:sz w:val="20"/>
          <w:szCs w:val="18"/>
          <w:lang w:val="en-IE"/>
        </w:rPr>
        <w:t>10.5.1</w:t>
      </w:r>
      <w:r w:rsidR="00C122B3" w:rsidRPr="008928B6">
        <w:rPr>
          <w:rFonts w:eastAsiaTheme="minorHAnsi" w:cstheme="minorBidi"/>
          <w:color w:val="000000" w:themeColor="text1"/>
          <w:sz w:val="20"/>
          <w:szCs w:val="18"/>
          <w:lang w:val="en-IE"/>
        </w:rPr>
        <w:fldChar w:fldCharType="end"/>
      </w:r>
      <w:r w:rsidR="00391AA0">
        <w:rPr>
          <w:rFonts w:eastAsiaTheme="minorHAnsi" w:cstheme="minorBidi"/>
          <w:bCs w:val="0"/>
          <w:color w:val="000000" w:themeColor="text1"/>
          <w:sz w:val="20"/>
          <w:szCs w:val="18"/>
          <w:lang w:val="en-IE"/>
        </w:rPr>
        <w:t>,</w:t>
      </w:r>
      <w:r w:rsidRPr="008928B6">
        <w:rPr>
          <w:rFonts w:eastAsiaTheme="minorHAnsi" w:cstheme="minorBidi"/>
          <w:color w:val="000000" w:themeColor="text1"/>
          <w:sz w:val="20"/>
          <w:szCs w:val="18"/>
          <w:lang w:val="en-IE"/>
        </w:rPr>
        <w:t xml:space="preserve"> the </w:t>
      </w:r>
      <w:r w:rsidR="00391AA0">
        <w:rPr>
          <w:rFonts w:eastAsiaTheme="minorHAnsi" w:cstheme="minorBidi"/>
          <w:bCs w:val="0"/>
          <w:sz w:val="20"/>
          <w:szCs w:val="18"/>
        </w:rPr>
        <w:t>si</w:t>
      </w:r>
      <w:r w:rsidRPr="00A7414A">
        <w:rPr>
          <w:rFonts w:eastAsiaTheme="minorHAnsi" w:cstheme="minorBidi"/>
          <w:bCs w:val="0"/>
          <w:sz w:val="20"/>
          <w:szCs w:val="18"/>
        </w:rPr>
        <w:t xml:space="preserve">gnificance of </w:t>
      </w:r>
      <w:r w:rsidR="00391AA0">
        <w:rPr>
          <w:rFonts w:eastAsiaTheme="minorHAnsi" w:cstheme="minorBidi"/>
          <w:bCs w:val="0"/>
          <w:sz w:val="20"/>
          <w:szCs w:val="18"/>
        </w:rPr>
        <w:t>Proposed Development c</w:t>
      </w:r>
      <w:r w:rsidRPr="00A7414A">
        <w:rPr>
          <w:rFonts w:eastAsiaTheme="minorHAnsi" w:cstheme="minorBidi"/>
          <w:bCs w:val="0"/>
          <w:sz w:val="20"/>
          <w:szCs w:val="18"/>
        </w:rPr>
        <w:t xml:space="preserve">onstruction </w:t>
      </w:r>
      <w:r w:rsidR="00391AA0">
        <w:rPr>
          <w:rFonts w:eastAsiaTheme="minorHAnsi" w:cstheme="minorBidi"/>
          <w:bCs w:val="0"/>
          <w:sz w:val="20"/>
          <w:szCs w:val="18"/>
        </w:rPr>
        <w:t>phase e</w:t>
      </w:r>
      <w:r w:rsidRPr="00A7414A">
        <w:rPr>
          <w:rFonts w:eastAsiaTheme="minorHAnsi" w:cstheme="minorBidi"/>
          <w:bCs w:val="0"/>
          <w:sz w:val="20"/>
          <w:szCs w:val="18"/>
        </w:rPr>
        <w:t xml:space="preserve">missions can be evaluated as </w:t>
      </w:r>
      <w:r w:rsidRPr="008928B6">
        <w:rPr>
          <w:rFonts w:eastAsiaTheme="minorHAnsi" w:cstheme="minorBidi"/>
          <w:sz w:val="20"/>
          <w:szCs w:val="18"/>
        </w:rPr>
        <w:t>Minor Adverse</w:t>
      </w:r>
      <w:r w:rsidRPr="00A7414A">
        <w:rPr>
          <w:rFonts w:eastAsiaTheme="minorHAnsi" w:cstheme="minorBidi"/>
          <w:bCs w:val="0"/>
          <w:sz w:val="20"/>
          <w:szCs w:val="18"/>
        </w:rPr>
        <w:t xml:space="preserve"> and </w:t>
      </w:r>
      <w:r w:rsidRPr="008928B6">
        <w:rPr>
          <w:rFonts w:eastAsiaTheme="minorHAnsi" w:cstheme="minorBidi"/>
          <w:sz w:val="20"/>
          <w:szCs w:val="18"/>
        </w:rPr>
        <w:t>Not Significant.</w:t>
      </w:r>
    </w:p>
    <w:p w14:paraId="6B1E0D7F" w14:textId="2D2FFA1E" w:rsidR="00F23593" w:rsidRPr="0044463C" w:rsidRDefault="00F506D6" w:rsidP="00F506D6">
      <w:pPr>
        <w:pStyle w:val="Heading4"/>
      </w:pPr>
      <w:r w:rsidRPr="0044463C">
        <w:t xml:space="preserve">Operational Period </w:t>
      </w:r>
    </w:p>
    <w:p w14:paraId="00316E8A" w14:textId="5F38A41F" w:rsidR="00CA18C8" w:rsidRPr="008928B6" w:rsidRDefault="00CA18C8" w:rsidP="00CA18C8">
      <w:pPr>
        <w:pStyle w:val="Numberedtext"/>
        <w:numPr>
          <w:ilvl w:val="2"/>
          <w:numId w:val="0"/>
        </w:numPr>
        <w:spacing w:before="240"/>
        <w:rPr>
          <w:rFonts w:eastAsiaTheme="minorHAnsi" w:cstheme="minorBidi"/>
          <w:color w:val="000000" w:themeColor="text1"/>
          <w:sz w:val="20"/>
          <w:szCs w:val="18"/>
          <w:lang w:val="en-IE"/>
        </w:rPr>
      </w:pPr>
      <w:r w:rsidRPr="00A7414A">
        <w:rPr>
          <w:rFonts w:eastAsiaTheme="minorHAnsi" w:cstheme="minorBidi"/>
          <w:bCs w:val="0"/>
          <w:sz w:val="20"/>
          <w:szCs w:val="18"/>
        </w:rPr>
        <w:t>As discussed in</w:t>
      </w:r>
      <w:r w:rsidRPr="008928B6">
        <w:rPr>
          <w:rFonts w:eastAsiaTheme="minorHAnsi" w:cstheme="minorBidi"/>
          <w:sz w:val="20"/>
          <w:szCs w:val="18"/>
        </w:rPr>
        <w:t xml:space="preserve"> </w:t>
      </w:r>
      <w:r w:rsidR="00A143EF" w:rsidRPr="00391AA0">
        <w:rPr>
          <w:rFonts w:eastAsiaTheme="minorHAnsi" w:cstheme="minorBidi"/>
          <w:sz w:val="20"/>
          <w:szCs w:val="18"/>
        </w:rPr>
        <w:t>S</w:t>
      </w:r>
      <w:r w:rsidRPr="00391AA0">
        <w:rPr>
          <w:rFonts w:eastAsiaTheme="minorHAnsi" w:cstheme="minorBidi"/>
          <w:sz w:val="20"/>
          <w:szCs w:val="18"/>
        </w:rPr>
        <w:t>ection</w:t>
      </w:r>
      <w:r w:rsidR="0044463C" w:rsidRPr="00391AA0">
        <w:rPr>
          <w:rFonts w:eastAsiaTheme="minorHAnsi" w:cstheme="minorBidi"/>
          <w:sz w:val="20"/>
          <w:szCs w:val="18"/>
        </w:rPr>
        <w:t xml:space="preserve"> </w:t>
      </w:r>
      <w:r w:rsidR="0044463C" w:rsidRPr="008928B6">
        <w:rPr>
          <w:rFonts w:eastAsiaTheme="minorHAnsi" w:cstheme="minorBidi"/>
          <w:sz w:val="20"/>
          <w:szCs w:val="18"/>
        </w:rPr>
        <w:fldChar w:fldCharType="begin"/>
      </w:r>
      <w:r w:rsidR="0044463C" w:rsidRPr="00A7414A">
        <w:rPr>
          <w:rFonts w:asciiTheme="majorHAnsi" w:eastAsiaTheme="minorHAnsi" w:hAnsiTheme="majorHAnsi" w:cstheme="minorBidi"/>
          <w:b/>
          <w:bCs w:val="0"/>
          <w:color w:val="008768" w:themeColor="accent1"/>
          <w:sz w:val="20"/>
          <w:szCs w:val="18"/>
        </w:rPr>
        <w:instrText xml:space="preserve"> REF _Ref231376664 \r \h  \* MERGEFORMAT </w:instrText>
      </w:r>
      <w:r w:rsidR="0044463C" w:rsidRPr="00511353">
        <w:rPr>
          <w:rFonts w:eastAsiaTheme="minorHAnsi" w:cstheme="minorBidi"/>
          <w:sz w:val="20"/>
          <w:szCs w:val="18"/>
        </w:rPr>
      </w:r>
      <w:r w:rsidR="0044463C" w:rsidRPr="008928B6">
        <w:rPr>
          <w:rFonts w:eastAsiaTheme="minorHAnsi" w:cstheme="minorBidi"/>
          <w:sz w:val="20"/>
          <w:szCs w:val="18"/>
        </w:rPr>
        <w:fldChar w:fldCharType="separate"/>
      </w:r>
      <w:r w:rsidR="00391AA0">
        <w:rPr>
          <w:rFonts w:eastAsiaTheme="minorHAnsi" w:cstheme="minorBidi"/>
          <w:bCs w:val="0"/>
          <w:sz w:val="20"/>
          <w:szCs w:val="18"/>
        </w:rPr>
        <w:t>10.3.1.</w:t>
      </w:r>
      <w:r w:rsidR="00D83C6F" w:rsidRPr="00391AA0">
        <w:rPr>
          <w:rFonts w:eastAsiaTheme="minorHAnsi" w:cstheme="minorBidi"/>
          <w:sz w:val="20"/>
          <w:szCs w:val="18"/>
        </w:rPr>
        <w:t>4</w:t>
      </w:r>
      <w:r w:rsidR="0044463C" w:rsidRPr="008928B6">
        <w:rPr>
          <w:rFonts w:eastAsiaTheme="minorHAnsi" w:cstheme="minorBidi"/>
          <w:sz w:val="20"/>
          <w:szCs w:val="18"/>
        </w:rPr>
        <w:fldChar w:fldCharType="end"/>
      </w:r>
      <w:r w:rsidRPr="008928B6">
        <w:rPr>
          <w:rFonts w:eastAsiaTheme="minorHAnsi" w:cstheme="minorBidi"/>
          <w:sz w:val="20"/>
          <w:szCs w:val="18"/>
        </w:rPr>
        <w:t xml:space="preserve">, </w:t>
      </w:r>
      <w:r w:rsidRPr="00A7414A">
        <w:rPr>
          <w:rFonts w:eastAsiaTheme="minorHAnsi" w:cstheme="minorBidi"/>
          <w:bCs w:val="0"/>
          <w:sz w:val="20"/>
          <w:szCs w:val="18"/>
        </w:rPr>
        <w:t xml:space="preserve">in order to contextualise the </w:t>
      </w:r>
      <w:r w:rsidR="00391AA0">
        <w:rPr>
          <w:rFonts w:eastAsiaTheme="minorHAnsi" w:cstheme="minorBidi"/>
          <w:bCs w:val="0"/>
          <w:sz w:val="20"/>
          <w:szCs w:val="18"/>
        </w:rPr>
        <w:t xml:space="preserve">Proposed Development’s </w:t>
      </w:r>
      <w:r w:rsidRPr="00A7414A">
        <w:rPr>
          <w:rFonts w:eastAsiaTheme="minorHAnsi" w:cstheme="minorBidi"/>
          <w:bCs w:val="0"/>
          <w:sz w:val="20"/>
          <w:szCs w:val="18"/>
        </w:rPr>
        <w:t>operational emissions, they have been compared against Ireland’s Carbon Budget’s. The impact of the Proposed Development has been further contextualised by comparing the CO</w:t>
      </w:r>
      <w:r w:rsidRPr="00A7414A">
        <w:rPr>
          <w:rFonts w:eastAsiaTheme="minorHAnsi" w:cstheme="minorBidi"/>
          <w:bCs w:val="0"/>
          <w:sz w:val="20"/>
          <w:szCs w:val="18"/>
          <w:vertAlign w:val="subscript"/>
        </w:rPr>
        <w:t>2</w:t>
      </w:r>
      <w:r w:rsidRPr="00A7414A">
        <w:rPr>
          <w:rFonts w:eastAsiaTheme="minorHAnsi" w:cstheme="minorBidi"/>
          <w:bCs w:val="0"/>
          <w:sz w:val="20"/>
          <w:szCs w:val="18"/>
        </w:rPr>
        <w:t>e emissions with the projected</w:t>
      </w:r>
      <w:r w:rsidR="00B15292" w:rsidRPr="00A7414A">
        <w:rPr>
          <w:rFonts w:eastAsiaTheme="minorHAnsi" w:cstheme="minorBidi"/>
          <w:bCs w:val="0"/>
          <w:sz w:val="20"/>
          <w:szCs w:val="18"/>
        </w:rPr>
        <w:t xml:space="preserve"> Built Environment - Residential</w:t>
      </w:r>
      <w:r w:rsidRPr="00A7414A">
        <w:rPr>
          <w:rFonts w:eastAsiaTheme="minorHAnsi" w:cstheme="minorBidi"/>
          <w:bCs w:val="0"/>
          <w:sz w:val="20"/>
          <w:szCs w:val="18"/>
        </w:rPr>
        <w:t xml:space="preserve"> Emissions Trajectory for each of the Assessment Years (under the With Additional Measures scenario). As explained </w:t>
      </w:r>
      <w:r w:rsidRPr="0064529C">
        <w:rPr>
          <w:rFonts w:eastAsiaTheme="minorHAnsi" w:cstheme="minorBidi"/>
          <w:bCs w:val="0"/>
          <w:sz w:val="20"/>
          <w:szCs w:val="18"/>
        </w:rPr>
        <w:t xml:space="preserve">in </w:t>
      </w:r>
      <w:r w:rsidRPr="008928B6">
        <w:rPr>
          <w:rFonts w:eastAsiaTheme="minorHAnsi" w:cstheme="minorBidi"/>
          <w:sz w:val="20"/>
          <w:szCs w:val="18"/>
        </w:rPr>
        <w:t xml:space="preserve">Section </w:t>
      </w:r>
      <w:r w:rsidR="000C3C45" w:rsidRPr="008928B6">
        <w:rPr>
          <w:rFonts w:eastAsiaTheme="minorHAnsi" w:cstheme="minorBidi"/>
          <w:sz w:val="20"/>
          <w:szCs w:val="18"/>
        </w:rPr>
        <w:fldChar w:fldCharType="begin"/>
      </w:r>
      <w:r w:rsidR="000C3C45" w:rsidRPr="008928B6">
        <w:rPr>
          <w:rFonts w:eastAsiaTheme="minorHAnsi" w:cstheme="minorBidi"/>
          <w:sz w:val="20"/>
          <w:szCs w:val="18"/>
        </w:rPr>
        <w:instrText xml:space="preserve"> REF _Ref239682683 \n \h </w:instrText>
      </w:r>
      <w:r w:rsidR="0064529C">
        <w:rPr>
          <w:rFonts w:eastAsiaTheme="minorHAnsi" w:cstheme="minorBidi"/>
          <w:sz w:val="20"/>
          <w:szCs w:val="18"/>
        </w:rPr>
        <w:instrText xml:space="preserve"> \* MERGEFORMAT </w:instrText>
      </w:r>
      <w:r w:rsidR="000C3C45" w:rsidRPr="00511353">
        <w:rPr>
          <w:rFonts w:eastAsiaTheme="minorHAnsi" w:cstheme="minorBidi"/>
          <w:sz w:val="20"/>
          <w:szCs w:val="18"/>
        </w:rPr>
      </w:r>
      <w:r w:rsidR="000C3C45" w:rsidRPr="008928B6">
        <w:rPr>
          <w:rFonts w:eastAsiaTheme="minorHAnsi" w:cstheme="minorBidi"/>
          <w:sz w:val="20"/>
          <w:szCs w:val="18"/>
        </w:rPr>
        <w:fldChar w:fldCharType="separate"/>
      </w:r>
      <w:r w:rsidR="000C3C45" w:rsidRPr="008928B6">
        <w:rPr>
          <w:rFonts w:eastAsiaTheme="minorHAnsi" w:cstheme="minorBidi"/>
          <w:sz w:val="20"/>
          <w:szCs w:val="18"/>
        </w:rPr>
        <w:t>10.3.1</w:t>
      </w:r>
      <w:r w:rsidR="000C3C45" w:rsidRPr="008928B6">
        <w:rPr>
          <w:rFonts w:eastAsiaTheme="minorHAnsi" w:cstheme="minorBidi"/>
          <w:sz w:val="20"/>
          <w:szCs w:val="18"/>
        </w:rPr>
        <w:fldChar w:fldCharType="end"/>
      </w:r>
      <w:r w:rsidR="008C466D">
        <w:rPr>
          <w:rFonts w:eastAsiaTheme="minorHAnsi" w:cstheme="minorBidi"/>
          <w:bCs w:val="0"/>
          <w:sz w:val="20"/>
          <w:szCs w:val="18"/>
        </w:rPr>
        <w:t>,</w:t>
      </w:r>
      <w:r w:rsidRPr="00A7414A">
        <w:rPr>
          <w:rFonts w:eastAsiaTheme="minorHAnsi" w:cstheme="minorBidi"/>
          <w:bCs w:val="0"/>
          <w:sz w:val="20"/>
          <w:szCs w:val="18"/>
        </w:rPr>
        <w:t xml:space="preserve"> the more ambitious of the two scenarios (With Additional Measures) has been used here </w:t>
      </w:r>
      <w:r w:rsidRPr="008928B6">
        <w:rPr>
          <w:rFonts w:eastAsiaTheme="minorHAnsi" w:cstheme="minorBidi"/>
          <w:color w:val="000000" w:themeColor="text1"/>
          <w:sz w:val="20"/>
          <w:szCs w:val="18"/>
          <w:lang w:val="en-IE"/>
        </w:rPr>
        <w:t xml:space="preserve">as a proxy for the trajectory </w:t>
      </w:r>
      <w:r w:rsidR="00676B83" w:rsidRPr="008928B6">
        <w:rPr>
          <w:rFonts w:eastAsiaTheme="minorHAnsi" w:cstheme="minorBidi"/>
          <w:color w:val="000000" w:themeColor="text1"/>
          <w:sz w:val="20"/>
          <w:szCs w:val="18"/>
          <w:lang w:val="en-IE"/>
        </w:rPr>
        <w:t>as</w:t>
      </w:r>
      <w:r w:rsidRPr="008928B6">
        <w:rPr>
          <w:rFonts w:eastAsiaTheme="minorHAnsi" w:cstheme="minorBidi"/>
          <w:color w:val="000000" w:themeColor="text1"/>
          <w:sz w:val="20"/>
          <w:szCs w:val="18"/>
          <w:lang w:val="en-IE"/>
        </w:rPr>
        <w:t xml:space="preserve"> it presents a</w:t>
      </w:r>
      <w:r w:rsidR="00676B83" w:rsidRPr="008928B6">
        <w:rPr>
          <w:rFonts w:eastAsiaTheme="minorHAnsi" w:cstheme="minorBidi"/>
          <w:color w:val="000000" w:themeColor="text1"/>
          <w:sz w:val="20"/>
          <w:szCs w:val="18"/>
          <w:lang w:val="en-IE"/>
        </w:rPr>
        <w:t xml:space="preserve"> more</w:t>
      </w:r>
      <w:r w:rsidRPr="008928B6">
        <w:rPr>
          <w:rFonts w:eastAsiaTheme="minorHAnsi" w:cstheme="minorBidi"/>
          <w:color w:val="000000" w:themeColor="text1"/>
          <w:sz w:val="20"/>
          <w:szCs w:val="18"/>
          <w:lang w:val="en-IE"/>
        </w:rPr>
        <w:t xml:space="preserve"> conservative</w:t>
      </w:r>
      <w:r w:rsidR="00676B83" w:rsidRPr="008928B6">
        <w:rPr>
          <w:rFonts w:eastAsiaTheme="minorHAnsi" w:cstheme="minorBidi"/>
          <w:color w:val="000000" w:themeColor="text1"/>
          <w:sz w:val="20"/>
          <w:szCs w:val="18"/>
          <w:lang w:val="en-IE"/>
        </w:rPr>
        <w:t>, worst-case</w:t>
      </w:r>
      <w:r w:rsidRPr="008928B6">
        <w:rPr>
          <w:rFonts w:eastAsiaTheme="minorHAnsi" w:cstheme="minorBidi"/>
          <w:color w:val="000000" w:themeColor="text1"/>
          <w:sz w:val="20"/>
          <w:szCs w:val="18"/>
          <w:lang w:val="en-IE"/>
        </w:rPr>
        <w:t xml:space="preserve"> scenario.</w:t>
      </w:r>
    </w:p>
    <w:p w14:paraId="79F6AB95" w14:textId="1AFD1474" w:rsidR="00D83C6F" w:rsidRPr="005049F3" w:rsidRDefault="00CA18C8" w:rsidP="00D83C6F">
      <w:pPr>
        <w:pStyle w:val="Numberedtext"/>
        <w:numPr>
          <w:ilvl w:val="2"/>
          <w:numId w:val="0"/>
        </w:numPr>
        <w:spacing w:before="240"/>
        <w:rPr>
          <w:rFonts w:eastAsiaTheme="minorHAnsi" w:cstheme="minorBidi"/>
          <w:color w:val="000000" w:themeColor="text1"/>
          <w:sz w:val="20"/>
          <w:szCs w:val="18"/>
          <w:lang w:val="en-IE"/>
        </w:rPr>
      </w:pPr>
      <w:r w:rsidRPr="008928B6">
        <w:rPr>
          <w:rFonts w:eastAsiaTheme="minorHAnsi" w:cstheme="minorBidi"/>
          <w:color w:val="000000" w:themeColor="text1"/>
          <w:sz w:val="20"/>
          <w:szCs w:val="18"/>
          <w:lang w:val="en-IE"/>
        </w:rPr>
        <w:lastRenderedPageBreak/>
        <w:t xml:space="preserve">As shown in </w:t>
      </w:r>
      <w:r w:rsidRPr="008928B6">
        <w:rPr>
          <w:rFonts w:eastAsiaTheme="minorHAnsi" w:cstheme="minorBidi"/>
          <w:color w:val="000000" w:themeColor="text1"/>
          <w:sz w:val="20"/>
          <w:szCs w:val="18"/>
          <w:lang w:val="en-IE"/>
        </w:rPr>
        <w:fldChar w:fldCharType="begin"/>
      </w:r>
      <w:r w:rsidRPr="008928B6">
        <w:rPr>
          <w:rFonts w:eastAsiaTheme="minorHAnsi" w:cstheme="minorBidi"/>
          <w:color w:val="000000" w:themeColor="text1"/>
          <w:sz w:val="20"/>
          <w:szCs w:val="18"/>
          <w:lang w:val="en-IE"/>
        </w:rPr>
        <w:instrText xml:space="preserve"> REF _Ref214381152 \h  \* MERGEFORMAT </w:instrText>
      </w:r>
      <w:r w:rsidRPr="00511353">
        <w:rPr>
          <w:rFonts w:eastAsiaTheme="minorHAnsi" w:cstheme="minorBidi"/>
          <w:color w:val="000000" w:themeColor="text1"/>
          <w:sz w:val="20"/>
          <w:szCs w:val="18"/>
          <w:lang w:val="en-IE"/>
        </w:rPr>
      </w:r>
      <w:r w:rsidRPr="008928B6">
        <w:rPr>
          <w:rFonts w:eastAsiaTheme="minorHAnsi" w:cstheme="minorBidi"/>
          <w:color w:val="000000" w:themeColor="text1"/>
          <w:sz w:val="20"/>
          <w:szCs w:val="18"/>
          <w:lang w:val="en-IE"/>
        </w:rPr>
        <w:fldChar w:fldCharType="separate"/>
      </w:r>
      <w:r w:rsidR="00D83C6F" w:rsidRPr="005049F3">
        <w:rPr>
          <w:rFonts w:eastAsiaTheme="minorHAnsi" w:cstheme="minorBidi"/>
          <w:color w:val="000000" w:themeColor="text1"/>
          <w:sz w:val="20"/>
          <w:szCs w:val="18"/>
          <w:lang w:val="en-IE"/>
        </w:rPr>
        <w:t>Table 10</w:t>
      </w:r>
      <w:r w:rsidR="00D83C6F" w:rsidRPr="005049F3">
        <w:rPr>
          <w:rFonts w:eastAsiaTheme="minorHAnsi" w:cstheme="minorBidi"/>
          <w:color w:val="000000" w:themeColor="text1"/>
          <w:sz w:val="20"/>
          <w:szCs w:val="18"/>
          <w:lang w:val="en-IE"/>
        </w:rPr>
        <w:noBreakHyphen/>
        <w:t>18</w:t>
      </w:r>
      <w:r w:rsidRPr="008928B6">
        <w:rPr>
          <w:rFonts w:eastAsiaTheme="minorHAnsi" w:cstheme="minorBidi"/>
          <w:color w:val="000000" w:themeColor="text1"/>
          <w:sz w:val="20"/>
          <w:szCs w:val="18"/>
          <w:lang w:val="en-IE"/>
        </w:rPr>
        <w:fldChar w:fldCharType="end"/>
      </w:r>
      <w:r w:rsidRPr="008928B6">
        <w:rPr>
          <w:rFonts w:eastAsiaTheme="minorHAnsi" w:cstheme="minorBidi"/>
          <w:color w:val="000000" w:themeColor="text1"/>
          <w:sz w:val="20"/>
          <w:szCs w:val="18"/>
          <w:lang w:val="en-IE"/>
        </w:rPr>
        <w:t xml:space="preserve"> and</w:t>
      </w:r>
      <w:r w:rsidRPr="008928B6">
        <w:rPr>
          <w:rFonts w:eastAsiaTheme="minorHAnsi" w:cstheme="minorBidi"/>
          <w:color w:val="000000" w:themeColor="text1"/>
          <w:sz w:val="20"/>
          <w:szCs w:val="18"/>
          <w:lang w:val="en-IE"/>
        </w:rPr>
        <w:fldChar w:fldCharType="begin"/>
      </w:r>
      <w:r w:rsidRPr="008928B6">
        <w:rPr>
          <w:rFonts w:eastAsiaTheme="minorHAnsi" w:cstheme="minorBidi"/>
          <w:color w:val="000000" w:themeColor="text1"/>
          <w:sz w:val="20"/>
          <w:szCs w:val="18"/>
          <w:lang w:val="en-IE"/>
        </w:rPr>
        <w:instrText xml:space="preserve"> REF _Ref214381149 \h  \* MERGEFORMAT </w:instrText>
      </w:r>
      <w:r w:rsidRPr="00511353">
        <w:rPr>
          <w:rFonts w:eastAsiaTheme="minorHAnsi" w:cstheme="minorBidi"/>
          <w:color w:val="000000" w:themeColor="text1"/>
          <w:sz w:val="20"/>
          <w:szCs w:val="18"/>
          <w:lang w:val="en-IE"/>
        </w:rPr>
      </w:r>
      <w:r w:rsidRPr="008928B6">
        <w:rPr>
          <w:rFonts w:eastAsiaTheme="minorHAnsi" w:cstheme="minorBidi"/>
          <w:color w:val="000000" w:themeColor="text1"/>
          <w:sz w:val="20"/>
          <w:szCs w:val="18"/>
          <w:lang w:val="en-IE"/>
        </w:rPr>
        <w:fldChar w:fldCharType="separate"/>
      </w:r>
    </w:p>
    <w:p w14:paraId="036A5A63" w14:textId="7A065BC9" w:rsidR="00CA18C8" w:rsidRPr="00A7414A" w:rsidRDefault="00D83C6F" w:rsidP="00CA18C8">
      <w:pPr>
        <w:pStyle w:val="Numberedtext"/>
        <w:numPr>
          <w:ilvl w:val="2"/>
          <w:numId w:val="0"/>
        </w:numPr>
        <w:spacing w:before="240"/>
        <w:rPr>
          <w:rFonts w:eastAsiaTheme="minorHAnsi" w:cstheme="minorBidi"/>
          <w:bCs w:val="0"/>
          <w:sz w:val="20"/>
          <w:szCs w:val="18"/>
        </w:rPr>
      </w:pPr>
      <w:r w:rsidRPr="005049F3">
        <w:rPr>
          <w:rFonts w:eastAsiaTheme="minorHAnsi" w:cstheme="minorBidi"/>
          <w:color w:val="000000" w:themeColor="text1"/>
          <w:sz w:val="20"/>
          <w:szCs w:val="18"/>
          <w:lang w:val="en-IE"/>
        </w:rPr>
        <w:t>Table 10</w:t>
      </w:r>
      <w:r w:rsidRPr="005049F3">
        <w:rPr>
          <w:rFonts w:eastAsiaTheme="minorHAnsi" w:cstheme="minorBidi"/>
          <w:color w:val="000000" w:themeColor="text1"/>
          <w:sz w:val="20"/>
          <w:szCs w:val="18"/>
          <w:lang w:val="en-IE"/>
        </w:rPr>
        <w:noBreakHyphen/>
        <w:t>19</w:t>
      </w:r>
      <w:r w:rsidR="00CA18C8" w:rsidRPr="008928B6">
        <w:rPr>
          <w:rFonts w:eastAsiaTheme="minorHAnsi" w:cstheme="minorBidi"/>
          <w:color w:val="000000" w:themeColor="text1"/>
          <w:sz w:val="20"/>
          <w:szCs w:val="18"/>
          <w:lang w:val="en-IE"/>
        </w:rPr>
        <w:fldChar w:fldCharType="end"/>
      </w:r>
      <w:r w:rsidR="00CA18C8" w:rsidRPr="008928B6">
        <w:rPr>
          <w:rFonts w:eastAsiaTheme="minorHAnsi" w:cstheme="minorBidi"/>
          <w:color w:val="000000" w:themeColor="text1"/>
          <w:sz w:val="20"/>
          <w:szCs w:val="18"/>
          <w:lang w:val="en-IE"/>
        </w:rPr>
        <w:t xml:space="preserve">, </w:t>
      </w:r>
      <w:r w:rsidR="009B4D11">
        <w:rPr>
          <w:rFonts w:eastAsiaTheme="minorHAnsi" w:cstheme="minorBidi"/>
          <w:color w:val="000000" w:themeColor="text1"/>
          <w:sz w:val="20"/>
          <w:szCs w:val="18"/>
          <w:lang w:val="en-IE"/>
        </w:rPr>
        <w:t>T</w:t>
      </w:r>
      <w:r w:rsidR="00CA18C8" w:rsidRPr="008928B6">
        <w:rPr>
          <w:rFonts w:eastAsiaTheme="minorHAnsi" w:cstheme="minorBidi"/>
          <w:color w:val="000000" w:themeColor="text1"/>
          <w:sz w:val="20"/>
          <w:szCs w:val="18"/>
          <w:lang w:val="en-IE"/>
        </w:rPr>
        <w:t>h</w:t>
      </w:r>
      <w:r w:rsidR="00CA18C8" w:rsidRPr="00A7414A">
        <w:rPr>
          <w:rFonts w:eastAsiaTheme="minorHAnsi" w:cstheme="minorBidi"/>
          <w:bCs w:val="0"/>
          <w:sz w:val="20"/>
          <w:szCs w:val="18"/>
        </w:rPr>
        <w:t xml:space="preserve">e Proposed Development's operational emissions only account for </w:t>
      </w:r>
      <w:r w:rsidR="0081208F" w:rsidRPr="00A7414A">
        <w:rPr>
          <w:rFonts w:eastAsiaTheme="minorHAnsi" w:cstheme="minorBidi"/>
          <w:bCs w:val="0"/>
          <w:sz w:val="20"/>
          <w:szCs w:val="18"/>
        </w:rPr>
        <w:t>&lt;</w:t>
      </w:r>
      <w:r w:rsidR="00CA18C8" w:rsidRPr="00A7414A">
        <w:rPr>
          <w:rFonts w:eastAsiaTheme="minorHAnsi" w:cstheme="minorBidi"/>
          <w:bCs w:val="0"/>
          <w:sz w:val="20"/>
          <w:szCs w:val="18"/>
        </w:rPr>
        <w:t>0.0</w:t>
      </w:r>
      <w:r w:rsidR="000F66F1" w:rsidRPr="00A7414A">
        <w:rPr>
          <w:rFonts w:eastAsiaTheme="minorHAnsi" w:cstheme="minorBidi"/>
          <w:bCs w:val="0"/>
          <w:sz w:val="20"/>
          <w:szCs w:val="18"/>
        </w:rPr>
        <w:t>01</w:t>
      </w:r>
      <w:r w:rsidR="00CA18C8" w:rsidRPr="00A7414A">
        <w:rPr>
          <w:rFonts w:eastAsiaTheme="minorHAnsi" w:cstheme="minorBidi"/>
          <w:bCs w:val="0"/>
          <w:sz w:val="20"/>
          <w:szCs w:val="18"/>
        </w:rPr>
        <w:t>%</w:t>
      </w:r>
      <w:r w:rsidR="00EB6A96" w:rsidRPr="00A7414A">
        <w:rPr>
          <w:rFonts w:eastAsiaTheme="minorHAnsi" w:cstheme="minorBidi"/>
          <w:bCs w:val="0"/>
          <w:sz w:val="20"/>
          <w:szCs w:val="18"/>
        </w:rPr>
        <w:t xml:space="preserve"> and 0.00</w:t>
      </w:r>
      <w:r w:rsidR="00EA0C97">
        <w:rPr>
          <w:rFonts w:eastAsiaTheme="minorHAnsi" w:cstheme="minorBidi"/>
          <w:bCs w:val="0"/>
          <w:sz w:val="20"/>
          <w:szCs w:val="18"/>
        </w:rPr>
        <w:t>1</w:t>
      </w:r>
      <w:r w:rsidR="00EB6A96" w:rsidRPr="00A7414A">
        <w:rPr>
          <w:rFonts w:eastAsiaTheme="minorHAnsi" w:cstheme="minorBidi"/>
          <w:bCs w:val="0"/>
          <w:sz w:val="20"/>
          <w:szCs w:val="18"/>
        </w:rPr>
        <w:t>%</w:t>
      </w:r>
      <w:r w:rsidR="00CA18C8" w:rsidRPr="00A7414A">
        <w:rPr>
          <w:rFonts w:eastAsiaTheme="minorHAnsi" w:cstheme="minorBidi"/>
          <w:bCs w:val="0"/>
          <w:sz w:val="20"/>
          <w:szCs w:val="18"/>
        </w:rPr>
        <w:t xml:space="preserve"> of the National Carbon Budget</w:t>
      </w:r>
      <w:r w:rsidR="00EB6A96" w:rsidRPr="00A7414A">
        <w:rPr>
          <w:rFonts w:eastAsiaTheme="minorHAnsi" w:cstheme="minorBidi"/>
          <w:bCs w:val="0"/>
          <w:sz w:val="20"/>
          <w:szCs w:val="18"/>
        </w:rPr>
        <w:t>s</w:t>
      </w:r>
      <w:r w:rsidR="00CA18C8" w:rsidRPr="00A7414A">
        <w:rPr>
          <w:rFonts w:eastAsiaTheme="minorHAnsi" w:cstheme="minorBidi"/>
          <w:bCs w:val="0"/>
          <w:sz w:val="20"/>
          <w:szCs w:val="18"/>
        </w:rPr>
        <w:t xml:space="preserve"> and</w:t>
      </w:r>
      <w:r w:rsidR="00587AAC" w:rsidRPr="00A7414A">
        <w:rPr>
          <w:rFonts w:eastAsiaTheme="minorHAnsi" w:cstheme="minorBidi"/>
          <w:bCs w:val="0"/>
          <w:sz w:val="20"/>
          <w:szCs w:val="18"/>
        </w:rPr>
        <w:t xml:space="preserve"> no more than 0.0</w:t>
      </w:r>
      <w:r w:rsidR="002D7F8A">
        <w:rPr>
          <w:rFonts w:eastAsiaTheme="minorHAnsi" w:cstheme="minorBidi"/>
          <w:bCs w:val="0"/>
          <w:sz w:val="20"/>
          <w:szCs w:val="18"/>
        </w:rPr>
        <w:t>15</w:t>
      </w:r>
      <w:r w:rsidR="00587AAC" w:rsidRPr="00A7414A">
        <w:rPr>
          <w:rFonts w:eastAsiaTheme="minorHAnsi" w:cstheme="minorBidi"/>
          <w:bCs w:val="0"/>
          <w:sz w:val="20"/>
          <w:szCs w:val="18"/>
        </w:rPr>
        <w:t>% of any</w:t>
      </w:r>
      <w:r w:rsidR="00CA18C8" w:rsidRPr="00A7414A">
        <w:rPr>
          <w:rFonts w:eastAsiaTheme="minorHAnsi" w:cstheme="minorBidi"/>
          <w:bCs w:val="0"/>
          <w:sz w:val="20"/>
          <w:szCs w:val="18"/>
        </w:rPr>
        <w:t xml:space="preserve"> </w:t>
      </w:r>
      <w:r w:rsidR="00587AAC" w:rsidRPr="00A7414A">
        <w:rPr>
          <w:rFonts w:eastAsiaTheme="minorHAnsi" w:cstheme="minorBidi"/>
          <w:bCs w:val="0"/>
          <w:sz w:val="20"/>
          <w:szCs w:val="18"/>
        </w:rPr>
        <w:t>sector specific budget</w:t>
      </w:r>
      <w:r w:rsidR="000F147E" w:rsidRPr="00A7414A">
        <w:rPr>
          <w:rFonts w:eastAsiaTheme="minorHAnsi" w:cstheme="minorBidi"/>
          <w:bCs w:val="0"/>
          <w:sz w:val="20"/>
          <w:szCs w:val="18"/>
        </w:rPr>
        <w:t xml:space="preserve"> to 2050</w:t>
      </w:r>
      <w:r w:rsidR="00CA18C8" w:rsidRPr="00A7414A">
        <w:rPr>
          <w:rFonts w:eastAsiaTheme="minorHAnsi" w:cstheme="minorBidi"/>
          <w:bCs w:val="0"/>
          <w:sz w:val="20"/>
          <w:szCs w:val="18"/>
        </w:rPr>
        <w:t>.</w:t>
      </w:r>
    </w:p>
    <w:p w14:paraId="221A2890" w14:textId="0D405D73" w:rsidR="00CA18C8" w:rsidRPr="00A7414A" w:rsidRDefault="00CA18C8" w:rsidP="00CA18C8">
      <w:pPr>
        <w:pStyle w:val="Caption"/>
      </w:pPr>
      <w:bookmarkStart w:id="139" w:name="_Ref214381152"/>
      <w:bookmarkStart w:id="140" w:name="_Toc216107543"/>
      <w:bookmarkStart w:id="141" w:name="_Toc238199693"/>
      <w:r w:rsidRPr="00A7414A">
        <w:t xml:space="preserve">Table </w:t>
      </w:r>
      <w:r>
        <w:fldChar w:fldCharType="begin"/>
      </w:r>
      <w:r>
        <w:instrText>STYLEREF 1 \s</w:instrText>
      </w:r>
      <w:r>
        <w:fldChar w:fldCharType="separate"/>
      </w:r>
      <w:r w:rsidR="00D83C6F">
        <w:rPr>
          <w:noProof/>
        </w:rPr>
        <w:t>10</w:t>
      </w:r>
      <w:r>
        <w:fldChar w:fldCharType="end"/>
      </w:r>
      <w:r w:rsidR="00BE5583" w:rsidRPr="00A7414A">
        <w:noBreakHyphen/>
      </w:r>
      <w:r>
        <w:fldChar w:fldCharType="begin"/>
      </w:r>
      <w:r>
        <w:instrText>SEQ Table \* ARABIC \s 1</w:instrText>
      </w:r>
      <w:r>
        <w:fldChar w:fldCharType="separate"/>
      </w:r>
      <w:r w:rsidR="00D83C6F">
        <w:rPr>
          <w:noProof/>
        </w:rPr>
        <w:t>18</w:t>
      </w:r>
      <w:r>
        <w:fldChar w:fldCharType="end"/>
      </w:r>
      <w:bookmarkEnd w:id="139"/>
      <w:r w:rsidR="00361852">
        <w:t>:</w:t>
      </w:r>
      <w:r w:rsidRPr="00A7414A">
        <w:t xml:space="preserve"> Operational GHG Emissions Contribution to Ireland's Carbon </w:t>
      </w:r>
      <w:r w:rsidRPr="00A7414A">
        <w:rPr>
          <w:noProof/>
        </w:rPr>
        <w:t>Budgets</w:t>
      </w:r>
      <w:bookmarkEnd w:id="140"/>
      <w:bookmarkEnd w:id="141"/>
    </w:p>
    <w:tbl>
      <w:tblPr>
        <w:tblStyle w:val="AECOMtable"/>
        <w:tblW w:w="5001" w:type="pct"/>
        <w:tblInd w:w="-1" w:type="dxa"/>
        <w:tblLayout w:type="fixed"/>
        <w:tblLook w:val="04A0" w:firstRow="1" w:lastRow="0" w:firstColumn="1" w:lastColumn="0" w:noHBand="0" w:noVBand="1"/>
      </w:tblPr>
      <w:tblGrid>
        <w:gridCol w:w="2939"/>
        <w:gridCol w:w="2139"/>
        <w:gridCol w:w="2139"/>
        <w:gridCol w:w="2139"/>
      </w:tblGrid>
      <w:tr w:rsidR="00CA18C8" w:rsidRPr="00CA18C8" w14:paraId="4E7B80B4" w14:textId="77777777" w:rsidTr="00A7414A">
        <w:trPr>
          <w:cnfStyle w:val="100000000000" w:firstRow="1" w:lastRow="0" w:firstColumn="0" w:lastColumn="0" w:oddVBand="0" w:evenVBand="0" w:oddHBand="0" w:evenHBand="0" w:firstRowFirstColumn="0" w:firstRowLastColumn="0" w:lastRowFirstColumn="0" w:lastRowLastColumn="0"/>
          <w:trHeight w:val="318"/>
          <w:tblHeader/>
        </w:trPr>
        <w:tc>
          <w:tcPr>
            <w:tcW w:w="2939" w:type="dxa"/>
          </w:tcPr>
          <w:p w14:paraId="6092DEAF" w14:textId="77777777" w:rsidR="00CA18C8" w:rsidRPr="00A7414A" w:rsidRDefault="00CA18C8">
            <w:pPr>
              <w:pStyle w:val="Tabletext"/>
              <w:ind w:right="57"/>
              <w:jc w:val="left"/>
            </w:pPr>
            <w:r w:rsidRPr="00A7414A">
              <w:t>Carbon Budget</w:t>
            </w:r>
          </w:p>
        </w:tc>
        <w:tc>
          <w:tcPr>
            <w:tcW w:w="2139" w:type="dxa"/>
          </w:tcPr>
          <w:p w14:paraId="7D75C656" w14:textId="77777777" w:rsidR="00CA18C8" w:rsidRPr="00A7414A" w:rsidRDefault="00CA18C8">
            <w:pPr>
              <w:pStyle w:val="Tabletext"/>
              <w:ind w:right="57"/>
              <w:jc w:val="center"/>
            </w:pPr>
            <w:r w:rsidRPr="00A7414A">
              <w:t>Ireland Carbon Budget (MtCO</w:t>
            </w:r>
            <w:r w:rsidRPr="00A7414A">
              <w:rPr>
                <w:vertAlign w:val="subscript"/>
              </w:rPr>
              <w:t>2</w:t>
            </w:r>
            <w:r w:rsidRPr="00A7414A">
              <w:t>eq)</w:t>
            </w:r>
          </w:p>
        </w:tc>
        <w:tc>
          <w:tcPr>
            <w:tcW w:w="2139" w:type="dxa"/>
          </w:tcPr>
          <w:p w14:paraId="2A46C2D6" w14:textId="77777777" w:rsidR="00CA18C8" w:rsidRPr="00A7414A" w:rsidRDefault="00CA18C8">
            <w:pPr>
              <w:pStyle w:val="Tabletext"/>
              <w:ind w:right="57"/>
              <w:jc w:val="center"/>
            </w:pPr>
            <w:r w:rsidRPr="00A7414A">
              <w:t>Project Emissions (tCO</w:t>
            </w:r>
            <w:r w:rsidRPr="00A7414A">
              <w:rPr>
                <w:vertAlign w:val="subscript"/>
              </w:rPr>
              <w:t>2</w:t>
            </w:r>
            <w:r w:rsidRPr="00A7414A">
              <w:t>e)</w:t>
            </w:r>
          </w:p>
        </w:tc>
        <w:tc>
          <w:tcPr>
            <w:tcW w:w="2139" w:type="dxa"/>
          </w:tcPr>
          <w:p w14:paraId="77AD4D4D" w14:textId="77777777" w:rsidR="00CA18C8" w:rsidRPr="00A7414A" w:rsidRDefault="00CA18C8">
            <w:pPr>
              <w:pStyle w:val="Tabletext"/>
              <w:ind w:right="57"/>
              <w:jc w:val="center"/>
            </w:pPr>
            <w:r w:rsidRPr="00A7414A">
              <w:t>Percentage Contribution of Ireland’s Budget Emissions (%)</w:t>
            </w:r>
          </w:p>
        </w:tc>
      </w:tr>
      <w:tr w:rsidR="00CA18C8" w:rsidRPr="00CA18C8" w14:paraId="643F5445" w14:textId="77777777" w:rsidTr="00A7414A">
        <w:trPr>
          <w:trHeight w:val="245"/>
        </w:trPr>
        <w:tc>
          <w:tcPr>
            <w:tcW w:w="2939" w:type="dxa"/>
          </w:tcPr>
          <w:p w14:paraId="73054B6F" w14:textId="77777777" w:rsidR="00CA18C8" w:rsidRPr="00A7414A" w:rsidRDefault="00CA18C8">
            <w:pPr>
              <w:pStyle w:val="Tabletext"/>
              <w:jc w:val="left"/>
            </w:pPr>
            <w:r w:rsidRPr="00A7414A">
              <w:t xml:space="preserve">Carbon Budget 2 (2026 – 2030) </w:t>
            </w:r>
          </w:p>
        </w:tc>
        <w:tc>
          <w:tcPr>
            <w:tcW w:w="2139" w:type="dxa"/>
            <w:vAlign w:val="center"/>
          </w:tcPr>
          <w:p w14:paraId="2D2BDD8F" w14:textId="77777777" w:rsidR="00CA18C8" w:rsidRPr="00A7414A" w:rsidRDefault="00CA18C8">
            <w:pPr>
              <w:pStyle w:val="Tabletext"/>
              <w:jc w:val="center"/>
            </w:pPr>
            <w:r w:rsidRPr="00A7414A">
              <w:t>200</w:t>
            </w:r>
          </w:p>
        </w:tc>
        <w:tc>
          <w:tcPr>
            <w:tcW w:w="2139" w:type="dxa"/>
            <w:vAlign w:val="center"/>
          </w:tcPr>
          <w:p w14:paraId="06DF70B9" w14:textId="0EE23557" w:rsidR="00CA18C8" w:rsidRPr="00A7414A" w:rsidRDefault="00425810">
            <w:pPr>
              <w:pStyle w:val="Tabletext"/>
              <w:jc w:val="center"/>
            </w:pPr>
            <w:r>
              <w:t>24</w:t>
            </w:r>
            <w:r w:rsidR="008A231F">
              <w:t>3</w:t>
            </w:r>
          </w:p>
        </w:tc>
        <w:tc>
          <w:tcPr>
            <w:tcW w:w="2139" w:type="dxa"/>
            <w:vAlign w:val="center"/>
          </w:tcPr>
          <w:p w14:paraId="44F41E68" w14:textId="1527FB82" w:rsidR="00CA18C8" w:rsidRPr="00A7414A" w:rsidRDefault="00852992">
            <w:pPr>
              <w:pStyle w:val="Tabletext"/>
              <w:jc w:val="center"/>
            </w:pPr>
            <w:r w:rsidRPr="00A7414A">
              <w:t>&lt;0.0</w:t>
            </w:r>
            <w:r w:rsidR="009457A8" w:rsidRPr="00A7414A">
              <w:t>0</w:t>
            </w:r>
            <w:r w:rsidRPr="00A7414A">
              <w:t>1</w:t>
            </w:r>
            <w:r w:rsidR="00CA18C8" w:rsidRPr="00A7414A">
              <w:t>%</w:t>
            </w:r>
          </w:p>
        </w:tc>
      </w:tr>
      <w:tr w:rsidR="00CA18C8" w:rsidRPr="00CA18C8" w14:paraId="1706B2C8" w14:textId="77777777" w:rsidTr="00A7414A">
        <w:trPr>
          <w:trHeight w:val="245"/>
        </w:trPr>
        <w:tc>
          <w:tcPr>
            <w:tcW w:w="2939" w:type="dxa"/>
          </w:tcPr>
          <w:p w14:paraId="6C90C8C2" w14:textId="379FB1D9" w:rsidR="00CA18C8" w:rsidRPr="00A7414A" w:rsidRDefault="00CA18C8">
            <w:pPr>
              <w:pStyle w:val="Tabletext"/>
              <w:jc w:val="left"/>
            </w:pPr>
            <w:r w:rsidRPr="00A7414A">
              <w:t xml:space="preserve">Carbon Budget </w:t>
            </w:r>
            <w:r w:rsidR="008F143D">
              <w:t>3</w:t>
            </w:r>
            <w:r w:rsidRPr="00A7414A">
              <w:t xml:space="preserve"> (203</w:t>
            </w:r>
            <w:r w:rsidR="00241587">
              <w:t>1</w:t>
            </w:r>
            <w:r w:rsidRPr="00A7414A">
              <w:t xml:space="preserve"> – 20</w:t>
            </w:r>
            <w:r w:rsidR="00E55846">
              <w:t>35</w:t>
            </w:r>
            <w:r w:rsidRPr="00A7414A">
              <w:t>)</w:t>
            </w:r>
          </w:p>
        </w:tc>
        <w:tc>
          <w:tcPr>
            <w:tcW w:w="2139" w:type="dxa"/>
            <w:vAlign w:val="center"/>
          </w:tcPr>
          <w:p w14:paraId="0972B7AF" w14:textId="77777777" w:rsidR="00CA18C8" w:rsidRPr="00A7414A" w:rsidRDefault="00CA18C8">
            <w:pPr>
              <w:pStyle w:val="Tabletext"/>
              <w:jc w:val="center"/>
            </w:pPr>
            <w:r w:rsidRPr="00A7414A">
              <w:t>151</w:t>
            </w:r>
          </w:p>
        </w:tc>
        <w:tc>
          <w:tcPr>
            <w:tcW w:w="2139" w:type="dxa"/>
            <w:vAlign w:val="center"/>
          </w:tcPr>
          <w:p w14:paraId="10FD7C22" w14:textId="1724F6F7" w:rsidR="00CA18C8" w:rsidRPr="00A7414A" w:rsidRDefault="00EA0C97">
            <w:pPr>
              <w:pStyle w:val="Tabletext"/>
              <w:jc w:val="center"/>
            </w:pPr>
            <w:r>
              <w:t>1,21</w:t>
            </w:r>
            <w:r w:rsidR="008A231F">
              <w:t>7</w:t>
            </w:r>
          </w:p>
        </w:tc>
        <w:tc>
          <w:tcPr>
            <w:tcW w:w="2139" w:type="dxa"/>
            <w:vAlign w:val="center"/>
          </w:tcPr>
          <w:p w14:paraId="678FE9BC" w14:textId="2793D4E9" w:rsidR="00CA18C8" w:rsidRPr="00A7414A" w:rsidRDefault="00CA18C8">
            <w:pPr>
              <w:pStyle w:val="Tabletext"/>
              <w:jc w:val="center"/>
            </w:pPr>
            <w:r w:rsidRPr="00A7414A">
              <w:t>0.00</w:t>
            </w:r>
            <w:r w:rsidR="00EA0C97">
              <w:t>1</w:t>
            </w:r>
            <w:r w:rsidRPr="00A7414A">
              <w:t>%</w:t>
            </w:r>
          </w:p>
        </w:tc>
      </w:tr>
    </w:tbl>
    <w:p w14:paraId="71B5C63F" w14:textId="77777777" w:rsidR="00EB525B" w:rsidRDefault="00EB525B" w:rsidP="00CA18C8">
      <w:pPr>
        <w:pStyle w:val="Caption"/>
        <w:rPr>
          <w:highlight w:val="cyan"/>
        </w:rPr>
      </w:pPr>
      <w:bookmarkStart w:id="142" w:name="_Ref214381149"/>
      <w:bookmarkStart w:id="143" w:name="_Toc216107544"/>
    </w:p>
    <w:p w14:paraId="31461A3C" w14:textId="0FF975A2" w:rsidR="00CA18C8" w:rsidRPr="00A7414A" w:rsidRDefault="00CA18C8" w:rsidP="00CA18C8">
      <w:pPr>
        <w:pStyle w:val="Caption"/>
      </w:pPr>
      <w:bookmarkStart w:id="144" w:name="_Toc238199694"/>
      <w:r w:rsidRPr="00A7414A">
        <w:t xml:space="preserve">Table </w:t>
      </w:r>
      <w:r>
        <w:fldChar w:fldCharType="begin"/>
      </w:r>
      <w:r>
        <w:instrText>STYLEREF 1 \s</w:instrText>
      </w:r>
      <w:r>
        <w:fldChar w:fldCharType="separate"/>
      </w:r>
      <w:r w:rsidR="00D83C6F">
        <w:rPr>
          <w:noProof/>
        </w:rPr>
        <w:t>10</w:t>
      </w:r>
      <w:r>
        <w:fldChar w:fldCharType="end"/>
      </w:r>
      <w:r w:rsidR="00BE5583" w:rsidRPr="00A7414A">
        <w:noBreakHyphen/>
      </w:r>
      <w:r>
        <w:fldChar w:fldCharType="begin"/>
      </w:r>
      <w:r>
        <w:instrText>SEQ Table \* ARABIC \s 1</w:instrText>
      </w:r>
      <w:r>
        <w:fldChar w:fldCharType="separate"/>
      </w:r>
      <w:r w:rsidR="00D83C6F">
        <w:rPr>
          <w:noProof/>
        </w:rPr>
        <w:t>19</w:t>
      </w:r>
      <w:r>
        <w:fldChar w:fldCharType="end"/>
      </w:r>
      <w:bookmarkEnd w:id="142"/>
      <w:r w:rsidR="00361852">
        <w:t>:</w:t>
      </w:r>
      <w:r w:rsidRPr="00A7414A">
        <w:t xml:space="preserve"> Operational GHG Emissions Contribution to Ireland</w:t>
      </w:r>
      <w:r w:rsidR="00852992" w:rsidRPr="00A7414A">
        <w:t>’s</w:t>
      </w:r>
      <w:r w:rsidRPr="00A7414A">
        <w:t xml:space="preserve"> </w:t>
      </w:r>
      <w:r w:rsidR="00BA514E" w:rsidRPr="00A7414A">
        <w:t>Built Environment - Residential</w:t>
      </w:r>
      <w:r w:rsidRPr="00A7414A">
        <w:t xml:space="preserve"> Emissions Trajectory</w:t>
      </w:r>
      <w:bookmarkEnd w:id="143"/>
      <w:bookmarkEnd w:id="144"/>
    </w:p>
    <w:tbl>
      <w:tblPr>
        <w:tblStyle w:val="AECOMtable"/>
        <w:tblW w:w="5001" w:type="pct"/>
        <w:tblInd w:w="-1" w:type="dxa"/>
        <w:tblLayout w:type="fixed"/>
        <w:tblLook w:val="04A0" w:firstRow="1" w:lastRow="0" w:firstColumn="1" w:lastColumn="0" w:noHBand="0" w:noVBand="1"/>
      </w:tblPr>
      <w:tblGrid>
        <w:gridCol w:w="1618"/>
        <w:gridCol w:w="3060"/>
        <w:gridCol w:w="2339"/>
        <w:gridCol w:w="2339"/>
      </w:tblGrid>
      <w:tr w:rsidR="00CA18C8" w:rsidRPr="00EB6A96" w14:paraId="46584711" w14:textId="77777777" w:rsidTr="00A7414A">
        <w:trPr>
          <w:cnfStyle w:val="100000000000" w:firstRow="1" w:lastRow="0" w:firstColumn="0" w:lastColumn="0" w:oddVBand="0" w:evenVBand="0" w:oddHBand="0" w:evenHBand="0" w:firstRowFirstColumn="0" w:firstRowLastColumn="0" w:lastRowFirstColumn="0" w:lastRowLastColumn="0"/>
          <w:trHeight w:val="318"/>
          <w:tblHeader/>
        </w:trPr>
        <w:tc>
          <w:tcPr>
            <w:tcW w:w="1618" w:type="dxa"/>
          </w:tcPr>
          <w:p w14:paraId="69694DC1" w14:textId="77777777" w:rsidR="00CA18C8" w:rsidRPr="00A7414A" w:rsidRDefault="00CA18C8">
            <w:pPr>
              <w:pStyle w:val="Tabletext"/>
              <w:ind w:right="57"/>
              <w:jc w:val="left"/>
            </w:pPr>
            <w:r w:rsidRPr="00A7414A">
              <w:t>Carbon Budget</w:t>
            </w:r>
          </w:p>
        </w:tc>
        <w:tc>
          <w:tcPr>
            <w:tcW w:w="3060" w:type="dxa"/>
          </w:tcPr>
          <w:p w14:paraId="07D8DCC7" w14:textId="06E06E1A" w:rsidR="00CA18C8" w:rsidRPr="00A7414A" w:rsidRDefault="00CA18C8">
            <w:pPr>
              <w:pStyle w:val="Tabletext"/>
              <w:ind w:right="57"/>
              <w:jc w:val="center"/>
            </w:pPr>
            <w:r w:rsidRPr="00A7414A">
              <w:t xml:space="preserve">Ireland </w:t>
            </w:r>
            <w:r w:rsidR="003A68FE" w:rsidRPr="00A7414A">
              <w:t xml:space="preserve">Sectoral </w:t>
            </w:r>
            <w:r w:rsidRPr="00A7414A">
              <w:t>‘with additional measures’ Trajectory (MtCO</w:t>
            </w:r>
            <w:r w:rsidRPr="00A7414A">
              <w:rPr>
                <w:vertAlign w:val="subscript"/>
              </w:rPr>
              <w:t>2</w:t>
            </w:r>
            <w:r w:rsidRPr="00A7414A">
              <w:t>eq)</w:t>
            </w:r>
          </w:p>
        </w:tc>
        <w:tc>
          <w:tcPr>
            <w:tcW w:w="2339" w:type="dxa"/>
          </w:tcPr>
          <w:p w14:paraId="259A74D8" w14:textId="77777777" w:rsidR="00CA18C8" w:rsidRPr="00A7414A" w:rsidRDefault="00CA18C8">
            <w:pPr>
              <w:pStyle w:val="Tabletext"/>
              <w:ind w:right="57"/>
              <w:jc w:val="center"/>
            </w:pPr>
            <w:r w:rsidRPr="00A7414A">
              <w:t>Project Emissions (tCO</w:t>
            </w:r>
            <w:r w:rsidRPr="00A7414A">
              <w:rPr>
                <w:vertAlign w:val="subscript"/>
              </w:rPr>
              <w:t>2</w:t>
            </w:r>
            <w:r w:rsidRPr="00A7414A">
              <w:t>e)</w:t>
            </w:r>
          </w:p>
        </w:tc>
        <w:tc>
          <w:tcPr>
            <w:tcW w:w="2339" w:type="dxa"/>
          </w:tcPr>
          <w:p w14:paraId="31813EF0" w14:textId="2FCAFFA1" w:rsidR="00CA18C8" w:rsidRPr="00A7414A" w:rsidRDefault="00CA18C8">
            <w:pPr>
              <w:pStyle w:val="Tabletext"/>
              <w:ind w:right="57"/>
              <w:jc w:val="center"/>
            </w:pPr>
            <w:r w:rsidRPr="00A7414A">
              <w:t xml:space="preserve">Percentage Contribution of Ireland </w:t>
            </w:r>
            <w:r w:rsidR="00BD7A69" w:rsidRPr="00A7414A">
              <w:t>Built Environment – Residential</w:t>
            </w:r>
            <w:r w:rsidRPr="00A7414A">
              <w:t xml:space="preserve"> Emissions Trajectory (%)</w:t>
            </w:r>
          </w:p>
        </w:tc>
      </w:tr>
      <w:tr w:rsidR="00CA18C8" w:rsidRPr="00EB6A96" w14:paraId="0DB9FF6B" w14:textId="77777777" w:rsidTr="00A7414A">
        <w:trPr>
          <w:trHeight w:val="245"/>
        </w:trPr>
        <w:tc>
          <w:tcPr>
            <w:tcW w:w="1618" w:type="dxa"/>
          </w:tcPr>
          <w:p w14:paraId="43AB34C3" w14:textId="77777777" w:rsidR="00CA18C8" w:rsidRPr="00A7414A" w:rsidRDefault="00CA18C8">
            <w:pPr>
              <w:pStyle w:val="Tabletext"/>
              <w:jc w:val="left"/>
            </w:pPr>
            <w:r w:rsidRPr="00A7414A">
              <w:t xml:space="preserve">2026 – 2030 </w:t>
            </w:r>
          </w:p>
        </w:tc>
        <w:tc>
          <w:tcPr>
            <w:tcW w:w="3060" w:type="dxa"/>
          </w:tcPr>
          <w:p w14:paraId="1A13F1A9" w14:textId="75358C89" w:rsidR="00CA18C8" w:rsidRPr="00A7414A" w:rsidRDefault="00D637CC">
            <w:pPr>
              <w:pStyle w:val="Tabletext"/>
              <w:jc w:val="center"/>
            </w:pPr>
            <w:r w:rsidRPr="00A7414A">
              <w:t>27.45</w:t>
            </w:r>
          </w:p>
        </w:tc>
        <w:tc>
          <w:tcPr>
            <w:tcW w:w="2339" w:type="dxa"/>
          </w:tcPr>
          <w:p w14:paraId="0A2AAB8D" w14:textId="00232997" w:rsidR="00CA18C8" w:rsidRPr="00A7414A" w:rsidRDefault="009E3305">
            <w:pPr>
              <w:pStyle w:val="Tabletext"/>
              <w:jc w:val="center"/>
            </w:pPr>
            <w:r>
              <w:t>24</w:t>
            </w:r>
            <w:r w:rsidR="00A121E3">
              <w:t>3</w:t>
            </w:r>
          </w:p>
        </w:tc>
        <w:tc>
          <w:tcPr>
            <w:tcW w:w="2339" w:type="dxa"/>
          </w:tcPr>
          <w:p w14:paraId="2203FAD2" w14:textId="71B4966B" w:rsidR="00CA18C8" w:rsidRPr="00A7414A" w:rsidRDefault="009456EB">
            <w:pPr>
              <w:pStyle w:val="Tabletext"/>
              <w:jc w:val="center"/>
            </w:pPr>
            <w:r>
              <w:t>0.00</w:t>
            </w:r>
            <w:r w:rsidR="009E3305">
              <w:t>1</w:t>
            </w:r>
            <w:r w:rsidR="005C6E5F">
              <w:t>%</w:t>
            </w:r>
          </w:p>
        </w:tc>
      </w:tr>
      <w:tr w:rsidR="00CA18C8" w:rsidRPr="00EB6A96" w14:paraId="20E99367" w14:textId="77777777" w:rsidTr="00A7414A">
        <w:trPr>
          <w:trHeight w:val="245"/>
        </w:trPr>
        <w:tc>
          <w:tcPr>
            <w:tcW w:w="1618" w:type="dxa"/>
          </w:tcPr>
          <w:p w14:paraId="33885708" w14:textId="77777777" w:rsidR="00CA18C8" w:rsidRPr="00A7414A" w:rsidRDefault="00CA18C8">
            <w:pPr>
              <w:pStyle w:val="Tabletext"/>
              <w:jc w:val="left"/>
            </w:pPr>
            <w:r w:rsidRPr="00A7414A">
              <w:t xml:space="preserve">2031 – 2035 </w:t>
            </w:r>
          </w:p>
        </w:tc>
        <w:tc>
          <w:tcPr>
            <w:tcW w:w="3060" w:type="dxa"/>
          </w:tcPr>
          <w:p w14:paraId="107F995D" w14:textId="02CF5845" w:rsidR="00CA18C8" w:rsidRPr="00A7414A" w:rsidRDefault="00D637CC">
            <w:pPr>
              <w:pStyle w:val="Tabletext"/>
              <w:jc w:val="center"/>
            </w:pPr>
            <w:r>
              <w:t>24.17</w:t>
            </w:r>
          </w:p>
        </w:tc>
        <w:tc>
          <w:tcPr>
            <w:tcW w:w="2339" w:type="dxa"/>
          </w:tcPr>
          <w:p w14:paraId="0A2B34E5" w14:textId="5FFF40BF" w:rsidR="00CA18C8" w:rsidRPr="00A7414A" w:rsidRDefault="009F01D6">
            <w:pPr>
              <w:pStyle w:val="Tabletext"/>
              <w:jc w:val="center"/>
            </w:pPr>
            <w:r>
              <w:t>1,21</w:t>
            </w:r>
            <w:r w:rsidR="00A121E3">
              <w:t>7</w:t>
            </w:r>
          </w:p>
        </w:tc>
        <w:tc>
          <w:tcPr>
            <w:tcW w:w="2339" w:type="dxa"/>
          </w:tcPr>
          <w:p w14:paraId="3698D9D5" w14:textId="474BB7B8" w:rsidR="00CA18C8" w:rsidRPr="00A7414A" w:rsidRDefault="005C6E5F">
            <w:pPr>
              <w:pStyle w:val="Tabletext"/>
              <w:jc w:val="center"/>
            </w:pPr>
            <w:r>
              <w:t>0.00</w:t>
            </w:r>
            <w:r w:rsidR="002D7F8A">
              <w:t>5</w:t>
            </w:r>
            <w:r>
              <w:t>%</w:t>
            </w:r>
          </w:p>
        </w:tc>
      </w:tr>
      <w:tr w:rsidR="00CA18C8" w:rsidRPr="00EB6A96" w14:paraId="3097125D" w14:textId="77777777" w:rsidTr="00A7414A">
        <w:trPr>
          <w:trHeight w:val="245"/>
        </w:trPr>
        <w:tc>
          <w:tcPr>
            <w:tcW w:w="1618" w:type="dxa"/>
          </w:tcPr>
          <w:p w14:paraId="3BC893C9" w14:textId="77777777" w:rsidR="00CA18C8" w:rsidRPr="00A7414A" w:rsidRDefault="00CA18C8">
            <w:pPr>
              <w:pStyle w:val="Tabletext"/>
              <w:jc w:val="left"/>
            </w:pPr>
            <w:r w:rsidRPr="00A7414A">
              <w:t xml:space="preserve">2036 – 2040 </w:t>
            </w:r>
          </w:p>
        </w:tc>
        <w:tc>
          <w:tcPr>
            <w:tcW w:w="3060" w:type="dxa"/>
          </w:tcPr>
          <w:p w14:paraId="18DA56CC" w14:textId="614C1830" w:rsidR="00CA18C8" w:rsidRPr="00A7414A" w:rsidRDefault="00234631">
            <w:pPr>
              <w:pStyle w:val="Tabletext"/>
              <w:jc w:val="center"/>
            </w:pPr>
            <w:r>
              <w:t>19.28</w:t>
            </w:r>
          </w:p>
        </w:tc>
        <w:tc>
          <w:tcPr>
            <w:tcW w:w="2339" w:type="dxa"/>
          </w:tcPr>
          <w:p w14:paraId="0B407C3F" w14:textId="5E63D6BF" w:rsidR="00CA18C8" w:rsidRPr="00A7414A" w:rsidRDefault="00CF2863">
            <w:pPr>
              <w:pStyle w:val="Tabletext"/>
              <w:jc w:val="center"/>
            </w:pPr>
            <w:r>
              <w:t>1,21</w:t>
            </w:r>
            <w:r w:rsidR="00A121E3">
              <w:t>7</w:t>
            </w:r>
          </w:p>
        </w:tc>
        <w:tc>
          <w:tcPr>
            <w:tcW w:w="2339" w:type="dxa"/>
          </w:tcPr>
          <w:p w14:paraId="43EB2FD7" w14:textId="61C81D9E" w:rsidR="00CA18C8" w:rsidRPr="00A7414A" w:rsidRDefault="005C6E5F">
            <w:pPr>
              <w:pStyle w:val="Tabletext"/>
              <w:jc w:val="center"/>
            </w:pPr>
            <w:r>
              <w:t>0.0</w:t>
            </w:r>
            <w:r w:rsidR="002D7F8A">
              <w:t>06</w:t>
            </w:r>
            <w:r>
              <w:t>%</w:t>
            </w:r>
          </w:p>
        </w:tc>
      </w:tr>
      <w:tr w:rsidR="00CA18C8" w:rsidRPr="00EB6A96" w14:paraId="43D61052" w14:textId="77777777" w:rsidTr="00A7414A">
        <w:trPr>
          <w:trHeight w:val="245"/>
        </w:trPr>
        <w:tc>
          <w:tcPr>
            <w:tcW w:w="1618" w:type="dxa"/>
          </w:tcPr>
          <w:p w14:paraId="2EA849A9" w14:textId="77777777" w:rsidR="00CA18C8" w:rsidRPr="00A7414A" w:rsidRDefault="00CA18C8">
            <w:pPr>
              <w:pStyle w:val="Tabletext"/>
              <w:jc w:val="left"/>
            </w:pPr>
            <w:r w:rsidRPr="00A7414A">
              <w:t>2041 – 2045</w:t>
            </w:r>
          </w:p>
        </w:tc>
        <w:tc>
          <w:tcPr>
            <w:tcW w:w="3060" w:type="dxa"/>
          </w:tcPr>
          <w:p w14:paraId="091EA400" w14:textId="2EEC6FC3" w:rsidR="00CA18C8" w:rsidRPr="00A7414A" w:rsidRDefault="00234631">
            <w:pPr>
              <w:pStyle w:val="Tabletext"/>
              <w:jc w:val="center"/>
            </w:pPr>
            <w:r>
              <w:t>13.73</w:t>
            </w:r>
          </w:p>
        </w:tc>
        <w:tc>
          <w:tcPr>
            <w:tcW w:w="2339" w:type="dxa"/>
          </w:tcPr>
          <w:p w14:paraId="7786520A" w14:textId="3732532D" w:rsidR="00CA18C8" w:rsidRPr="00A7414A" w:rsidRDefault="00CF2863">
            <w:pPr>
              <w:pStyle w:val="Tabletext"/>
              <w:jc w:val="center"/>
            </w:pPr>
            <w:r>
              <w:t>1,21</w:t>
            </w:r>
            <w:r w:rsidR="00A121E3">
              <w:t>7</w:t>
            </w:r>
          </w:p>
        </w:tc>
        <w:tc>
          <w:tcPr>
            <w:tcW w:w="2339" w:type="dxa"/>
          </w:tcPr>
          <w:p w14:paraId="770632C1" w14:textId="0A909E77" w:rsidR="00CA18C8" w:rsidRPr="00A7414A" w:rsidRDefault="005C6E5F">
            <w:pPr>
              <w:pStyle w:val="Tabletext"/>
              <w:jc w:val="center"/>
            </w:pPr>
            <w:r>
              <w:t>0.0</w:t>
            </w:r>
            <w:r w:rsidR="002D7F8A">
              <w:t>09</w:t>
            </w:r>
            <w:r>
              <w:t>%</w:t>
            </w:r>
          </w:p>
        </w:tc>
      </w:tr>
      <w:tr w:rsidR="00CA18C8" w:rsidRPr="00CA18C8" w14:paraId="05AEE8B9" w14:textId="77777777" w:rsidTr="00A7414A">
        <w:trPr>
          <w:trHeight w:val="245"/>
        </w:trPr>
        <w:tc>
          <w:tcPr>
            <w:tcW w:w="1618" w:type="dxa"/>
          </w:tcPr>
          <w:p w14:paraId="063CFD86" w14:textId="77777777" w:rsidR="00CA18C8" w:rsidRPr="00A7414A" w:rsidRDefault="00CA18C8">
            <w:pPr>
              <w:pStyle w:val="Tabletext"/>
              <w:jc w:val="left"/>
            </w:pPr>
            <w:r w:rsidRPr="00A7414A">
              <w:t xml:space="preserve">2046 – 2050 </w:t>
            </w:r>
          </w:p>
        </w:tc>
        <w:tc>
          <w:tcPr>
            <w:tcW w:w="3060" w:type="dxa"/>
          </w:tcPr>
          <w:p w14:paraId="6CD6A816" w14:textId="00F95510" w:rsidR="00CA18C8" w:rsidRPr="00A7414A" w:rsidRDefault="00234631">
            <w:pPr>
              <w:pStyle w:val="Tabletext"/>
              <w:jc w:val="center"/>
            </w:pPr>
            <w:r>
              <w:t>8.31</w:t>
            </w:r>
          </w:p>
        </w:tc>
        <w:tc>
          <w:tcPr>
            <w:tcW w:w="2339" w:type="dxa"/>
          </w:tcPr>
          <w:p w14:paraId="01FB4CDB" w14:textId="20ADAD81" w:rsidR="00CA18C8" w:rsidRPr="00A7414A" w:rsidRDefault="00CF2863">
            <w:pPr>
              <w:pStyle w:val="Tabletext"/>
              <w:jc w:val="center"/>
            </w:pPr>
            <w:r>
              <w:t>1,21</w:t>
            </w:r>
            <w:r w:rsidR="00A121E3">
              <w:t>7</w:t>
            </w:r>
          </w:p>
        </w:tc>
        <w:tc>
          <w:tcPr>
            <w:tcW w:w="2339" w:type="dxa"/>
          </w:tcPr>
          <w:p w14:paraId="20C02096" w14:textId="6EDB1059" w:rsidR="00CA18C8" w:rsidRPr="00A7414A" w:rsidRDefault="005C6E5F">
            <w:pPr>
              <w:pStyle w:val="Tabletext"/>
              <w:jc w:val="center"/>
            </w:pPr>
            <w:r>
              <w:t>0.0</w:t>
            </w:r>
            <w:r w:rsidR="002D7F8A">
              <w:t>15</w:t>
            </w:r>
            <w:r>
              <w:t>%</w:t>
            </w:r>
          </w:p>
        </w:tc>
      </w:tr>
    </w:tbl>
    <w:p w14:paraId="59A8D8E2" w14:textId="304C7B5E" w:rsidR="00CA18C8" w:rsidRPr="00A7414A" w:rsidRDefault="00CA18C8" w:rsidP="00CA18C8">
      <w:pPr>
        <w:pStyle w:val="Numberedtext"/>
        <w:numPr>
          <w:ilvl w:val="2"/>
          <w:numId w:val="0"/>
        </w:numPr>
        <w:spacing w:before="240"/>
        <w:rPr>
          <w:sz w:val="20"/>
          <w:szCs w:val="20"/>
        </w:rPr>
      </w:pPr>
      <w:r w:rsidRPr="00A7414A">
        <w:rPr>
          <w:sz w:val="20"/>
          <w:szCs w:val="20"/>
        </w:rPr>
        <w:t>Operational emissions are primarily driven by</w:t>
      </w:r>
      <w:r w:rsidR="00D76A33">
        <w:rPr>
          <w:sz w:val="20"/>
          <w:szCs w:val="20"/>
        </w:rPr>
        <w:t xml:space="preserve"> user’s utilisation (52%),</w:t>
      </w:r>
      <w:r w:rsidRPr="00A7414A">
        <w:rPr>
          <w:sz w:val="20"/>
          <w:szCs w:val="20"/>
        </w:rPr>
        <w:t xml:space="preserve"> </w:t>
      </w:r>
      <w:r w:rsidR="004373A4" w:rsidRPr="00A7414A">
        <w:rPr>
          <w:sz w:val="20"/>
          <w:szCs w:val="20"/>
        </w:rPr>
        <w:t>energy consumption (</w:t>
      </w:r>
      <w:r w:rsidR="00E22A06">
        <w:rPr>
          <w:sz w:val="20"/>
          <w:szCs w:val="20"/>
        </w:rPr>
        <w:t>32</w:t>
      </w:r>
      <w:r w:rsidR="004373A4" w:rsidRPr="00A7414A">
        <w:rPr>
          <w:sz w:val="20"/>
          <w:szCs w:val="20"/>
        </w:rPr>
        <w:t xml:space="preserve">%) and </w:t>
      </w:r>
      <w:r w:rsidRPr="00A7414A">
        <w:rPr>
          <w:sz w:val="20"/>
          <w:szCs w:val="20"/>
        </w:rPr>
        <w:t>maintenance and repair emissions (</w:t>
      </w:r>
      <w:r w:rsidR="00E22A06">
        <w:rPr>
          <w:sz w:val="20"/>
          <w:szCs w:val="20"/>
        </w:rPr>
        <w:t>16</w:t>
      </w:r>
      <w:r w:rsidRPr="00A7414A">
        <w:rPr>
          <w:sz w:val="20"/>
          <w:szCs w:val="20"/>
        </w:rPr>
        <w:t>%).</w:t>
      </w:r>
    </w:p>
    <w:p w14:paraId="3D952FB7" w14:textId="60FC3051" w:rsidR="00CA18C8" w:rsidRPr="00A7414A" w:rsidRDefault="00CA18C8" w:rsidP="00CA18C8">
      <w:pPr>
        <w:pStyle w:val="Numberedtext"/>
        <w:numPr>
          <w:ilvl w:val="2"/>
          <w:numId w:val="0"/>
        </w:numPr>
        <w:spacing w:before="240"/>
        <w:rPr>
          <w:sz w:val="20"/>
          <w:szCs w:val="20"/>
        </w:rPr>
      </w:pPr>
      <w:r w:rsidRPr="00A7414A">
        <w:rPr>
          <w:sz w:val="20"/>
          <w:szCs w:val="20"/>
        </w:rPr>
        <w:t xml:space="preserve">Electrical operational energy use </w:t>
      </w:r>
      <w:r w:rsidR="005021E4">
        <w:rPr>
          <w:sz w:val="20"/>
          <w:szCs w:val="20"/>
        </w:rPr>
        <w:t xml:space="preserve">GHG </w:t>
      </w:r>
      <w:r w:rsidRPr="00A7414A">
        <w:rPr>
          <w:sz w:val="20"/>
          <w:szCs w:val="20"/>
        </w:rPr>
        <w:t xml:space="preserve">emissions are outside the direct control of the Applicant and are driven </w:t>
      </w:r>
      <w:r w:rsidR="0064690E" w:rsidRPr="00A7414A">
        <w:rPr>
          <w:sz w:val="20"/>
          <w:szCs w:val="20"/>
        </w:rPr>
        <w:t xml:space="preserve">primarily </w:t>
      </w:r>
      <w:r w:rsidRPr="00A7414A">
        <w:rPr>
          <w:sz w:val="20"/>
          <w:szCs w:val="20"/>
        </w:rPr>
        <w:t xml:space="preserve">by emissions associated with electrical generation from the Irish and global energy network. </w:t>
      </w:r>
    </w:p>
    <w:p w14:paraId="1F54629D" w14:textId="03941F80" w:rsidR="00CA18C8" w:rsidRPr="00A7414A" w:rsidRDefault="00CA18C8" w:rsidP="00CA18C8">
      <w:pPr>
        <w:pStyle w:val="Numberedtext"/>
        <w:numPr>
          <w:ilvl w:val="2"/>
          <w:numId w:val="0"/>
        </w:numPr>
        <w:spacing w:before="240"/>
        <w:rPr>
          <w:sz w:val="20"/>
          <w:szCs w:val="20"/>
        </w:rPr>
      </w:pPr>
      <w:r w:rsidRPr="00A7414A">
        <w:rPr>
          <w:sz w:val="20"/>
          <w:szCs w:val="20"/>
        </w:rPr>
        <w:t xml:space="preserve">In alignment with the Climate Action and Low Carbon Development (Amendment) Act 2021, Ireland is on a legally binding path to net zero emissions no later than 2050. Additionally, Ireland is committed to a 51% reduction in </w:t>
      </w:r>
      <w:r w:rsidR="005021E4">
        <w:rPr>
          <w:sz w:val="20"/>
          <w:szCs w:val="20"/>
        </w:rPr>
        <w:t xml:space="preserve">GHG </w:t>
      </w:r>
      <w:r w:rsidRPr="00A7414A">
        <w:rPr>
          <w:sz w:val="20"/>
          <w:szCs w:val="20"/>
        </w:rPr>
        <w:t xml:space="preserve">emissions by the end of this decade. </w:t>
      </w:r>
    </w:p>
    <w:p w14:paraId="0357E06E" w14:textId="77777777" w:rsidR="00CA18C8" w:rsidRPr="00A7414A" w:rsidRDefault="00CA18C8" w:rsidP="00CA18C8">
      <w:pPr>
        <w:pStyle w:val="Numberedtext"/>
        <w:numPr>
          <w:ilvl w:val="2"/>
          <w:numId w:val="0"/>
        </w:numPr>
        <w:spacing w:before="240"/>
        <w:rPr>
          <w:sz w:val="20"/>
          <w:szCs w:val="20"/>
        </w:rPr>
      </w:pPr>
      <w:r w:rsidRPr="00A7414A">
        <w:rPr>
          <w:sz w:val="20"/>
          <w:szCs w:val="20"/>
        </w:rPr>
        <w:t>As part of this commitment, the Irish Government in 2022</w:t>
      </w:r>
      <w:r w:rsidRPr="00072F75">
        <w:rPr>
          <w:sz w:val="20"/>
          <w:szCs w:val="20"/>
          <w:vertAlign w:val="superscript"/>
        </w:rPr>
        <w:footnoteReference w:id="2"/>
      </w:r>
      <w:r w:rsidRPr="00A7414A">
        <w:rPr>
          <w:sz w:val="20"/>
          <w:szCs w:val="20"/>
        </w:rPr>
        <w:t xml:space="preserve"> reached an agreement on Sectoral Emissions Ceilings that aims to limit Sectoral Emissions from:</w:t>
      </w:r>
    </w:p>
    <w:p w14:paraId="5D4982B3" w14:textId="53326170" w:rsidR="00CA18C8" w:rsidRPr="00A7414A" w:rsidRDefault="00AA5E44" w:rsidP="00A7414A">
      <w:pPr>
        <w:pStyle w:val="BulletPoint1"/>
        <w:numPr>
          <w:ilvl w:val="0"/>
          <w:numId w:val="29"/>
        </w:numPr>
        <w:rPr>
          <w:szCs w:val="20"/>
          <w:lang w:val="en-IE"/>
        </w:rPr>
      </w:pPr>
      <w:r w:rsidRPr="00A7414A">
        <w:rPr>
          <w:szCs w:val="20"/>
        </w:rPr>
        <w:t>Built</w:t>
      </w:r>
      <w:r w:rsidR="001E60EB" w:rsidRPr="00A7414A">
        <w:rPr>
          <w:szCs w:val="20"/>
        </w:rPr>
        <w:t xml:space="preserve"> Environment -</w:t>
      </w:r>
      <w:r w:rsidRPr="00A7414A">
        <w:rPr>
          <w:szCs w:val="20"/>
        </w:rPr>
        <w:t xml:space="preserve"> Residential </w:t>
      </w:r>
      <w:r w:rsidR="00CA18C8" w:rsidRPr="00A7414A">
        <w:rPr>
          <w:szCs w:val="20"/>
          <w:lang w:val="en-IE"/>
        </w:rPr>
        <w:t xml:space="preserve">: </w:t>
      </w:r>
      <w:r w:rsidR="001E60EB" w:rsidRPr="00A7414A">
        <w:rPr>
          <w:szCs w:val="20"/>
          <w:lang w:val="en-IE"/>
        </w:rPr>
        <w:t>19</w:t>
      </w:r>
      <w:r w:rsidR="00CA18C8" w:rsidRPr="00A7414A">
        <w:rPr>
          <w:szCs w:val="20"/>
          <w:lang w:val="en-IE"/>
        </w:rPr>
        <w:t xml:space="preserve">% </w:t>
      </w:r>
      <w:r w:rsidR="003C20C3">
        <w:rPr>
          <w:szCs w:val="20"/>
          <w:lang w:val="en-IE"/>
        </w:rPr>
        <w:t xml:space="preserve">reduction in </w:t>
      </w:r>
      <w:r w:rsidR="00105513">
        <w:rPr>
          <w:szCs w:val="20"/>
          <w:lang w:val="en-IE"/>
        </w:rPr>
        <w:t xml:space="preserve">emissions </w:t>
      </w:r>
      <w:r w:rsidR="00CA18C8" w:rsidRPr="00A7414A">
        <w:rPr>
          <w:szCs w:val="20"/>
          <w:lang w:val="en-IE"/>
        </w:rPr>
        <w:t xml:space="preserve">by 2030 relative to </w:t>
      </w:r>
      <w:r w:rsidR="00105513">
        <w:rPr>
          <w:szCs w:val="20"/>
          <w:lang w:val="en-IE"/>
        </w:rPr>
        <w:t>a</w:t>
      </w:r>
      <w:r w:rsidR="00CA18C8" w:rsidRPr="00A7414A">
        <w:rPr>
          <w:szCs w:val="20"/>
          <w:lang w:val="en-IE"/>
        </w:rPr>
        <w:t xml:space="preserve"> 2018</w:t>
      </w:r>
      <w:r w:rsidR="00105513">
        <w:rPr>
          <w:szCs w:val="20"/>
          <w:lang w:val="en-IE"/>
        </w:rPr>
        <w:t xml:space="preserve"> baseline</w:t>
      </w:r>
      <w:r w:rsidR="005021E4">
        <w:rPr>
          <w:szCs w:val="20"/>
          <w:lang w:val="en-IE"/>
        </w:rPr>
        <w:t>.</w:t>
      </w:r>
    </w:p>
    <w:p w14:paraId="5D498A66" w14:textId="4ED0DA48" w:rsidR="00CA18C8" w:rsidRPr="00A7414A" w:rsidRDefault="00CA18C8" w:rsidP="00CA18C8">
      <w:pPr>
        <w:pStyle w:val="Numberedtext"/>
        <w:numPr>
          <w:ilvl w:val="2"/>
          <w:numId w:val="0"/>
        </w:numPr>
        <w:spacing w:before="240"/>
        <w:rPr>
          <w:sz w:val="20"/>
          <w:szCs w:val="20"/>
        </w:rPr>
      </w:pPr>
      <w:r w:rsidRPr="00A7414A">
        <w:rPr>
          <w:sz w:val="20"/>
          <w:szCs w:val="20"/>
        </w:rPr>
        <w:t>In order to achieve th</w:t>
      </w:r>
      <w:r w:rsidR="005021E4">
        <w:rPr>
          <w:sz w:val="20"/>
          <w:szCs w:val="20"/>
        </w:rPr>
        <w:t>is</w:t>
      </w:r>
      <w:r w:rsidRPr="00A7414A">
        <w:rPr>
          <w:sz w:val="20"/>
          <w:szCs w:val="20"/>
        </w:rPr>
        <w:t xml:space="preserve"> goals, the Climate Action Plan (2025) sets out a preliminary net zero pathway for the </w:t>
      </w:r>
      <w:r w:rsidR="001E60EB" w:rsidRPr="00A7414A">
        <w:rPr>
          <w:sz w:val="20"/>
          <w:szCs w:val="20"/>
        </w:rPr>
        <w:t>Built Environment - Residential</w:t>
      </w:r>
      <w:r w:rsidRPr="00A7414A">
        <w:rPr>
          <w:sz w:val="20"/>
          <w:szCs w:val="20"/>
        </w:rPr>
        <w:t xml:space="preserve"> Sector, which establishes the required measures and actions. </w:t>
      </w:r>
    </w:p>
    <w:p w14:paraId="694F4651" w14:textId="55EE97EF" w:rsidR="00CA18C8" w:rsidRPr="00A7414A" w:rsidRDefault="00CA18C8" w:rsidP="00BB0D18">
      <w:pPr>
        <w:pStyle w:val="Numberedtext"/>
        <w:numPr>
          <w:ilvl w:val="2"/>
          <w:numId w:val="0"/>
        </w:numPr>
        <w:spacing w:before="240"/>
        <w:rPr>
          <w:sz w:val="20"/>
          <w:szCs w:val="20"/>
        </w:rPr>
      </w:pPr>
      <w:r w:rsidRPr="00A7414A">
        <w:rPr>
          <w:sz w:val="20"/>
          <w:szCs w:val="20"/>
        </w:rPr>
        <w:t xml:space="preserve">For the </w:t>
      </w:r>
      <w:r w:rsidR="001C13E7" w:rsidRPr="00A7414A">
        <w:rPr>
          <w:sz w:val="20"/>
          <w:szCs w:val="20"/>
        </w:rPr>
        <w:t>Built Environment - Residential</w:t>
      </w:r>
      <w:r w:rsidRPr="00A7414A">
        <w:rPr>
          <w:sz w:val="20"/>
          <w:szCs w:val="20"/>
        </w:rPr>
        <w:t xml:space="preserve"> Sector, the Climate Action Plan identifies measures</w:t>
      </w:r>
      <w:r w:rsidR="00541C44" w:rsidRPr="00A7414A">
        <w:rPr>
          <w:sz w:val="20"/>
          <w:szCs w:val="20"/>
        </w:rPr>
        <w:t xml:space="preserve"> to reduce </w:t>
      </w:r>
      <w:r w:rsidR="00561D7A" w:rsidRPr="00A7414A">
        <w:rPr>
          <w:sz w:val="20"/>
          <w:szCs w:val="20"/>
        </w:rPr>
        <w:t>emissions</w:t>
      </w:r>
      <w:r w:rsidRPr="00A7414A">
        <w:rPr>
          <w:sz w:val="20"/>
          <w:szCs w:val="20"/>
        </w:rPr>
        <w:t xml:space="preserve"> including:</w:t>
      </w:r>
    </w:p>
    <w:p w14:paraId="21497469" w14:textId="3D52D8C5" w:rsidR="00CA18C8" w:rsidRPr="00A7414A" w:rsidRDefault="007F71C8" w:rsidP="00CA18C8">
      <w:pPr>
        <w:pStyle w:val="BulletPoint1"/>
        <w:numPr>
          <w:ilvl w:val="0"/>
          <w:numId w:val="11"/>
        </w:numPr>
        <w:ind w:left="284" w:hanging="284"/>
        <w:rPr>
          <w:szCs w:val="20"/>
          <w:lang w:val="en-IE"/>
        </w:rPr>
      </w:pPr>
      <w:r w:rsidRPr="00A7414A">
        <w:rPr>
          <w:szCs w:val="20"/>
          <w:lang w:val="en-IE"/>
        </w:rPr>
        <w:t xml:space="preserve">Replace </w:t>
      </w:r>
      <w:r w:rsidR="00332607">
        <w:rPr>
          <w:szCs w:val="20"/>
          <w:lang w:val="en-IE"/>
        </w:rPr>
        <w:t>g</w:t>
      </w:r>
      <w:r w:rsidRPr="00A7414A">
        <w:rPr>
          <w:szCs w:val="20"/>
          <w:lang w:val="en-IE"/>
        </w:rPr>
        <w:t>as boilers with heat pumps in existing and new buildings;</w:t>
      </w:r>
    </w:p>
    <w:p w14:paraId="1A03919A" w14:textId="3FC71639" w:rsidR="00CA18C8" w:rsidRPr="00A7414A" w:rsidRDefault="007F71C8" w:rsidP="00CA18C8">
      <w:pPr>
        <w:pStyle w:val="BulletPoint1"/>
        <w:numPr>
          <w:ilvl w:val="0"/>
          <w:numId w:val="11"/>
        </w:numPr>
        <w:ind w:left="284" w:hanging="284"/>
        <w:rPr>
          <w:szCs w:val="20"/>
          <w:lang w:val="en-IE"/>
        </w:rPr>
      </w:pPr>
      <w:r w:rsidRPr="00A7414A">
        <w:rPr>
          <w:szCs w:val="20"/>
          <w:lang w:val="en-IE"/>
        </w:rPr>
        <w:t xml:space="preserve">Implement residential energy efficiency programmes in line with the National </w:t>
      </w:r>
      <w:r w:rsidR="006B2DD8" w:rsidRPr="00A7414A">
        <w:rPr>
          <w:szCs w:val="20"/>
          <w:lang w:val="en-IE"/>
        </w:rPr>
        <w:t>Development</w:t>
      </w:r>
      <w:r w:rsidRPr="00A7414A">
        <w:rPr>
          <w:szCs w:val="20"/>
          <w:lang w:val="en-IE"/>
        </w:rPr>
        <w:t xml:space="preserve"> Plan</w:t>
      </w:r>
      <w:r w:rsidR="00BF3D98">
        <w:rPr>
          <w:szCs w:val="20"/>
          <w:lang w:val="en-IE"/>
        </w:rPr>
        <w:t xml:space="preserve"> (</w:t>
      </w:r>
      <w:r w:rsidR="00BF3D98" w:rsidRPr="00BF3D98">
        <w:t>2025)</w:t>
      </w:r>
      <w:r w:rsidR="00CA18C8" w:rsidRPr="00A7414A">
        <w:rPr>
          <w:szCs w:val="20"/>
          <w:lang w:val="en-IE"/>
        </w:rPr>
        <w:t>; and</w:t>
      </w:r>
    </w:p>
    <w:p w14:paraId="15F56FEE" w14:textId="3CE284DE" w:rsidR="00CA18C8" w:rsidRPr="00A7414A" w:rsidRDefault="00EE235D" w:rsidP="00CA18C8">
      <w:pPr>
        <w:pStyle w:val="BulletPoint1"/>
        <w:numPr>
          <w:ilvl w:val="0"/>
          <w:numId w:val="11"/>
        </w:numPr>
        <w:ind w:left="284" w:hanging="284"/>
        <w:rPr>
          <w:szCs w:val="20"/>
          <w:lang w:val="en-IE"/>
        </w:rPr>
      </w:pPr>
      <w:r w:rsidRPr="00A7414A">
        <w:rPr>
          <w:szCs w:val="20"/>
          <w:lang w:val="en-IE"/>
        </w:rPr>
        <w:lastRenderedPageBreak/>
        <w:t xml:space="preserve">Expansion of two district heating </w:t>
      </w:r>
      <w:r w:rsidR="00E2634F" w:rsidRPr="00BB0D18">
        <w:rPr>
          <w:szCs w:val="20"/>
          <w:lang w:val="en-IE"/>
        </w:rPr>
        <w:t>schemes</w:t>
      </w:r>
      <w:r w:rsidRPr="00A7414A">
        <w:rPr>
          <w:szCs w:val="20"/>
          <w:lang w:val="en-IE"/>
        </w:rPr>
        <w:t xml:space="preserve"> currently under development </w:t>
      </w:r>
      <w:r w:rsidR="003D45A7" w:rsidRPr="00A7414A">
        <w:rPr>
          <w:szCs w:val="20"/>
          <w:lang w:val="en-IE"/>
        </w:rPr>
        <w:t xml:space="preserve">to reach a combined capacity of 0.074 </w:t>
      </w:r>
      <w:r w:rsidR="005F3D43" w:rsidRPr="005F3D43">
        <w:rPr>
          <w:szCs w:val="20"/>
          <w:lang w:val="en-IE"/>
        </w:rPr>
        <w:t xml:space="preserve">terawatt-hour </w:t>
      </w:r>
      <w:r w:rsidR="005F3D43">
        <w:rPr>
          <w:szCs w:val="20"/>
          <w:lang w:val="en-IE"/>
        </w:rPr>
        <w:t>(</w:t>
      </w:r>
      <w:r w:rsidR="003D45A7" w:rsidRPr="00A7414A">
        <w:rPr>
          <w:szCs w:val="20"/>
          <w:lang w:val="en-IE"/>
        </w:rPr>
        <w:t>TWh</w:t>
      </w:r>
      <w:r w:rsidR="005F3D43">
        <w:rPr>
          <w:szCs w:val="20"/>
          <w:lang w:val="en-IE"/>
        </w:rPr>
        <w:t>)</w:t>
      </w:r>
      <w:r w:rsidR="003D45A7" w:rsidRPr="00A7414A">
        <w:rPr>
          <w:szCs w:val="20"/>
          <w:lang w:val="en-IE"/>
        </w:rPr>
        <w:t xml:space="preserve"> by 2030</w:t>
      </w:r>
      <w:r w:rsidR="00CA18C8" w:rsidRPr="00A7414A">
        <w:rPr>
          <w:szCs w:val="20"/>
          <w:lang w:val="en-IE"/>
        </w:rPr>
        <w:t>.</w:t>
      </w:r>
    </w:p>
    <w:p w14:paraId="03D3ACAB" w14:textId="6BACA36E" w:rsidR="00CA18C8" w:rsidRPr="00A7414A" w:rsidRDefault="00CA18C8" w:rsidP="00CA18C8">
      <w:pPr>
        <w:pStyle w:val="Numberedtext"/>
        <w:numPr>
          <w:ilvl w:val="2"/>
          <w:numId w:val="0"/>
        </w:numPr>
        <w:spacing w:before="240"/>
        <w:rPr>
          <w:sz w:val="20"/>
          <w:szCs w:val="20"/>
        </w:rPr>
      </w:pPr>
      <w:r w:rsidRPr="00A7414A">
        <w:rPr>
          <w:sz w:val="20"/>
          <w:szCs w:val="20"/>
        </w:rPr>
        <w:t xml:space="preserve">Furthermore, for the Commercial and Public Sectors, the Climate Action Plan advises that building regulations will </w:t>
      </w:r>
      <w:r w:rsidR="002E07A0" w:rsidRPr="00A7414A">
        <w:rPr>
          <w:sz w:val="20"/>
          <w:szCs w:val="20"/>
        </w:rPr>
        <w:t xml:space="preserve">result in </w:t>
      </w:r>
      <w:r w:rsidRPr="00A7414A">
        <w:rPr>
          <w:sz w:val="20"/>
          <w:szCs w:val="20"/>
        </w:rPr>
        <w:t>new buildings meet</w:t>
      </w:r>
      <w:r w:rsidR="002E07A0" w:rsidRPr="00A7414A">
        <w:rPr>
          <w:sz w:val="20"/>
          <w:szCs w:val="20"/>
        </w:rPr>
        <w:t>ing</w:t>
      </w:r>
      <w:r w:rsidRPr="00A7414A">
        <w:rPr>
          <w:sz w:val="20"/>
          <w:szCs w:val="20"/>
        </w:rPr>
        <w:t xml:space="preserve"> the Nearly Zero Energy Building (and in the future, Zero Energy Buildings) regulation. </w:t>
      </w:r>
    </w:p>
    <w:p w14:paraId="6059B1E3" w14:textId="214D019F" w:rsidR="00F506D6" w:rsidRPr="00A7414A" w:rsidRDefault="00CA18C8" w:rsidP="00CA18C8">
      <w:pPr>
        <w:pStyle w:val="Numberedtext"/>
        <w:numPr>
          <w:ilvl w:val="2"/>
          <w:numId w:val="0"/>
        </w:numPr>
        <w:spacing w:before="240"/>
        <w:rPr>
          <w:sz w:val="20"/>
          <w:szCs w:val="20"/>
        </w:rPr>
      </w:pPr>
      <w:r w:rsidRPr="00A7414A">
        <w:rPr>
          <w:sz w:val="20"/>
          <w:szCs w:val="20"/>
        </w:rPr>
        <w:t xml:space="preserve">Therefore, in compliance with the Irish Government's legally binding commitment to net zero emissions no later than 2050, future anticipated building regulations and the embedded sustainability measures, operational emissions are expected to decarbonise by 2050. It is considered that the Proposed Development’s </w:t>
      </w:r>
      <w:r w:rsidR="00847F87">
        <w:rPr>
          <w:sz w:val="20"/>
          <w:szCs w:val="20"/>
        </w:rPr>
        <w:t xml:space="preserve">GHG </w:t>
      </w:r>
      <w:r w:rsidRPr="00A7414A">
        <w:rPr>
          <w:sz w:val="20"/>
          <w:szCs w:val="20"/>
        </w:rPr>
        <w:t xml:space="preserve">emissions </w:t>
      </w:r>
      <w:r w:rsidR="00847F87">
        <w:rPr>
          <w:sz w:val="20"/>
          <w:szCs w:val="20"/>
        </w:rPr>
        <w:t>during</w:t>
      </w:r>
      <w:r w:rsidR="00847F87" w:rsidRPr="00A7414A">
        <w:rPr>
          <w:sz w:val="20"/>
          <w:szCs w:val="20"/>
        </w:rPr>
        <w:t xml:space="preserve"> </w:t>
      </w:r>
      <w:r w:rsidRPr="00A7414A">
        <w:rPr>
          <w:sz w:val="20"/>
          <w:szCs w:val="20"/>
        </w:rPr>
        <w:t>operation are fully consistent with applicable existing and emerging policy requirements and good practice design standards for projects of this type</w:t>
      </w:r>
      <w:r w:rsidR="00E92207">
        <w:rPr>
          <w:sz w:val="20"/>
          <w:szCs w:val="20"/>
        </w:rPr>
        <w:t>, as per ISEP guidance (ISEP, 2022)</w:t>
      </w:r>
      <w:r w:rsidRPr="00A7414A">
        <w:rPr>
          <w:sz w:val="20"/>
          <w:szCs w:val="20"/>
        </w:rPr>
        <w:t>.</w:t>
      </w:r>
      <w:r w:rsidR="00392382">
        <w:rPr>
          <w:sz w:val="20"/>
          <w:szCs w:val="20"/>
        </w:rPr>
        <w:t xml:space="preserve"> </w:t>
      </w:r>
      <w:r w:rsidR="0020734B">
        <w:rPr>
          <w:sz w:val="20"/>
          <w:szCs w:val="20"/>
        </w:rPr>
        <w:t>Therefore</w:t>
      </w:r>
      <w:r w:rsidRPr="00A7414A">
        <w:rPr>
          <w:sz w:val="20"/>
          <w:szCs w:val="20"/>
        </w:rPr>
        <w:t xml:space="preserve">, it is </w:t>
      </w:r>
      <w:r w:rsidR="00392382">
        <w:rPr>
          <w:sz w:val="20"/>
          <w:szCs w:val="20"/>
        </w:rPr>
        <w:t>considered</w:t>
      </w:r>
      <w:r w:rsidR="00392382" w:rsidRPr="00A7414A">
        <w:rPr>
          <w:sz w:val="20"/>
          <w:szCs w:val="20"/>
        </w:rPr>
        <w:t xml:space="preserve"> </w:t>
      </w:r>
      <w:r w:rsidRPr="00A7414A">
        <w:rPr>
          <w:sz w:val="20"/>
          <w:szCs w:val="20"/>
        </w:rPr>
        <w:t xml:space="preserve">that the operational </w:t>
      </w:r>
      <w:r w:rsidR="00847F87">
        <w:rPr>
          <w:sz w:val="20"/>
          <w:szCs w:val="20"/>
        </w:rPr>
        <w:t xml:space="preserve">GHG </w:t>
      </w:r>
      <w:r w:rsidRPr="00A7414A">
        <w:rPr>
          <w:sz w:val="20"/>
          <w:szCs w:val="20"/>
        </w:rPr>
        <w:t xml:space="preserve">emissions from the Proposed Development are </w:t>
      </w:r>
      <w:r w:rsidRPr="008928B6">
        <w:rPr>
          <w:sz w:val="20"/>
          <w:szCs w:val="20"/>
        </w:rPr>
        <w:t>Minor Adverse</w:t>
      </w:r>
      <w:r w:rsidRPr="00A7414A">
        <w:rPr>
          <w:sz w:val="20"/>
          <w:szCs w:val="20"/>
        </w:rPr>
        <w:t xml:space="preserve"> and </w:t>
      </w:r>
      <w:r w:rsidRPr="008928B6">
        <w:rPr>
          <w:sz w:val="20"/>
          <w:szCs w:val="20"/>
        </w:rPr>
        <w:t>Not Significant</w:t>
      </w:r>
      <w:r w:rsidRPr="00A7414A">
        <w:rPr>
          <w:sz w:val="20"/>
          <w:szCs w:val="20"/>
        </w:rPr>
        <w:t xml:space="preserve">. </w:t>
      </w:r>
    </w:p>
    <w:p w14:paraId="29E425FD" w14:textId="77777777" w:rsidR="00B42F7D" w:rsidRDefault="00B42F7D" w:rsidP="00B42F7D">
      <w:pPr>
        <w:pStyle w:val="Heading3"/>
      </w:pPr>
      <w:bookmarkStart w:id="145" w:name="_Toc239776199"/>
      <w:r w:rsidRPr="00B42F7D">
        <w:t>Climate Change Risk Assessment</w:t>
      </w:r>
      <w:bookmarkEnd w:id="145"/>
      <w:r w:rsidRPr="00B42F7D">
        <w:t xml:space="preserve"> </w:t>
      </w:r>
    </w:p>
    <w:p w14:paraId="14158E2F" w14:textId="2243E3DD" w:rsidR="004A5313" w:rsidRPr="008928B6" w:rsidRDefault="004A5313" w:rsidP="004A5313">
      <w:pPr>
        <w:pStyle w:val="BodyText"/>
      </w:pPr>
      <w:r w:rsidRPr="00A7414A">
        <w:t xml:space="preserve">Using the climate change projection data gathered in </w:t>
      </w:r>
      <w:r w:rsidR="00B27B1F">
        <w:rPr>
          <w:highlight w:val="yellow"/>
        </w:rPr>
        <w:fldChar w:fldCharType="begin"/>
      </w:r>
      <w:r w:rsidR="00B27B1F">
        <w:instrText xml:space="preserve"> REF _Ref222240743 \h </w:instrText>
      </w:r>
      <w:r w:rsidR="00B27B1F">
        <w:rPr>
          <w:highlight w:val="yellow"/>
        </w:rPr>
      </w:r>
      <w:r w:rsidR="00B27B1F">
        <w:rPr>
          <w:highlight w:val="yellow"/>
        </w:rPr>
        <w:fldChar w:fldCharType="separate"/>
      </w:r>
      <w:r w:rsidR="00B27B1F">
        <w:t xml:space="preserve">Table </w:t>
      </w:r>
      <w:r w:rsidR="00B27B1F">
        <w:rPr>
          <w:noProof/>
        </w:rPr>
        <w:t>10</w:t>
      </w:r>
      <w:r w:rsidR="00B27B1F">
        <w:noBreakHyphen/>
      </w:r>
      <w:r w:rsidR="00B27B1F">
        <w:rPr>
          <w:noProof/>
        </w:rPr>
        <w:t>14</w:t>
      </w:r>
      <w:r w:rsidR="00B27B1F">
        <w:rPr>
          <w:highlight w:val="yellow"/>
        </w:rPr>
        <w:fldChar w:fldCharType="end"/>
      </w:r>
      <w:r w:rsidRPr="00A7414A">
        <w:t xml:space="preserve">, climate risks </w:t>
      </w:r>
      <w:r w:rsidR="00847F87">
        <w:t xml:space="preserve">have been </w:t>
      </w:r>
      <w:r w:rsidRPr="00A7414A">
        <w:t xml:space="preserve">identified (e.g. </w:t>
      </w:r>
      <w:r w:rsidRPr="00343909">
        <w:t xml:space="preserve">increased risk of heat stress on construction workers) using the climate hazards deemed to be relevant to the Proposed Development (e.g. increased frequency and intensity of summer heatwaves). </w:t>
      </w:r>
    </w:p>
    <w:p w14:paraId="19FC5C45" w14:textId="2649BF19" w:rsidR="004A5313" w:rsidRPr="00343909" w:rsidRDefault="004A5313" w:rsidP="004A5313">
      <w:pPr>
        <w:pStyle w:val="BodyText"/>
      </w:pPr>
      <w:r w:rsidRPr="00343909">
        <w:t xml:space="preserve">For each climate risk identified, the asset components impacted </w:t>
      </w:r>
      <w:r w:rsidR="004F5BDF">
        <w:t xml:space="preserve">have been </w:t>
      </w:r>
      <w:r w:rsidRPr="00343909">
        <w:t xml:space="preserve">noted and the planned or embedded controls listed. In this instance, embedded or planned controls represent measures that were already included in the design of the Proposed Development that work to mitigate climate risk. With this information, an initial assessment of climate change risk </w:t>
      </w:r>
      <w:r w:rsidR="004F5BDF">
        <w:t>has been</w:t>
      </w:r>
      <w:r w:rsidRPr="00343909">
        <w:t xml:space="preserve"> undertaken based on an analysis of likelihood and consequence. </w:t>
      </w:r>
    </w:p>
    <w:p w14:paraId="016C8994" w14:textId="459C2C3C" w:rsidR="004A5313" w:rsidRPr="004A5313" w:rsidRDefault="004A5313" w:rsidP="00105748">
      <w:pPr>
        <w:pStyle w:val="BodyText"/>
        <w:rPr>
          <w:highlight w:val="yellow"/>
        </w:rPr>
      </w:pPr>
      <w:r w:rsidRPr="00B51908">
        <w:t>Climate risks were first assessed to determine their likelihood of occurrence using the likelihood matrix in</w:t>
      </w:r>
      <w:r w:rsidR="00F53BE6">
        <w:t xml:space="preserve"> </w:t>
      </w:r>
      <w:r w:rsidR="00F53BE6" w:rsidRPr="008928B6">
        <w:fldChar w:fldCharType="begin"/>
      </w:r>
      <w:r w:rsidR="00F53BE6" w:rsidRPr="008928B6">
        <w:instrText xml:space="preserve"> REF _Ref222208719 \h  \* MERGEFORMAT </w:instrText>
      </w:r>
      <w:r w:rsidR="00F53BE6" w:rsidRPr="008928B6">
        <w:fldChar w:fldCharType="separate"/>
      </w:r>
      <w:r w:rsidR="00D83C6F">
        <w:t>Table 10</w:t>
      </w:r>
      <w:r w:rsidR="00D83C6F">
        <w:noBreakHyphen/>
        <w:t>6</w:t>
      </w:r>
      <w:r w:rsidR="00F53BE6" w:rsidRPr="008928B6">
        <w:fldChar w:fldCharType="end"/>
      </w:r>
      <w:r w:rsidRPr="00A7414A">
        <w:t xml:space="preserve">, </w:t>
      </w:r>
      <w:r w:rsidRPr="009D5DC5">
        <w:t>a</w:t>
      </w:r>
      <w:r w:rsidRPr="00B51908">
        <w:t xml:space="preserve">nd then, should they occur, the level of consequence this would have on the Proposed Development using the level of consequence matrix in </w:t>
      </w:r>
      <w:r w:rsidRPr="008928B6">
        <w:fldChar w:fldCharType="begin"/>
      </w:r>
      <w:r w:rsidRPr="008928B6">
        <w:instrText xml:space="preserve"> REF _Ref214371261 \h  \* MERGEFORMAT </w:instrText>
      </w:r>
      <w:r w:rsidRPr="008928B6">
        <w:fldChar w:fldCharType="separate"/>
      </w:r>
      <w:r w:rsidR="00D83C6F" w:rsidRPr="002E31FF">
        <w:t xml:space="preserve">Table </w:t>
      </w:r>
      <w:r w:rsidR="00D83C6F">
        <w:t>10</w:t>
      </w:r>
      <w:r w:rsidR="00D83C6F">
        <w:noBreakHyphen/>
        <w:t>7</w:t>
      </w:r>
      <w:r w:rsidRPr="008928B6">
        <w:fldChar w:fldCharType="end"/>
      </w:r>
      <w:r w:rsidRPr="008928B6">
        <w:t>.</w:t>
      </w:r>
      <w:r w:rsidRPr="00A7414A">
        <w:t xml:space="preserve"> </w:t>
      </w:r>
    </w:p>
    <w:p w14:paraId="3BE6A352" w14:textId="4390C920" w:rsidR="004A5313" w:rsidRPr="004A5313" w:rsidRDefault="00DF5533" w:rsidP="004A5313">
      <w:pPr>
        <w:pStyle w:val="BodyText"/>
        <w:rPr>
          <w:highlight w:val="yellow"/>
        </w:rPr>
      </w:pPr>
      <w:r>
        <w:t xml:space="preserve">A total </w:t>
      </w:r>
      <w:r w:rsidR="004A5313" w:rsidRPr="00A7414A">
        <w:t>of 1</w:t>
      </w:r>
      <w:r w:rsidR="005B18AD">
        <w:t>6</w:t>
      </w:r>
      <w:r w:rsidR="004A5313" w:rsidRPr="00A7414A">
        <w:t xml:space="preserve"> climate risks </w:t>
      </w:r>
      <w:r>
        <w:t xml:space="preserve">have been </w:t>
      </w:r>
      <w:r w:rsidR="004A5313" w:rsidRPr="00A7414A">
        <w:t xml:space="preserve">identified, </w:t>
      </w:r>
      <w:r w:rsidR="00FE5E54" w:rsidRPr="00A7414A">
        <w:t xml:space="preserve">seven </w:t>
      </w:r>
      <w:r w:rsidR="004A5313" w:rsidRPr="00A7414A">
        <w:t xml:space="preserve">of which </w:t>
      </w:r>
      <w:r>
        <w:t xml:space="preserve">occur </w:t>
      </w:r>
      <w:r w:rsidR="004A5313" w:rsidRPr="00A7414A">
        <w:t xml:space="preserve">during the construction </w:t>
      </w:r>
      <w:r>
        <w:t xml:space="preserve">phase </w:t>
      </w:r>
      <w:r w:rsidR="004A5313" w:rsidRPr="00A7414A">
        <w:t xml:space="preserve">of the Proposed Development, </w:t>
      </w:r>
      <w:r>
        <w:t xml:space="preserve">with </w:t>
      </w:r>
      <w:r w:rsidR="00C761DE">
        <w:t>nine</w:t>
      </w:r>
      <w:r w:rsidR="00C761DE" w:rsidRPr="00A7414A">
        <w:t xml:space="preserve"> </w:t>
      </w:r>
      <w:r w:rsidR="00064019" w:rsidRPr="00A7414A">
        <w:t>during</w:t>
      </w:r>
      <w:r w:rsidR="004A5313" w:rsidRPr="00A7414A">
        <w:t xml:space="preserve"> the operational phase. The C</w:t>
      </w:r>
      <w:r w:rsidR="00FE5E54" w:rsidRPr="00A7414A">
        <w:t>C</w:t>
      </w:r>
      <w:r w:rsidR="004A5313" w:rsidRPr="00A7414A">
        <w:t>RA is presented in</w:t>
      </w:r>
      <w:r w:rsidR="0094252E">
        <w:t xml:space="preserve"> Appendix 10-1</w:t>
      </w:r>
      <w:r w:rsidR="00DB5EAD" w:rsidRPr="008928B6">
        <w:t>.</w:t>
      </w:r>
      <w:r w:rsidR="00DB5EAD" w:rsidRPr="00A7414A">
        <w:t xml:space="preserve"> </w:t>
      </w:r>
      <w:r w:rsidR="004A5313" w:rsidRPr="00A7414A">
        <w:t xml:space="preserve">Climate risks include potential increased heat stress on construction </w:t>
      </w:r>
      <w:r w:rsidR="00962DDF" w:rsidRPr="00A7414A">
        <w:t xml:space="preserve">workers </w:t>
      </w:r>
      <w:r w:rsidR="004A5313" w:rsidRPr="00A7414A">
        <w:t xml:space="preserve">and </w:t>
      </w:r>
      <w:r w:rsidR="00962DDF" w:rsidRPr="00A7414A">
        <w:t>occupants</w:t>
      </w:r>
      <w:r w:rsidR="004A5313" w:rsidRPr="00A7414A">
        <w:t>,</w:t>
      </w:r>
      <w:r w:rsidR="009207FA">
        <w:t xml:space="preserve"> and</w:t>
      </w:r>
      <w:r w:rsidR="004A5313" w:rsidRPr="00A7414A">
        <w:t xml:space="preserve"> increased risk of damage of construction equipment from </w:t>
      </w:r>
      <w:r w:rsidR="00624E60" w:rsidRPr="00A7414A">
        <w:t>flooding</w:t>
      </w:r>
      <w:r w:rsidR="009207FA">
        <w:t xml:space="preserve"> and storm events</w:t>
      </w:r>
      <w:r w:rsidR="0040569A">
        <w:t>.</w:t>
      </w:r>
      <w:r w:rsidR="004A5313" w:rsidRPr="004A5313">
        <w:rPr>
          <w:highlight w:val="yellow"/>
        </w:rPr>
        <w:t xml:space="preserve"> </w:t>
      </w:r>
    </w:p>
    <w:p w14:paraId="1A144F3E" w14:textId="54B894BD" w:rsidR="004A5313" w:rsidRPr="00A7414A" w:rsidRDefault="004A5313" w:rsidP="004A5313">
      <w:pPr>
        <w:pStyle w:val="BodyText"/>
      </w:pPr>
      <w:r w:rsidRPr="00A7414A">
        <w:t xml:space="preserve">The construction and operational climate risks were then assessed against RCP 4.5 and RCP 8.5. </w:t>
      </w:r>
      <w:r w:rsidRPr="008928B6">
        <w:fldChar w:fldCharType="begin"/>
      </w:r>
      <w:r w:rsidRPr="008928B6">
        <w:instrText xml:space="preserve"> REF _Ref214371815 \h  \* MERGEFORMAT </w:instrText>
      </w:r>
      <w:r w:rsidRPr="008928B6">
        <w:fldChar w:fldCharType="separate"/>
      </w:r>
      <w:r w:rsidR="00D83C6F" w:rsidRPr="00A7414A">
        <w:t xml:space="preserve">Table </w:t>
      </w:r>
      <w:r w:rsidR="00D83C6F">
        <w:t>10</w:t>
      </w:r>
      <w:r w:rsidR="00D83C6F" w:rsidRPr="00A7414A">
        <w:noBreakHyphen/>
      </w:r>
      <w:r w:rsidR="00D83C6F">
        <w:t>20</w:t>
      </w:r>
      <w:r w:rsidRPr="008928B6">
        <w:fldChar w:fldCharType="end"/>
      </w:r>
      <w:r w:rsidRPr="00A7414A">
        <w:rPr>
          <w:b/>
          <w:bCs/>
        </w:rPr>
        <w:t xml:space="preserve"> </w:t>
      </w:r>
      <w:r w:rsidR="00326B11">
        <w:t>displays</w:t>
      </w:r>
      <w:r w:rsidR="00326B11" w:rsidRPr="00A7414A">
        <w:t xml:space="preserve"> </w:t>
      </w:r>
      <w:r w:rsidRPr="00A7414A">
        <w:t xml:space="preserve">the </w:t>
      </w:r>
      <w:r w:rsidR="00E763E3">
        <w:t xml:space="preserve">initial </w:t>
      </w:r>
      <w:r w:rsidRPr="00A7414A">
        <w:t xml:space="preserve">risk profile for the Proposed Development under both RCP scenarios. There </w:t>
      </w:r>
      <w:r w:rsidR="00DF5533">
        <w:t>are</w:t>
      </w:r>
      <w:r w:rsidRPr="00A7414A">
        <w:t xml:space="preserve"> </w:t>
      </w:r>
      <w:r w:rsidR="00FE554B">
        <w:t>zero</w:t>
      </w:r>
      <w:r w:rsidRPr="00A7414A">
        <w:t xml:space="preserve"> climate risk</w:t>
      </w:r>
      <w:r w:rsidR="00FE554B">
        <w:t>s</w:t>
      </w:r>
      <w:r w:rsidRPr="00A7414A">
        <w:t xml:space="preserve"> which </w:t>
      </w:r>
      <w:r w:rsidR="00DF5533">
        <w:t xml:space="preserve">fall </w:t>
      </w:r>
      <w:r w:rsidRPr="00A7414A">
        <w:t>under the ‘</w:t>
      </w:r>
      <w:r w:rsidR="00DF5533">
        <w:t>S</w:t>
      </w:r>
      <w:r w:rsidRPr="00A7414A">
        <w:t xml:space="preserve">ignificant’ category for the RCP 4.5 scenario and </w:t>
      </w:r>
      <w:r w:rsidR="00FE554B">
        <w:t>one</w:t>
      </w:r>
      <w:r w:rsidR="00EE31CF" w:rsidRPr="00A7414A">
        <w:t xml:space="preserve"> </w:t>
      </w:r>
      <w:r w:rsidRPr="00A7414A">
        <w:t xml:space="preserve">risk rated as </w:t>
      </w:r>
      <w:r w:rsidR="00DF5533">
        <w:t>‘S</w:t>
      </w:r>
      <w:r w:rsidRPr="00A7414A">
        <w:t>ignificant</w:t>
      </w:r>
      <w:r w:rsidR="00DF5533">
        <w:t>’</w:t>
      </w:r>
      <w:r w:rsidRPr="00A7414A">
        <w:t xml:space="preserve"> under RCP 8.5</w:t>
      </w:r>
      <w:r w:rsidR="008D7F04">
        <w:t xml:space="preserve"> (2071-2100)</w:t>
      </w:r>
      <w:r w:rsidRPr="00A7414A">
        <w:t>.</w:t>
      </w:r>
    </w:p>
    <w:p w14:paraId="1830C349" w14:textId="4C0C6D54" w:rsidR="004A5313" w:rsidRPr="00A7414A" w:rsidRDefault="004A5313" w:rsidP="004A5313">
      <w:pPr>
        <w:pStyle w:val="Caption"/>
      </w:pPr>
      <w:bookmarkStart w:id="146" w:name="_Ref214371815"/>
      <w:bookmarkStart w:id="147" w:name="_Ref214376503"/>
      <w:bookmarkStart w:id="148" w:name="_Toc216107545"/>
      <w:bookmarkStart w:id="149" w:name="_Toc238199695"/>
      <w:r w:rsidRPr="00A7414A">
        <w:lastRenderedPageBreak/>
        <w:t xml:space="preserve">Table </w:t>
      </w:r>
      <w:r>
        <w:fldChar w:fldCharType="begin"/>
      </w:r>
      <w:r>
        <w:instrText>STYLEREF 1 \s</w:instrText>
      </w:r>
      <w:r>
        <w:fldChar w:fldCharType="separate"/>
      </w:r>
      <w:r w:rsidR="00D83C6F">
        <w:rPr>
          <w:noProof/>
        </w:rPr>
        <w:t>10</w:t>
      </w:r>
      <w:r>
        <w:fldChar w:fldCharType="end"/>
      </w:r>
      <w:r w:rsidR="00BE5583" w:rsidRPr="00A7414A">
        <w:noBreakHyphen/>
      </w:r>
      <w:r>
        <w:fldChar w:fldCharType="begin"/>
      </w:r>
      <w:r>
        <w:instrText>SEQ Table \* ARABIC \s 1</w:instrText>
      </w:r>
      <w:r>
        <w:fldChar w:fldCharType="separate"/>
      </w:r>
      <w:r w:rsidR="00D83C6F">
        <w:rPr>
          <w:noProof/>
        </w:rPr>
        <w:t>20</w:t>
      </w:r>
      <w:r>
        <w:fldChar w:fldCharType="end"/>
      </w:r>
      <w:bookmarkEnd w:id="146"/>
      <w:bookmarkEnd w:id="147"/>
      <w:r w:rsidR="00361852">
        <w:t>:</w:t>
      </w:r>
      <w:r w:rsidRPr="00A7414A">
        <w:t xml:space="preserve"> </w:t>
      </w:r>
      <w:r w:rsidR="00E763E3">
        <w:t xml:space="preserve">Initial </w:t>
      </w:r>
      <w:r w:rsidRPr="00A7414A">
        <w:t xml:space="preserve">Risk Profile for </w:t>
      </w:r>
      <w:bookmarkEnd w:id="148"/>
      <w:r w:rsidR="00BB3A10">
        <w:t xml:space="preserve">the Proposed </w:t>
      </w:r>
      <w:r w:rsidR="00EE31CF">
        <w:t>Development</w:t>
      </w:r>
      <w:bookmarkEnd w:id="149"/>
    </w:p>
    <w:tbl>
      <w:tblPr>
        <w:tblStyle w:val="AECOMtable"/>
        <w:tblW w:w="5002" w:type="pct"/>
        <w:tblInd w:w="-1" w:type="dxa"/>
        <w:tblLayout w:type="fixed"/>
        <w:tblCellMar>
          <w:right w:w="108" w:type="dxa"/>
        </w:tblCellMar>
        <w:tblLook w:val="04A0" w:firstRow="1" w:lastRow="0" w:firstColumn="1" w:lastColumn="0" w:noHBand="0" w:noVBand="1"/>
      </w:tblPr>
      <w:tblGrid>
        <w:gridCol w:w="1504"/>
        <w:gridCol w:w="1309"/>
        <w:gridCol w:w="1309"/>
        <w:gridCol w:w="1309"/>
        <w:gridCol w:w="1309"/>
        <w:gridCol w:w="1309"/>
        <w:gridCol w:w="1309"/>
      </w:tblGrid>
      <w:tr w:rsidR="00651317" w:rsidRPr="004A5313" w14:paraId="758FB97B" w14:textId="76752C02" w:rsidTr="00EA3449">
        <w:trPr>
          <w:cnfStyle w:val="100000000000" w:firstRow="1" w:lastRow="0" w:firstColumn="0" w:lastColumn="0" w:oddVBand="0" w:evenVBand="0" w:oddHBand="0" w:evenHBand="0" w:firstRowFirstColumn="0" w:firstRowLastColumn="0" w:lastRowFirstColumn="0" w:lastRowLastColumn="0"/>
          <w:trHeight w:val="318"/>
          <w:tblHeader/>
        </w:trPr>
        <w:tc>
          <w:tcPr>
            <w:tcW w:w="1504" w:type="dxa"/>
          </w:tcPr>
          <w:p w14:paraId="21C07F1E" w14:textId="77777777" w:rsidR="00651317" w:rsidRPr="00A7414A" w:rsidRDefault="00651317">
            <w:pPr>
              <w:pStyle w:val="Tabletext"/>
            </w:pPr>
            <w:r w:rsidRPr="00A7414A">
              <w:t>Risk Rating</w:t>
            </w:r>
          </w:p>
        </w:tc>
        <w:tc>
          <w:tcPr>
            <w:tcW w:w="1309" w:type="dxa"/>
          </w:tcPr>
          <w:p w14:paraId="70D97331" w14:textId="77777777" w:rsidR="00651317" w:rsidRPr="00A7414A" w:rsidRDefault="00651317">
            <w:pPr>
              <w:pStyle w:val="Tabletext"/>
              <w:jc w:val="center"/>
            </w:pPr>
            <w:r w:rsidRPr="00A7414A">
              <w:t>Moderate Emissions Scenario</w:t>
            </w:r>
          </w:p>
          <w:p w14:paraId="61252213" w14:textId="77777777" w:rsidR="00651317" w:rsidRPr="00A7414A" w:rsidRDefault="00651317">
            <w:pPr>
              <w:pStyle w:val="Tabletext"/>
              <w:jc w:val="center"/>
            </w:pPr>
            <w:r w:rsidRPr="00A7414A">
              <w:t>RCP 4.5 2021 - 2050</w:t>
            </w:r>
          </w:p>
        </w:tc>
        <w:tc>
          <w:tcPr>
            <w:tcW w:w="1309" w:type="dxa"/>
          </w:tcPr>
          <w:p w14:paraId="241B7E5B" w14:textId="77777777" w:rsidR="002C4351" w:rsidRPr="00A7414A" w:rsidRDefault="002C4351" w:rsidP="002C4351">
            <w:pPr>
              <w:pStyle w:val="Tabletext"/>
              <w:jc w:val="center"/>
            </w:pPr>
            <w:r w:rsidRPr="00A7414A">
              <w:t>Moderate Emissions Scenario</w:t>
            </w:r>
          </w:p>
          <w:p w14:paraId="53E3972D" w14:textId="432AC614" w:rsidR="00651317" w:rsidRPr="00A7414A" w:rsidRDefault="002C4351">
            <w:pPr>
              <w:pStyle w:val="Tabletext"/>
              <w:jc w:val="center"/>
            </w:pPr>
            <w:r w:rsidRPr="00A7414A">
              <w:t>RCP 4.5 2041 - 2070</w:t>
            </w:r>
          </w:p>
        </w:tc>
        <w:tc>
          <w:tcPr>
            <w:tcW w:w="1309" w:type="dxa"/>
          </w:tcPr>
          <w:p w14:paraId="5D2B76EE" w14:textId="77777777" w:rsidR="00651317" w:rsidRPr="00A7414A" w:rsidRDefault="00651317">
            <w:pPr>
              <w:pStyle w:val="Tabletext"/>
              <w:jc w:val="center"/>
            </w:pPr>
            <w:r w:rsidRPr="00A7414A">
              <w:t>Moderate Emissions Scenario</w:t>
            </w:r>
          </w:p>
          <w:p w14:paraId="677E83A4" w14:textId="5567617F" w:rsidR="00651317" w:rsidRPr="00A7414A" w:rsidRDefault="00651317">
            <w:pPr>
              <w:pStyle w:val="Tabletext"/>
              <w:jc w:val="center"/>
            </w:pPr>
            <w:r w:rsidRPr="00A7414A">
              <w:t>RCP 4.5 20</w:t>
            </w:r>
            <w:r w:rsidR="002C4351">
              <w:t>7</w:t>
            </w:r>
            <w:r w:rsidRPr="00A7414A">
              <w:t>1 - 2</w:t>
            </w:r>
            <w:r w:rsidR="002C4351">
              <w:t>1</w:t>
            </w:r>
            <w:r w:rsidRPr="00A7414A">
              <w:t>00</w:t>
            </w:r>
          </w:p>
        </w:tc>
        <w:tc>
          <w:tcPr>
            <w:tcW w:w="1309" w:type="dxa"/>
          </w:tcPr>
          <w:p w14:paraId="539E9F5D" w14:textId="77777777" w:rsidR="002C4351" w:rsidRPr="00A7414A" w:rsidRDefault="002C4351" w:rsidP="002C4351">
            <w:pPr>
              <w:pStyle w:val="Tabletext"/>
              <w:jc w:val="center"/>
            </w:pPr>
            <w:r w:rsidRPr="00A7414A">
              <w:t>High Emissions Scenario</w:t>
            </w:r>
          </w:p>
          <w:p w14:paraId="6F7BA5AC" w14:textId="0858A5E1" w:rsidR="00651317" w:rsidRPr="00A7414A" w:rsidRDefault="002C4351">
            <w:pPr>
              <w:pStyle w:val="Tabletext"/>
              <w:jc w:val="center"/>
            </w:pPr>
            <w:r w:rsidRPr="00A7414A">
              <w:t>RCP 8.5 2021 - 2050</w:t>
            </w:r>
          </w:p>
        </w:tc>
        <w:tc>
          <w:tcPr>
            <w:tcW w:w="1309" w:type="dxa"/>
          </w:tcPr>
          <w:p w14:paraId="09FFBF79" w14:textId="77777777" w:rsidR="00651317" w:rsidRPr="00A7414A" w:rsidRDefault="00651317" w:rsidP="00651317">
            <w:pPr>
              <w:pStyle w:val="Tabletext"/>
              <w:jc w:val="center"/>
            </w:pPr>
            <w:r w:rsidRPr="00A7414A">
              <w:t>High Emissions Scenario</w:t>
            </w:r>
          </w:p>
          <w:p w14:paraId="3A1929FC" w14:textId="33612BC5" w:rsidR="00651317" w:rsidRPr="00A7414A" w:rsidRDefault="00651317" w:rsidP="00651317">
            <w:pPr>
              <w:pStyle w:val="Tabletext"/>
              <w:jc w:val="center"/>
            </w:pPr>
            <w:r w:rsidRPr="00A7414A">
              <w:t>RCP 8.5 2041 - 2070</w:t>
            </w:r>
          </w:p>
        </w:tc>
        <w:tc>
          <w:tcPr>
            <w:tcW w:w="1309" w:type="dxa"/>
          </w:tcPr>
          <w:p w14:paraId="3D8D332F" w14:textId="77777777" w:rsidR="00651317" w:rsidRPr="00A7414A" w:rsidRDefault="00651317" w:rsidP="00651317">
            <w:pPr>
              <w:pStyle w:val="Tabletext"/>
              <w:jc w:val="center"/>
            </w:pPr>
            <w:r w:rsidRPr="00A7414A">
              <w:t>High Emissions Scenario</w:t>
            </w:r>
          </w:p>
          <w:p w14:paraId="08262D36" w14:textId="6D904D5E" w:rsidR="00651317" w:rsidRPr="00A7414A" w:rsidRDefault="00651317" w:rsidP="00651317">
            <w:pPr>
              <w:pStyle w:val="Tabletext"/>
              <w:jc w:val="center"/>
            </w:pPr>
            <w:r w:rsidRPr="00A7414A">
              <w:t>RCP 8.5 20</w:t>
            </w:r>
            <w:r>
              <w:t>7</w:t>
            </w:r>
            <w:r w:rsidRPr="00A7414A">
              <w:t>1 - 2</w:t>
            </w:r>
            <w:r>
              <w:t>10</w:t>
            </w:r>
            <w:r w:rsidRPr="00A7414A">
              <w:t>0</w:t>
            </w:r>
          </w:p>
        </w:tc>
      </w:tr>
      <w:tr w:rsidR="00FF7243" w:rsidRPr="004A5313" w14:paraId="1B11F123" w14:textId="77777777" w:rsidTr="004F6E80">
        <w:trPr>
          <w:trHeight w:val="245"/>
        </w:trPr>
        <w:tc>
          <w:tcPr>
            <w:tcW w:w="9358" w:type="dxa"/>
            <w:gridSpan w:val="7"/>
            <w:tcBorders>
              <w:top w:val="single" w:sz="12" w:space="0" w:color="008768" w:themeColor="accent1"/>
              <w:bottom w:val="single" w:sz="4" w:space="0" w:color="auto"/>
            </w:tcBorders>
          </w:tcPr>
          <w:p w14:paraId="6BD9BC19" w14:textId="19A29C38" w:rsidR="00FF7243" w:rsidRDefault="00FF7243" w:rsidP="00F31E65">
            <w:pPr>
              <w:pStyle w:val="Tabletext"/>
              <w:keepNext/>
              <w:keepLines/>
              <w:jc w:val="center"/>
            </w:pPr>
            <w:r>
              <w:rPr>
                <w:b/>
                <w:bCs/>
              </w:rPr>
              <w:t>Construction</w:t>
            </w:r>
          </w:p>
        </w:tc>
      </w:tr>
      <w:tr w:rsidR="00C761DE" w:rsidRPr="004A5313" w14:paraId="04E76F06" w14:textId="69028489" w:rsidTr="008928B6">
        <w:trPr>
          <w:trHeight w:val="245"/>
        </w:trPr>
        <w:tc>
          <w:tcPr>
            <w:tcW w:w="1504" w:type="dxa"/>
            <w:tcBorders>
              <w:top w:val="single" w:sz="4" w:space="0" w:color="auto"/>
              <w:bottom w:val="single" w:sz="4" w:space="0" w:color="auto"/>
            </w:tcBorders>
          </w:tcPr>
          <w:p w14:paraId="2D5CC80F" w14:textId="512724F3" w:rsidR="00C761DE" w:rsidRPr="00A7414A" w:rsidRDefault="00C761DE" w:rsidP="00C761DE">
            <w:pPr>
              <w:pStyle w:val="Tabletext"/>
              <w:keepNext/>
              <w:jc w:val="left"/>
              <w:rPr>
                <w:b/>
                <w:bCs/>
              </w:rPr>
            </w:pPr>
            <w:r w:rsidRPr="00A7414A">
              <w:rPr>
                <w:b/>
                <w:bCs/>
              </w:rPr>
              <w:t>Low</w:t>
            </w:r>
          </w:p>
        </w:tc>
        <w:tc>
          <w:tcPr>
            <w:tcW w:w="1309" w:type="dxa"/>
            <w:tcBorders>
              <w:top w:val="single" w:sz="4" w:space="0" w:color="auto"/>
              <w:bottom w:val="single" w:sz="4" w:space="0" w:color="auto"/>
            </w:tcBorders>
            <w:vAlign w:val="center"/>
          </w:tcPr>
          <w:p w14:paraId="5B73C27C" w14:textId="65C16E4B" w:rsidR="00C761DE" w:rsidRPr="00A7414A" w:rsidRDefault="000872A8" w:rsidP="00C761DE">
            <w:pPr>
              <w:pStyle w:val="Tabletext"/>
              <w:keepNext/>
              <w:keepLines/>
              <w:jc w:val="center"/>
            </w:pPr>
            <w:r>
              <w:t>6</w:t>
            </w:r>
          </w:p>
        </w:tc>
        <w:tc>
          <w:tcPr>
            <w:tcW w:w="1309" w:type="dxa"/>
            <w:tcBorders>
              <w:top w:val="single" w:sz="4" w:space="0" w:color="auto"/>
              <w:bottom w:val="single" w:sz="4" w:space="0" w:color="auto"/>
            </w:tcBorders>
            <w:vAlign w:val="center"/>
          </w:tcPr>
          <w:p w14:paraId="02F9037D" w14:textId="16169657" w:rsidR="00C761DE" w:rsidRPr="00A7414A" w:rsidRDefault="00BF062D" w:rsidP="00C761DE">
            <w:pPr>
              <w:pStyle w:val="Tabletext"/>
              <w:keepNext/>
              <w:keepLines/>
              <w:jc w:val="center"/>
            </w:pPr>
            <w:r>
              <w:t>-</w:t>
            </w:r>
          </w:p>
        </w:tc>
        <w:tc>
          <w:tcPr>
            <w:tcW w:w="1309" w:type="dxa"/>
            <w:tcBorders>
              <w:top w:val="single" w:sz="4" w:space="0" w:color="auto"/>
              <w:bottom w:val="single" w:sz="4" w:space="0" w:color="auto"/>
            </w:tcBorders>
            <w:vAlign w:val="center"/>
          </w:tcPr>
          <w:p w14:paraId="2607903A" w14:textId="37E1AE8A" w:rsidR="00C761DE" w:rsidRPr="00A7414A" w:rsidRDefault="00BF062D" w:rsidP="00C761DE">
            <w:pPr>
              <w:pStyle w:val="Tabletext"/>
              <w:keepNext/>
              <w:keepLines/>
              <w:jc w:val="center"/>
            </w:pPr>
            <w:r>
              <w:t>-</w:t>
            </w:r>
          </w:p>
        </w:tc>
        <w:tc>
          <w:tcPr>
            <w:tcW w:w="1309" w:type="dxa"/>
            <w:tcBorders>
              <w:top w:val="single" w:sz="4" w:space="0" w:color="auto"/>
              <w:bottom w:val="single" w:sz="4" w:space="0" w:color="auto"/>
            </w:tcBorders>
            <w:vAlign w:val="center"/>
          </w:tcPr>
          <w:p w14:paraId="0B34D54C" w14:textId="38C22035" w:rsidR="00C761DE" w:rsidRPr="008928B6" w:rsidRDefault="000872A8" w:rsidP="00C761DE">
            <w:pPr>
              <w:pStyle w:val="Tabletext"/>
              <w:keepNext/>
              <w:keepLines/>
              <w:jc w:val="center"/>
            </w:pPr>
            <w:r>
              <w:t>6</w:t>
            </w:r>
          </w:p>
        </w:tc>
        <w:tc>
          <w:tcPr>
            <w:tcW w:w="1309" w:type="dxa"/>
            <w:tcBorders>
              <w:top w:val="single" w:sz="4" w:space="0" w:color="auto"/>
              <w:bottom w:val="single" w:sz="4" w:space="0" w:color="auto"/>
            </w:tcBorders>
          </w:tcPr>
          <w:p w14:paraId="76BD6779" w14:textId="6FDB03DC" w:rsidR="00C761DE" w:rsidDel="005B18AD" w:rsidRDefault="00BF062D" w:rsidP="00C761DE">
            <w:pPr>
              <w:pStyle w:val="Tabletext"/>
              <w:keepNext/>
              <w:keepLines/>
              <w:jc w:val="center"/>
            </w:pPr>
            <w:r>
              <w:t>-</w:t>
            </w:r>
          </w:p>
        </w:tc>
        <w:tc>
          <w:tcPr>
            <w:tcW w:w="1309" w:type="dxa"/>
            <w:tcBorders>
              <w:top w:val="single" w:sz="4" w:space="0" w:color="auto"/>
              <w:bottom w:val="single" w:sz="4" w:space="0" w:color="auto"/>
            </w:tcBorders>
          </w:tcPr>
          <w:p w14:paraId="20A37622" w14:textId="25404B43" w:rsidR="00C761DE" w:rsidDel="005B18AD" w:rsidRDefault="00BF062D" w:rsidP="00C761DE">
            <w:pPr>
              <w:pStyle w:val="Tabletext"/>
              <w:keepNext/>
              <w:keepLines/>
              <w:jc w:val="center"/>
            </w:pPr>
            <w:r>
              <w:t>-</w:t>
            </w:r>
          </w:p>
        </w:tc>
      </w:tr>
      <w:tr w:rsidR="00C761DE" w:rsidRPr="004A5313" w14:paraId="64E53998" w14:textId="49A4BC15" w:rsidTr="008928B6">
        <w:trPr>
          <w:trHeight w:val="245"/>
        </w:trPr>
        <w:tc>
          <w:tcPr>
            <w:tcW w:w="1504" w:type="dxa"/>
            <w:tcBorders>
              <w:top w:val="single" w:sz="4" w:space="0" w:color="auto"/>
              <w:bottom w:val="single" w:sz="4" w:space="0" w:color="auto"/>
            </w:tcBorders>
          </w:tcPr>
          <w:p w14:paraId="3D9AE550" w14:textId="0A5A566B" w:rsidR="00C761DE" w:rsidRPr="00A7414A" w:rsidRDefault="00C761DE" w:rsidP="00C761DE">
            <w:pPr>
              <w:pStyle w:val="Tabletext"/>
              <w:keepNext/>
              <w:jc w:val="left"/>
              <w:rPr>
                <w:b/>
                <w:bCs/>
              </w:rPr>
            </w:pPr>
            <w:r w:rsidRPr="00A7414A">
              <w:rPr>
                <w:b/>
                <w:bCs/>
              </w:rPr>
              <w:t>Medium</w:t>
            </w:r>
          </w:p>
        </w:tc>
        <w:tc>
          <w:tcPr>
            <w:tcW w:w="1309" w:type="dxa"/>
            <w:tcBorders>
              <w:top w:val="single" w:sz="4" w:space="0" w:color="auto"/>
              <w:bottom w:val="single" w:sz="4" w:space="0" w:color="auto"/>
            </w:tcBorders>
            <w:vAlign w:val="center"/>
          </w:tcPr>
          <w:p w14:paraId="7A5C0760" w14:textId="46B1ED16" w:rsidR="00C761DE" w:rsidRPr="00A7414A" w:rsidRDefault="000872A8" w:rsidP="00C761DE">
            <w:pPr>
              <w:pStyle w:val="Tabletext"/>
              <w:keepNext/>
              <w:keepLines/>
              <w:jc w:val="center"/>
            </w:pPr>
            <w:r>
              <w:t>1</w:t>
            </w:r>
          </w:p>
        </w:tc>
        <w:tc>
          <w:tcPr>
            <w:tcW w:w="1309" w:type="dxa"/>
            <w:tcBorders>
              <w:top w:val="single" w:sz="4" w:space="0" w:color="auto"/>
              <w:bottom w:val="single" w:sz="4" w:space="0" w:color="auto"/>
            </w:tcBorders>
            <w:vAlign w:val="center"/>
          </w:tcPr>
          <w:p w14:paraId="3793DB7F" w14:textId="1E310260" w:rsidR="00C761DE" w:rsidRPr="00A7414A" w:rsidRDefault="00BF062D" w:rsidP="00C761DE">
            <w:pPr>
              <w:pStyle w:val="Tabletext"/>
              <w:keepNext/>
              <w:keepLines/>
              <w:jc w:val="center"/>
            </w:pPr>
            <w:r>
              <w:t>-</w:t>
            </w:r>
          </w:p>
        </w:tc>
        <w:tc>
          <w:tcPr>
            <w:tcW w:w="1309" w:type="dxa"/>
            <w:tcBorders>
              <w:top w:val="single" w:sz="4" w:space="0" w:color="auto"/>
              <w:bottom w:val="single" w:sz="4" w:space="0" w:color="auto"/>
            </w:tcBorders>
            <w:vAlign w:val="center"/>
          </w:tcPr>
          <w:p w14:paraId="3E586716" w14:textId="4F79B741" w:rsidR="00C761DE" w:rsidRPr="00A7414A" w:rsidRDefault="00BF062D" w:rsidP="00C761DE">
            <w:pPr>
              <w:pStyle w:val="Tabletext"/>
              <w:keepNext/>
              <w:keepLines/>
              <w:jc w:val="center"/>
            </w:pPr>
            <w:r>
              <w:t>-</w:t>
            </w:r>
          </w:p>
        </w:tc>
        <w:tc>
          <w:tcPr>
            <w:tcW w:w="1309" w:type="dxa"/>
            <w:tcBorders>
              <w:top w:val="single" w:sz="4" w:space="0" w:color="auto"/>
              <w:bottom w:val="single" w:sz="4" w:space="0" w:color="auto"/>
            </w:tcBorders>
            <w:vAlign w:val="center"/>
          </w:tcPr>
          <w:p w14:paraId="60778990" w14:textId="7ED43372" w:rsidR="00C761DE" w:rsidRPr="008928B6" w:rsidRDefault="000872A8" w:rsidP="00C761DE">
            <w:pPr>
              <w:pStyle w:val="Tabletext"/>
              <w:keepNext/>
              <w:keepLines/>
              <w:jc w:val="center"/>
            </w:pPr>
            <w:r>
              <w:t>1</w:t>
            </w:r>
          </w:p>
        </w:tc>
        <w:tc>
          <w:tcPr>
            <w:tcW w:w="1309" w:type="dxa"/>
            <w:tcBorders>
              <w:top w:val="single" w:sz="4" w:space="0" w:color="auto"/>
              <w:bottom w:val="single" w:sz="4" w:space="0" w:color="auto"/>
            </w:tcBorders>
          </w:tcPr>
          <w:p w14:paraId="1A8DD561" w14:textId="016D22A9" w:rsidR="00C761DE" w:rsidRPr="00492A2C" w:rsidRDefault="00BF062D" w:rsidP="00C761DE">
            <w:pPr>
              <w:pStyle w:val="Tabletext"/>
              <w:keepNext/>
              <w:keepLines/>
              <w:jc w:val="center"/>
            </w:pPr>
            <w:r>
              <w:t>-</w:t>
            </w:r>
          </w:p>
        </w:tc>
        <w:tc>
          <w:tcPr>
            <w:tcW w:w="1309" w:type="dxa"/>
            <w:tcBorders>
              <w:top w:val="single" w:sz="4" w:space="0" w:color="auto"/>
              <w:bottom w:val="single" w:sz="4" w:space="0" w:color="auto"/>
            </w:tcBorders>
          </w:tcPr>
          <w:p w14:paraId="4FD04386" w14:textId="0E52E94F" w:rsidR="00C761DE" w:rsidRPr="00492A2C" w:rsidRDefault="00BF062D" w:rsidP="00C761DE">
            <w:pPr>
              <w:pStyle w:val="Tabletext"/>
              <w:keepNext/>
              <w:keepLines/>
              <w:jc w:val="center"/>
            </w:pPr>
            <w:r>
              <w:t>-</w:t>
            </w:r>
          </w:p>
        </w:tc>
      </w:tr>
      <w:tr w:rsidR="00C761DE" w:rsidRPr="00CE4840" w14:paraId="40032435" w14:textId="16833F74" w:rsidTr="008928B6">
        <w:trPr>
          <w:trHeight w:val="245"/>
        </w:trPr>
        <w:tc>
          <w:tcPr>
            <w:tcW w:w="1504" w:type="dxa"/>
            <w:tcBorders>
              <w:top w:val="single" w:sz="4" w:space="0" w:color="auto"/>
              <w:bottom w:val="single" w:sz="4" w:space="0" w:color="auto"/>
            </w:tcBorders>
          </w:tcPr>
          <w:p w14:paraId="48DF65B8" w14:textId="2DC6980C" w:rsidR="00C761DE" w:rsidRPr="00A7414A" w:rsidRDefault="00C761DE" w:rsidP="00C761DE">
            <w:pPr>
              <w:pStyle w:val="Tabletext"/>
              <w:keepNext/>
              <w:jc w:val="left"/>
              <w:rPr>
                <w:b/>
                <w:bCs/>
              </w:rPr>
            </w:pPr>
            <w:r w:rsidRPr="00A7414A">
              <w:rPr>
                <w:b/>
                <w:bCs/>
              </w:rPr>
              <w:t>High</w:t>
            </w:r>
          </w:p>
        </w:tc>
        <w:tc>
          <w:tcPr>
            <w:tcW w:w="1309" w:type="dxa"/>
            <w:tcBorders>
              <w:top w:val="single" w:sz="4" w:space="0" w:color="auto"/>
              <w:bottom w:val="single" w:sz="4" w:space="0" w:color="auto"/>
            </w:tcBorders>
            <w:vAlign w:val="center"/>
          </w:tcPr>
          <w:p w14:paraId="3D4E1418" w14:textId="36C3D31C" w:rsidR="00C761DE" w:rsidRPr="00A7414A" w:rsidRDefault="00C761DE" w:rsidP="00C761DE">
            <w:pPr>
              <w:pStyle w:val="Tabletext"/>
              <w:keepNext/>
              <w:keepLines/>
              <w:jc w:val="center"/>
            </w:pPr>
            <w:r>
              <w:t>0</w:t>
            </w:r>
          </w:p>
        </w:tc>
        <w:tc>
          <w:tcPr>
            <w:tcW w:w="1309" w:type="dxa"/>
            <w:tcBorders>
              <w:top w:val="single" w:sz="4" w:space="0" w:color="auto"/>
              <w:bottom w:val="single" w:sz="4" w:space="0" w:color="auto"/>
            </w:tcBorders>
            <w:vAlign w:val="center"/>
          </w:tcPr>
          <w:p w14:paraId="7765A4CC" w14:textId="5DB49CD1" w:rsidR="00C761DE" w:rsidRPr="00A7414A" w:rsidRDefault="00BF062D" w:rsidP="00C761DE">
            <w:pPr>
              <w:pStyle w:val="Tabletext"/>
              <w:keepNext/>
              <w:keepLines/>
              <w:jc w:val="center"/>
            </w:pPr>
            <w:r>
              <w:t>-</w:t>
            </w:r>
          </w:p>
        </w:tc>
        <w:tc>
          <w:tcPr>
            <w:tcW w:w="1309" w:type="dxa"/>
            <w:tcBorders>
              <w:top w:val="single" w:sz="4" w:space="0" w:color="auto"/>
              <w:bottom w:val="single" w:sz="4" w:space="0" w:color="auto"/>
            </w:tcBorders>
            <w:vAlign w:val="center"/>
          </w:tcPr>
          <w:p w14:paraId="11701C46" w14:textId="5172ECE6" w:rsidR="00C761DE" w:rsidRPr="00A7414A" w:rsidRDefault="00BF062D" w:rsidP="00C761DE">
            <w:pPr>
              <w:pStyle w:val="Tabletext"/>
              <w:keepNext/>
              <w:keepLines/>
              <w:jc w:val="center"/>
            </w:pPr>
            <w:r>
              <w:t>-</w:t>
            </w:r>
          </w:p>
        </w:tc>
        <w:tc>
          <w:tcPr>
            <w:tcW w:w="1309" w:type="dxa"/>
            <w:tcBorders>
              <w:top w:val="single" w:sz="4" w:space="0" w:color="auto"/>
              <w:bottom w:val="single" w:sz="4" w:space="0" w:color="auto"/>
            </w:tcBorders>
            <w:vAlign w:val="center"/>
          </w:tcPr>
          <w:p w14:paraId="14F96E24" w14:textId="0D830C97" w:rsidR="00C761DE" w:rsidRDefault="000872A8" w:rsidP="00C761DE">
            <w:pPr>
              <w:pStyle w:val="Tabletext"/>
              <w:keepNext/>
              <w:keepLines/>
              <w:jc w:val="center"/>
            </w:pPr>
            <w:r>
              <w:t>0</w:t>
            </w:r>
          </w:p>
        </w:tc>
        <w:tc>
          <w:tcPr>
            <w:tcW w:w="1309" w:type="dxa"/>
            <w:tcBorders>
              <w:top w:val="single" w:sz="4" w:space="0" w:color="auto"/>
              <w:bottom w:val="single" w:sz="4" w:space="0" w:color="auto"/>
            </w:tcBorders>
          </w:tcPr>
          <w:p w14:paraId="24EA6921" w14:textId="0063075D" w:rsidR="00C761DE" w:rsidRPr="00492A2C" w:rsidRDefault="00BF062D" w:rsidP="00C761DE">
            <w:pPr>
              <w:pStyle w:val="Tabletext"/>
              <w:keepNext/>
              <w:keepLines/>
              <w:jc w:val="center"/>
            </w:pPr>
            <w:r>
              <w:t>-</w:t>
            </w:r>
          </w:p>
        </w:tc>
        <w:tc>
          <w:tcPr>
            <w:tcW w:w="1309" w:type="dxa"/>
            <w:tcBorders>
              <w:top w:val="single" w:sz="4" w:space="0" w:color="auto"/>
              <w:bottom w:val="single" w:sz="4" w:space="0" w:color="auto"/>
            </w:tcBorders>
          </w:tcPr>
          <w:p w14:paraId="4426068E" w14:textId="6BE0C114" w:rsidR="00C761DE" w:rsidRPr="00492A2C" w:rsidRDefault="00BF062D" w:rsidP="00C761DE">
            <w:pPr>
              <w:pStyle w:val="Tabletext"/>
              <w:keepNext/>
              <w:keepLines/>
              <w:jc w:val="center"/>
            </w:pPr>
            <w:r>
              <w:t>-</w:t>
            </w:r>
          </w:p>
        </w:tc>
      </w:tr>
      <w:tr w:rsidR="00C761DE" w:rsidRPr="00CE4840" w14:paraId="3FF26B58" w14:textId="77777777" w:rsidTr="008928B6">
        <w:trPr>
          <w:trHeight w:val="245"/>
        </w:trPr>
        <w:tc>
          <w:tcPr>
            <w:tcW w:w="1504" w:type="dxa"/>
            <w:tcBorders>
              <w:top w:val="single" w:sz="4" w:space="0" w:color="auto"/>
              <w:bottom w:val="single" w:sz="4" w:space="0" w:color="auto"/>
            </w:tcBorders>
          </w:tcPr>
          <w:p w14:paraId="078665BD" w14:textId="65625F9D" w:rsidR="00C761DE" w:rsidRPr="00A7414A" w:rsidRDefault="00C761DE" w:rsidP="00C761DE">
            <w:pPr>
              <w:pStyle w:val="Tabletext"/>
              <w:keepNext/>
              <w:jc w:val="left"/>
              <w:rPr>
                <w:b/>
                <w:bCs/>
              </w:rPr>
            </w:pPr>
            <w:r w:rsidRPr="00A7414A">
              <w:rPr>
                <w:b/>
                <w:bCs/>
              </w:rPr>
              <w:t>Extreme</w:t>
            </w:r>
          </w:p>
        </w:tc>
        <w:tc>
          <w:tcPr>
            <w:tcW w:w="1309" w:type="dxa"/>
            <w:tcBorders>
              <w:top w:val="single" w:sz="4" w:space="0" w:color="auto"/>
              <w:bottom w:val="single" w:sz="4" w:space="0" w:color="auto"/>
            </w:tcBorders>
            <w:vAlign w:val="center"/>
          </w:tcPr>
          <w:p w14:paraId="49F9BF3A" w14:textId="09FB0299" w:rsidR="00C761DE" w:rsidRPr="00A7414A" w:rsidRDefault="00C761DE" w:rsidP="00C761DE">
            <w:pPr>
              <w:pStyle w:val="Tabletext"/>
              <w:keepNext/>
              <w:keepLines/>
              <w:jc w:val="center"/>
            </w:pPr>
            <w:r w:rsidRPr="00A7414A">
              <w:t>0</w:t>
            </w:r>
          </w:p>
        </w:tc>
        <w:tc>
          <w:tcPr>
            <w:tcW w:w="1309" w:type="dxa"/>
            <w:tcBorders>
              <w:top w:val="single" w:sz="4" w:space="0" w:color="auto"/>
              <w:bottom w:val="single" w:sz="4" w:space="0" w:color="auto"/>
            </w:tcBorders>
            <w:vAlign w:val="center"/>
          </w:tcPr>
          <w:p w14:paraId="0D29FD6C" w14:textId="4776ED0A" w:rsidR="00C761DE" w:rsidRPr="00A7414A" w:rsidRDefault="00BF062D" w:rsidP="00C761DE">
            <w:pPr>
              <w:pStyle w:val="Tabletext"/>
              <w:keepNext/>
              <w:keepLines/>
              <w:jc w:val="center"/>
            </w:pPr>
            <w:r>
              <w:t>-</w:t>
            </w:r>
          </w:p>
        </w:tc>
        <w:tc>
          <w:tcPr>
            <w:tcW w:w="1309" w:type="dxa"/>
            <w:tcBorders>
              <w:top w:val="single" w:sz="4" w:space="0" w:color="auto"/>
              <w:bottom w:val="single" w:sz="4" w:space="0" w:color="auto"/>
            </w:tcBorders>
            <w:vAlign w:val="center"/>
          </w:tcPr>
          <w:p w14:paraId="1EEBDA8C" w14:textId="12383C57" w:rsidR="00C761DE" w:rsidRPr="003C6F59" w:rsidRDefault="00BF062D" w:rsidP="00C761DE">
            <w:pPr>
              <w:pStyle w:val="Tabletext"/>
              <w:keepNext/>
              <w:keepLines/>
              <w:jc w:val="center"/>
            </w:pPr>
            <w:r>
              <w:t>-</w:t>
            </w:r>
          </w:p>
        </w:tc>
        <w:tc>
          <w:tcPr>
            <w:tcW w:w="1309" w:type="dxa"/>
            <w:tcBorders>
              <w:top w:val="single" w:sz="4" w:space="0" w:color="auto"/>
              <w:bottom w:val="single" w:sz="4" w:space="0" w:color="auto"/>
            </w:tcBorders>
            <w:vAlign w:val="center"/>
          </w:tcPr>
          <w:p w14:paraId="592BFD2E" w14:textId="23F32230" w:rsidR="00C761DE" w:rsidRPr="00492A2C" w:rsidRDefault="00C761DE" w:rsidP="00C761DE">
            <w:pPr>
              <w:pStyle w:val="Tabletext"/>
              <w:keepNext/>
              <w:keepLines/>
              <w:jc w:val="center"/>
            </w:pPr>
            <w:r w:rsidRPr="00492A2C">
              <w:t>0</w:t>
            </w:r>
          </w:p>
        </w:tc>
        <w:tc>
          <w:tcPr>
            <w:tcW w:w="1309" w:type="dxa"/>
            <w:tcBorders>
              <w:top w:val="single" w:sz="4" w:space="0" w:color="auto"/>
              <w:bottom w:val="single" w:sz="4" w:space="0" w:color="auto"/>
            </w:tcBorders>
          </w:tcPr>
          <w:p w14:paraId="079CC321" w14:textId="0711593A" w:rsidR="00C761DE" w:rsidRPr="00492A2C" w:rsidRDefault="00BF062D" w:rsidP="00C761DE">
            <w:pPr>
              <w:pStyle w:val="Tabletext"/>
              <w:keepNext/>
              <w:keepLines/>
              <w:jc w:val="center"/>
            </w:pPr>
            <w:r>
              <w:t>-</w:t>
            </w:r>
          </w:p>
        </w:tc>
        <w:tc>
          <w:tcPr>
            <w:tcW w:w="1309" w:type="dxa"/>
            <w:tcBorders>
              <w:top w:val="single" w:sz="4" w:space="0" w:color="auto"/>
              <w:bottom w:val="single" w:sz="4" w:space="0" w:color="auto"/>
            </w:tcBorders>
          </w:tcPr>
          <w:p w14:paraId="23F66E4E" w14:textId="34DE2CD2" w:rsidR="00C761DE" w:rsidRPr="00492A2C" w:rsidRDefault="00BF062D" w:rsidP="00C761DE">
            <w:pPr>
              <w:pStyle w:val="Tabletext"/>
              <w:keepNext/>
              <w:keepLines/>
              <w:jc w:val="center"/>
            </w:pPr>
            <w:r>
              <w:t>-</w:t>
            </w:r>
          </w:p>
        </w:tc>
      </w:tr>
      <w:tr w:rsidR="00FF7243" w:rsidRPr="00CE4840" w14:paraId="249B6E1C" w14:textId="77777777" w:rsidTr="00C62971">
        <w:trPr>
          <w:trHeight w:val="245"/>
        </w:trPr>
        <w:tc>
          <w:tcPr>
            <w:tcW w:w="9358" w:type="dxa"/>
            <w:gridSpan w:val="7"/>
            <w:tcBorders>
              <w:top w:val="single" w:sz="4" w:space="0" w:color="auto"/>
              <w:bottom w:val="single" w:sz="4" w:space="0" w:color="auto"/>
            </w:tcBorders>
          </w:tcPr>
          <w:p w14:paraId="6E71F39B" w14:textId="716618BB" w:rsidR="00FF7243" w:rsidRPr="00492A2C" w:rsidRDefault="00FF7243" w:rsidP="00F31E65">
            <w:pPr>
              <w:pStyle w:val="Tabletext"/>
              <w:keepNext/>
              <w:keepLines/>
              <w:jc w:val="center"/>
            </w:pPr>
            <w:r>
              <w:rPr>
                <w:b/>
                <w:bCs/>
              </w:rPr>
              <w:t>Operation</w:t>
            </w:r>
          </w:p>
        </w:tc>
      </w:tr>
      <w:tr w:rsidR="00FF7243" w:rsidRPr="00CE4840" w14:paraId="528EABC4" w14:textId="77777777" w:rsidTr="00F31E65">
        <w:trPr>
          <w:trHeight w:val="245"/>
        </w:trPr>
        <w:tc>
          <w:tcPr>
            <w:tcW w:w="1504" w:type="dxa"/>
            <w:tcBorders>
              <w:top w:val="single" w:sz="4" w:space="0" w:color="auto"/>
              <w:bottom w:val="single" w:sz="4" w:space="0" w:color="auto"/>
            </w:tcBorders>
          </w:tcPr>
          <w:p w14:paraId="1114A0E8" w14:textId="240DB350" w:rsidR="00FF7243" w:rsidRDefault="00FF7243" w:rsidP="00FF7243">
            <w:pPr>
              <w:pStyle w:val="Tabletext"/>
              <w:keepNext/>
              <w:jc w:val="left"/>
              <w:rPr>
                <w:b/>
                <w:bCs/>
              </w:rPr>
            </w:pPr>
            <w:r w:rsidRPr="00A7414A">
              <w:rPr>
                <w:b/>
                <w:bCs/>
              </w:rPr>
              <w:t>Low</w:t>
            </w:r>
          </w:p>
        </w:tc>
        <w:tc>
          <w:tcPr>
            <w:tcW w:w="1309" w:type="dxa"/>
            <w:tcBorders>
              <w:top w:val="single" w:sz="4" w:space="0" w:color="auto"/>
              <w:bottom w:val="single" w:sz="4" w:space="0" w:color="auto"/>
            </w:tcBorders>
            <w:vAlign w:val="center"/>
          </w:tcPr>
          <w:p w14:paraId="5F6DAFBC" w14:textId="0BAD1786" w:rsidR="00FF7243" w:rsidRPr="00A7414A" w:rsidRDefault="005849F1" w:rsidP="00FF7243">
            <w:pPr>
              <w:pStyle w:val="Tabletext"/>
              <w:keepNext/>
              <w:keepLines/>
              <w:jc w:val="center"/>
            </w:pPr>
            <w:r>
              <w:t>4</w:t>
            </w:r>
          </w:p>
        </w:tc>
        <w:tc>
          <w:tcPr>
            <w:tcW w:w="1309" w:type="dxa"/>
            <w:tcBorders>
              <w:top w:val="single" w:sz="4" w:space="0" w:color="auto"/>
              <w:bottom w:val="single" w:sz="4" w:space="0" w:color="auto"/>
            </w:tcBorders>
            <w:vAlign w:val="center"/>
          </w:tcPr>
          <w:p w14:paraId="0DFB95C4" w14:textId="16D1E452" w:rsidR="00FF7243" w:rsidRPr="00A7414A" w:rsidRDefault="00993886" w:rsidP="00FF7243">
            <w:pPr>
              <w:pStyle w:val="Tabletext"/>
              <w:keepNext/>
              <w:keepLines/>
              <w:jc w:val="center"/>
            </w:pPr>
            <w:r>
              <w:t>3</w:t>
            </w:r>
          </w:p>
        </w:tc>
        <w:tc>
          <w:tcPr>
            <w:tcW w:w="1309" w:type="dxa"/>
            <w:tcBorders>
              <w:top w:val="single" w:sz="4" w:space="0" w:color="auto"/>
              <w:bottom w:val="single" w:sz="4" w:space="0" w:color="auto"/>
            </w:tcBorders>
            <w:vAlign w:val="center"/>
          </w:tcPr>
          <w:p w14:paraId="07AD4B36" w14:textId="7ED35036" w:rsidR="00FF7243" w:rsidRPr="003C6F59" w:rsidRDefault="00993886" w:rsidP="00FF7243">
            <w:pPr>
              <w:pStyle w:val="Tabletext"/>
              <w:keepNext/>
              <w:keepLines/>
              <w:jc w:val="center"/>
            </w:pPr>
            <w:r>
              <w:t>3</w:t>
            </w:r>
          </w:p>
        </w:tc>
        <w:tc>
          <w:tcPr>
            <w:tcW w:w="1309" w:type="dxa"/>
            <w:tcBorders>
              <w:top w:val="single" w:sz="4" w:space="0" w:color="auto"/>
              <w:bottom w:val="single" w:sz="4" w:space="0" w:color="auto"/>
            </w:tcBorders>
            <w:vAlign w:val="center"/>
          </w:tcPr>
          <w:p w14:paraId="1E2B0347" w14:textId="49037872" w:rsidR="00FF7243" w:rsidRPr="00492A2C" w:rsidRDefault="00993886" w:rsidP="00FF7243">
            <w:pPr>
              <w:pStyle w:val="Tabletext"/>
              <w:keepNext/>
              <w:keepLines/>
              <w:jc w:val="center"/>
            </w:pPr>
            <w:r>
              <w:t>3</w:t>
            </w:r>
          </w:p>
        </w:tc>
        <w:tc>
          <w:tcPr>
            <w:tcW w:w="1309" w:type="dxa"/>
            <w:tcBorders>
              <w:top w:val="single" w:sz="4" w:space="0" w:color="auto"/>
              <w:bottom w:val="single" w:sz="4" w:space="0" w:color="auto"/>
            </w:tcBorders>
          </w:tcPr>
          <w:p w14:paraId="73297828" w14:textId="7AF604CB" w:rsidR="00FF7243" w:rsidRPr="00492A2C" w:rsidRDefault="00993886" w:rsidP="00FF7243">
            <w:pPr>
              <w:pStyle w:val="Tabletext"/>
              <w:keepNext/>
              <w:keepLines/>
              <w:jc w:val="center"/>
            </w:pPr>
            <w:r>
              <w:t>3</w:t>
            </w:r>
          </w:p>
        </w:tc>
        <w:tc>
          <w:tcPr>
            <w:tcW w:w="1309" w:type="dxa"/>
            <w:tcBorders>
              <w:top w:val="single" w:sz="4" w:space="0" w:color="auto"/>
              <w:bottom w:val="single" w:sz="4" w:space="0" w:color="auto"/>
            </w:tcBorders>
          </w:tcPr>
          <w:p w14:paraId="18F38DAC" w14:textId="24B67EE8" w:rsidR="00FF7243" w:rsidRPr="00492A2C" w:rsidRDefault="00993886" w:rsidP="00FF7243">
            <w:pPr>
              <w:pStyle w:val="Tabletext"/>
              <w:keepNext/>
              <w:keepLines/>
              <w:jc w:val="center"/>
            </w:pPr>
            <w:r>
              <w:t>1</w:t>
            </w:r>
          </w:p>
        </w:tc>
      </w:tr>
      <w:tr w:rsidR="00FF7243" w:rsidRPr="00CE4840" w14:paraId="1EBB668E" w14:textId="77777777" w:rsidTr="00F31E65">
        <w:trPr>
          <w:trHeight w:val="245"/>
        </w:trPr>
        <w:tc>
          <w:tcPr>
            <w:tcW w:w="1504" w:type="dxa"/>
            <w:tcBorders>
              <w:top w:val="single" w:sz="4" w:space="0" w:color="auto"/>
              <w:bottom w:val="single" w:sz="4" w:space="0" w:color="auto"/>
            </w:tcBorders>
          </w:tcPr>
          <w:p w14:paraId="605F7F03" w14:textId="3CA4C5B3" w:rsidR="00FF7243" w:rsidRDefault="00FF7243" w:rsidP="00FF7243">
            <w:pPr>
              <w:pStyle w:val="Tabletext"/>
              <w:keepNext/>
              <w:jc w:val="left"/>
              <w:rPr>
                <w:b/>
                <w:bCs/>
              </w:rPr>
            </w:pPr>
            <w:r w:rsidRPr="00A7414A">
              <w:rPr>
                <w:b/>
                <w:bCs/>
              </w:rPr>
              <w:t>Medium</w:t>
            </w:r>
          </w:p>
        </w:tc>
        <w:tc>
          <w:tcPr>
            <w:tcW w:w="1309" w:type="dxa"/>
            <w:tcBorders>
              <w:top w:val="single" w:sz="4" w:space="0" w:color="auto"/>
              <w:bottom w:val="single" w:sz="4" w:space="0" w:color="auto"/>
            </w:tcBorders>
            <w:vAlign w:val="center"/>
          </w:tcPr>
          <w:p w14:paraId="4A9877B9" w14:textId="772CCC1F" w:rsidR="00FF7243" w:rsidRPr="00A7414A" w:rsidRDefault="005849F1" w:rsidP="00FF7243">
            <w:pPr>
              <w:pStyle w:val="Tabletext"/>
              <w:keepNext/>
              <w:keepLines/>
              <w:jc w:val="center"/>
            </w:pPr>
            <w:r>
              <w:t>5</w:t>
            </w:r>
          </w:p>
        </w:tc>
        <w:tc>
          <w:tcPr>
            <w:tcW w:w="1309" w:type="dxa"/>
            <w:tcBorders>
              <w:top w:val="single" w:sz="4" w:space="0" w:color="auto"/>
              <w:bottom w:val="single" w:sz="4" w:space="0" w:color="auto"/>
            </w:tcBorders>
            <w:vAlign w:val="center"/>
          </w:tcPr>
          <w:p w14:paraId="5635C1AF" w14:textId="165525A1" w:rsidR="00FF7243" w:rsidRPr="00A7414A" w:rsidRDefault="00993886" w:rsidP="00FF7243">
            <w:pPr>
              <w:pStyle w:val="Tabletext"/>
              <w:keepNext/>
              <w:keepLines/>
              <w:jc w:val="center"/>
            </w:pPr>
            <w:r>
              <w:t>6</w:t>
            </w:r>
          </w:p>
        </w:tc>
        <w:tc>
          <w:tcPr>
            <w:tcW w:w="1309" w:type="dxa"/>
            <w:tcBorders>
              <w:top w:val="single" w:sz="4" w:space="0" w:color="auto"/>
              <w:bottom w:val="single" w:sz="4" w:space="0" w:color="auto"/>
            </w:tcBorders>
            <w:vAlign w:val="center"/>
          </w:tcPr>
          <w:p w14:paraId="6754295E" w14:textId="64EF34C5" w:rsidR="00FF7243" w:rsidRPr="003C6F59" w:rsidRDefault="00993886" w:rsidP="00FF7243">
            <w:pPr>
              <w:pStyle w:val="Tabletext"/>
              <w:keepNext/>
              <w:keepLines/>
              <w:jc w:val="center"/>
            </w:pPr>
            <w:r>
              <w:t>6</w:t>
            </w:r>
          </w:p>
        </w:tc>
        <w:tc>
          <w:tcPr>
            <w:tcW w:w="1309" w:type="dxa"/>
            <w:tcBorders>
              <w:top w:val="single" w:sz="4" w:space="0" w:color="auto"/>
              <w:bottom w:val="single" w:sz="4" w:space="0" w:color="auto"/>
            </w:tcBorders>
            <w:vAlign w:val="center"/>
          </w:tcPr>
          <w:p w14:paraId="22C3F057" w14:textId="6BB7D8ED" w:rsidR="00FF7243" w:rsidRPr="00492A2C" w:rsidRDefault="00993886" w:rsidP="00FF7243">
            <w:pPr>
              <w:pStyle w:val="Tabletext"/>
              <w:keepNext/>
              <w:keepLines/>
              <w:jc w:val="center"/>
            </w:pPr>
            <w:r>
              <w:t>6</w:t>
            </w:r>
          </w:p>
        </w:tc>
        <w:tc>
          <w:tcPr>
            <w:tcW w:w="1309" w:type="dxa"/>
            <w:tcBorders>
              <w:top w:val="single" w:sz="4" w:space="0" w:color="auto"/>
              <w:bottom w:val="single" w:sz="4" w:space="0" w:color="auto"/>
            </w:tcBorders>
          </w:tcPr>
          <w:p w14:paraId="51E7F061" w14:textId="20ED8E0E" w:rsidR="00FF7243" w:rsidRPr="00492A2C" w:rsidRDefault="00993886" w:rsidP="00FF7243">
            <w:pPr>
              <w:pStyle w:val="Tabletext"/>
              <w:keepNext/>
              <w:keepLines/>
              <w:jc w:val="center"/>
            </w:pPr>
            <w:r>
              <w:t>6</w:t>
            </w:r>
          </w:p>
        </w:tc>
        <w:tc>
          <w:tcPr>
            <w:tcW w:w="1309" w:type="dxa"/>
            <w:tcBorders>
              <w:top w:val="single" w:sz="4" w:space="0" w:color="auto"/>
              <w:bottom w:val="single" w:sz="4" w:space="0" w:color="auto"/>
            </w:tcBorders>
          </w:tcPr>
          <w:p w14:paraId="49FD8A9C" w14:textId="53E7E380" w:rsidR="00FF7243" w:rsidRPr="00492A2C" w:rsidRDefault="00993886" w:rsidP="00FF7243">
            <w:pPr>
              <w:pStyle w:val="Tabletext"/>
              <w:keepNext/>
              <w:keepLines/>
              <w:jc w:val="center"/>
            </w:pPr>
            <w:r>
              <w:t>7</w:t>
            </w:r>
          </w:p>
        </w:tc>
      </w:tr>
      <w:tr w:rsidR="00FF7243" w:rsidRPr="00CE4840" w14:paraId="01FF1189" w14:textId="77777777" w:rsidTr="00F31E65">
        <w:trPr>
          <w:trHeight w:val="245"/>
        </w:trPr>
        <w:tc>
          <w:tcPr>
            <w:tcW w:w="1504" w:type="dxa"/>
            <w:tcBorders>
              <w:top w:val="single" w:sz="4" w:space="0" w:color="auto"/>
              <w:bottom w:val="single" w:sz="4" w:space="0" w:color="auto"/>
            </w:tcBorders>
          </w:tcPr>
          <w:p w14:paraId="5C4C59C7" w14:textId="1841425D" w:rsidR="00FF7243" w:rsidRDefault="00FF7243" w:rsidP="00FF7243">
            <w:pPr>
              <w:pStyle w:val="Tabletext"/>
              <w:keepNext/>
              <w:jc w:val="left"/>
              <w:rPr>
                <w:b/>
                <w:bCs/>
              </w:rPr>
            </w:pPr>
            <w:r w:rsidRPr="00A7414A">
              <w:rPr>
                <w:b/>
                <w:bCs/>
              </w:rPr>
              <w:t>High</w:t>
            </w:r>
          </w:p>
        </w:tc>
        <w:tc>
          <w:tcPr>
            <w:tcW w:w="1309" w:type="dxa"/>
            <w:tcBorders>
              <w:top w:val="single" w:sz="4" w:space="0" w:color="auto"/>
              <w:bottom w:val="single" w:sz="4" w:space="0" w:color="auto"/>
            </w:tcBorders>
            <w:vAlign w:val="center"/>
          </w:tcPr>
          <w:p w14:paraId="781D1B21" w14:textId="39146BCB" w:rsidR="00FF7243" w:rsidRPr="00A7414A" w:rsidRDefault="005849F1" w:rsidP="00FF7243">
            <w:pPr>
              <w:pStyle w:val="Tabletext"/>
              <w:keepNext/>
              <w:keepLines/>
              <w:jc w:val="center"/>
            </w:pPr>
            <w:r>
              <w:t>0</w:t>
            </w:r>
          </w:p>
        </w:tc>
        <w:tc>
          <w:tcPr>
            <w:tcW w:w="1309" w:type="dxa"/>
            <w:tcBorders>
              <w:top w:val="single" w:sz="4" w:space="0" w:color="auto"/>
              <w:bottom w:val="single" w:sz="4" w:space="0" w:color="auto"/>
            </w:tcBorders>
            <w:vAlign w:val="center"/>
          </w:tcPr>
          <w:p w14:paraId="0FA6BA27" w14:textId="76567E32" w:rsidR="00FF7243" w:rsidRPr="00A7414A" w:rsidRDefault="00993886" w:rsidP="00FF7243">
            <w:pPr>
              <w:pStyle w:val="Tabletext"/>
              <w:keepNext/>
              <w:keepLines/>
              <w:jc w:val="center"/>
            </w:pPr>
            <w:r>
              <w:t>0</w:t>
            </w:r>
          </w:p>
        </w:tc>
        <w:tc>
          <w:tcPr>
            <w:tcW w:w="1309" w:type="dxa"/>
            <w:tcBorders>
              <w:top w:val="single" w:sz="4" w:space="0" w:color="auto"/>
              <w:bottom w:val="single" w:sz="4" w:space="0" w:color="auto"/>
            </w:tcBorders>
            <w:vAlign w:val="center"/>
          </w:tcPr>
          <w:p w14:paraId="0A4012B5" w14:textId="0888890A" w:rsidR="00FF7243" w:rsidRPr="003C6F59" w:rsidRDefault="00993886" w:rsidP="00FF7243">
            <w:pPr>
              <w:pStyle w:val="Tabletext"/>
              <w:keepNext/>
              <w:keepLines/>
              <w:jc w:val="center"/>
            </w:pPr>
            <w:r>
              <w:t>0</w:t>
            </w:r>
          </w:p>
        </w:tc>
        <w:tc>
          <w:tcPr>
            <w:tcW w:w="1309" w:type="dxa"/>
            <w:tcBorders>
              <w:top w:val="single" w:sz="4" w:space="0" w:color="auto"/>
              <w:bottom w:val="single" w:sz="4" w:space="0" w:color="auto"/>
            </w:tcBorders>
            <w:vAlign w:val="center"/>
          </w:tcPr>
          <w:p w14:paraId="571A677E" w14:textId="4BE8FB89" w:rsidR="00FF7243" w:rsidRPr="00492A2C" w:rsidRDefault="00993886" w:rsidP="00FF7243">
            <w:pPr>
              <w:pStyle w:val="Tabletext"/>
              <w:keepNext/>
              <w:keepLines/>
              <w:jc w:val="center"/>
            </w:pPr>
            <w:r>
              <w:t>0</w:t>
            </w:r>
          </w:p>
        </w:tc>
        <w:tc>
          <w:tcPr>
            <w:tcW w:w="1309" w:type="dxa"/>
            <w:tcBorders>
              <w:top w:val="single" w:sz="4" w:space="0" w:color="auto"/>
              <w:bottom w:val="single" w:sz="4" w:space="0" w:color="auto"/>
            </w:tcBorders>
          </w:tcPr>
          <w:p w14:paraId="2B014064" w14:textId="7B31B8CF" w:rsidR="00FF7243" w:rsidRPr="00492A2C" w:rsidRDefault="00993886" w:rsidP="00FF7243">
            <w:pPr>
              <w:pStyle w:val="Tabletext"/>
              <w:keepNext/>
              <w:keepLines/>
              <w:jc w:val="center"/>
            </w:pPr>
            <w:r>
              <w:t>0</w:t>
            </w:r>
          </w:p>
        </w:tc>
        <w:tc>
          <w:tcPr>
            <w:tcW w:w="1309" w:type="dxa"/>
            <w:tcBorders>
              <w:top w:val="single" w:sz="4" w:space="0" w:color="auto"/>
              <w:bottom w:val="single" w:sz="4" w:space="0" w:color="auto"/>
            </w:tcBorders>
          </w:tcPr>
          <w:p w14:paraId="6A0FFA37" w14:textId="79AF7B83" w:rsidR="00FF7243" w:rsidRPr="00492A2C" w:rsidRDefault="00993886" w:rsidP="00FF7243">
            <w:pPr>
              <w:pStyle w:val="Tabletext"/>
              <w:keepNext/>
              <w:keepLines/>
              <w:jc w:val="center"/>
            </w:pPr>
            <w:r>
              <w:t>1</w:t>
            </w:r>
          </w:p>
        </w:tc>
      </w:tr>
      <w:tr w:rsidR="00FF7243" w:rsidRPr="00CE4840" w14:paraId="0F8BFBC6" w14:textId="77777777" w:rsidTr="00F31E65">
        <w:trPr>
          <w:trHeight w:val="245"/>
        </w:trPr>
        <w:tc>
          <w:tcPr>
            <w:tcW w:w="1504" w:type="dxa"/>
            <w:tcBorders>
              <w:top w:val="single" w:sz="4" w:space="0" w:color="auto"/>
              <w:bottom w:val="single" w:sz="4" w:space="0" w:color="auto"/>
            </w:tcBorders>
          </w:tcPr>
          <w:p w14:paraId="7E713B8C" w14:textId="1A9BB790" w:rsidR="00FF7243" w:rsidRDefault="00FF7243" w:rsidP="00FF7243">
            <w:pPr>
              <w:pStyle w:val="Tabletext"/>
              <w:keepNext/>
              <w:jc w:val="left"/>
              <w:rPr>
                <w:b/>
                <w:bCs/>
              </w:rPr>
            </w:pPr>
            <w:r w:rsidRPr="00A7414A">
              <w:rPr>
                <w:b/>
                <w:bCs/>
              </w:rPr>
              <w:t>Extreme</w:t>
            </w:r>
          </w:p>
        </w:tc>
        <w:tc>
          <w:tcPr>
            <w:tcW w:w="1309" w:type="dxa"/>
            <w:tcBorders>
              <w:top w:val="single" w:sz="4" w:space="0" w:color="auto"/>
              <w:bottom w:val="single" w:sz="4" w:space="0" w:color="auto"/>
            </w:tcBorders>
            <w:vAlign w:val="center"/>
          </w:tcPr>
          <w:p w14:paraId="59067467" w14:textId="2AD339BD" w:rsidR="00FF7243" w:rsidRPr="00A7414A" w:rsidRDefault="005849F1" w:rsidP="00FF7243">
            <w:pPr>
              <w:pStyle w:val="Tabletext"/>
              <w:keepNext/>
              <w:keepLines/>
              <w:jc w:val="center"/>
            </w:pPr>
            <w:r>
              <w:t>0</w:t>
            </w:r>
          </w:p>
        </w:tc>
        <w:tc>
          <w:tcPr>
            <w:tcW w:w="1309" w:type="dxa"/>
            <w:tcBorders>
              <w:top w:val="single" w:sz="4" w:space="0" w:color="auto"/>
              <w:bottom w:val="single" w:sz="4" w:space="0" w:color="auto"/>
            </w:tcBorders>
            <w:vAlign w:val="center"/>
          </w:tcPr>
          <w:p w14:paraId="67AC67B6" w14:textId="4518456A" w:rsidR="00FF7243" w:rsidRPr="00A7414A" w:rsidRDefault="00993886" w:rsidP="00FF7243">
            <w:pPr>
              <w:pStyle w:val="Tabletext"/>
              <w:keepNext/>
              <w:keepLines/>
              <w:jc w:val="center"/>
            </w:pPr>
            <w:r>
              <w:t>0</w:t>
            </w:r>
          </w:p>
        </w:tc>
        <w:tc>
          <w:tcPr>
            <w:tcW w:w="1309" w:type="dxa"/>
            <w:tcBorders>
              <w:top w:val="single" w:sz="4" w:space="0" w:color="auto"/>
              <w:bottom w:val="single" w:sz="4" w:space="0" w:color="auto"/>
            </w:tcBorders>
            <w:vAlign w:val="center"/>
          </w:tcPr>
          <w:p w14:paraId="5C139838" w14:textId="506953E2" w:rsidR="00FF7243" w:rsidRPr="003C6F59" w:rsidRDefault="00993886" w:rsidP="00FF7243">
            <w:pPr>
              <w:pStyle w:val="Tabletext"/>
              <w:keepNext/>
              <w:keepLines/>
              <w:jc w:val="center"/>
            </w:pPr>
            <w:r>
              <w:t>0</w:t>
            </w:r>
          </w:p>
        </w:tc>
        <w:tc>
          <w:tcPr>
            <w:tcW w:w="1309" w:type="dxa"/>
            <w:tcBorders>
              <w:top w:val="single" w:sz="4" w:space="0" w:color="auto"/>
              <w:bottom w:val="single" w:sz="4" w:space="0" w:color="auto"/>
            </w:tcBorders>
            <w:vAlign w:val="center"/>
          </w:tcPr>
          <w:p w14:paraId="76C373C8" w14:textId="5FBDA894" w:rsidR="00FF7243" w:rsidRPr="00492A2C" w:rsidRDefault="00993886" w:rsidP="00FF7243">
            <w:pPr>
              <w:pStyle w:val="Tabletext"/>
              <w:keepNext/>
              <w:keepLines/>
              <w:jc w:val="center"/>
            </w:pPr>
            <w:r>
              <w:t>0</w:t>
            </w:r>
          </w:p>
        </w:tc>
        <w:tc>
          <w:tcPr>
            <w:tcW w:w="1309" w:type="dxa"/>
            <w:tcBorders>
              <w:top w:val="single" w:sz="4" w:space="0" w:color="auto"/>
              <w:bottom w:val="single" w:sz="4" w:space="0" w:color="auto"/>
            </w:tcBorders>
          </w:tcPr>
          <w:p w14:paraId="433DBEE2" w14:textId="5202204A" w:rsidR="00FF7243" w:rsidRPr="00492A2C" w:rsidRDefault="00993886" w:rsidP="00FF7243">
            <w:pPr>
              <w:pStyle w:val="Tabletext"/>
              <w:keepNext/>
              <w:keepLines/>
              <w:jc w:val="center"/>
            </w:pPr>
            <w:r>
              <w:t>0</w:t>
            </w:r>
          </w:p>
        </w:tc>
        <w:tc>
          <w:tcPr>
            <w:tcW w:w="1309" w:type="dxa"/>
            <w:tcBorders>
              <w:top w:val="single" w:sz="4" w:space="0" w:color="auto"/>
              <w:bottom w:val="single" w:sz="4" w:space="0" w:color="auto"/>
            </w:tcBorders>
          </w:tcPr>
          <w:p w14:paraId="32D0CE6D" w14:textId="4214ED7F" w:rsidR="00FF7243" w:rsidRPr="00492A2C" w:rsidRDefault="00993886" w:rsidP="00FF7243">
            <w:pPr>
              <w:pStyle w:val="Tabletext"/>
              <w:keepNext/>
              <w:keepLines/>
              <w:jc w:val="center"/>
            </w:pPr>
            <w:r>
              <w:t>0</w:t>
            </w:r>
          </w:p>
        </w:tc>
      </w:tr>
    </w:tbl>
    <w:p w14:paraId="68E145E6" w14:textId="77777777" w:rsidR="00CA18C8" w:rsidRPr="00CA18C8" w:rsidRDefault="00CA18C8" w:rsidP="00CA18C8">
      <w:pPr>
        <w:pStyle w:val="BodyText"/>
      </w:pPr>
    </w:p>
    <w:p w14:paraId="69E3E532" w14:textId="096888D7" w:rsidR="0079300F" w:rsidRPr="0079300F" w:rsidRDefault="00AF497C" w:rsidP="004A5313">
      <w:pPr>
        <w:pStyle w:val="Heading3"/>
      </w:pPr>
      <w:r>
        <w:t xml:space="preserve"> </w:t>
      </w:r>
      <w:bookmarkStart w:id="150" w:name="_Toc239776200"/>
      <w:r w:rsidR="00805DB5" w:rsidRPr="00805DB5">
        <w:t>In-Combination Climate Change Impact Assessment</w:t>
      </w:r>
      <w:bookmarkEnd w:id="150"/>
    </w:p>
    <w:p w14:paraId="426DEB3D" w14:textId="6D0AD28F" w:rsidR="000E4F11" w:rsidRPr="007A2A8F" w:rsidRDefault="000E4F11" w:rsidP="000E4F11">
      <w:pPr>
        <w:pStyle w:val="BodyText"/>
      </w:pPr>
      <w:r w:rsidRPr="007A2A8F">
        <w:t>The ICCI Assessment was carried out to identify and assess the combined impact of the Proposed Development and future climate change on receptors in the surrounding environment. This ICCI Assessment</w:t>
      </w:r>
      <w:r w:rsidR="0049065B">
        <w:t xml:space="preserve"> </w:t>
      </w:r>
      <w:r w:rsidRPr="007A2A8F">
        <w:t xml:space="preserve">was undertaken to meet industry best practice standards established by the ISEP. </w:t>
      </w:r>
    </w:p>
    <w:p w14:paraId="4DC419FD" w14:textId="621BE803" w:rsidR="00984BDC" w:rsidRDefault="003934FE" w:rsidP="000E4F11">
      <w:pPr>
        <w:pStyle w:val="BodyText"/>
      </w:pPr>
      <w:r>
        <w:t>Appendix 10-2</w:t>
      </w:r>
      <w:r w:rsidR="00182521" w:rsidRPr="00A7414A">
        <w:t xml:space="preserve"> </w:t>
      </w:r>
      <w:r w:rsidR="000E4F11" w:rsidRPr="00A7414A">
        <w:t xml:space="preserve">presents the findings of the ICCI </w:t>
      </w:r>
      <w:r w:rsidR="0049065B">
        <w:t>A</w:t>
      </w:r>
      <w:r w:rsidR="000E4F11" w:rsidRPr="00A7414A">
        <w:t xml:space="preserve">ssessment, which has taken into account </w:t>
      </w:r>
      <w:r w:rsidR="000E4F11" w:rsidRPr="00EA3449">
        <w:t xml:space="preserve">cultural heritage, </w:t>
      </w:r>
      <w:r w:rsidR="00984BDC" w:rsidRPr="00EA3449">
        <w:t xml:space="preserve">land, soils and geology, noise and vibration, water and hydrology, </w:t>
      </w:r>
      <w:r w:rsidR="00FE659C" w:rsidRPr="00FE659C">
        <w:t>material assets (utilities)/water infrastructure, material assets (utilities) /electricity infrastructure) and air quality as receptors.</w:t>
      </w:r>
    </w:p>
    <w:p w14:paraId="2CF51577" w14:textId="01421865" w:rsidR="00D64F24" w:rsidRDefault="00D64F24" w:rsidP="000E4F11">
      <w:pPr>
        <w:pStyle w:val="BodyText"/>
        <w:rPr>
          <w:highlight w:val="cyan"/>
        </w:rPr>
      </w:pPr>
      <w:r>
        <w:t>The assessment identified 16 total potential ICCI</w:t>
      </w:r>
      <w:r w:rsidR="00C61941">
        <w:t>s across Air Quality,</w:t>
      </w:r>
      <w:r w:rsidR="005A5FF6">
        <w:t xml:space="preserve"> Material Assets, Water and Hydrology, Land, Soils </w:t>
      </w:r>
      <w:r w:rsidR="003A4B3F">
        <w:t>&amp;</w:t>
      </w:r>
      <w:r w:rsidR="005A5FF6">
        <w:t xml:space="preserve"> Geology, </w:t>
      </w:r>
      <w:r w:rsidR="003A4B3F">
        <w:t>and Cultural Heritage.</w:t>
      </w:r>
      <w:r w:rsidR="00C61941">
        <w:t xml:space="preserve"> </w:t>
      </w:r>
      <w:r w:rsidR="00C2310C">
        <w:t>N</w:t>
      </w:r>
      <w:r w:rsidR="00C61941">
        <w:t>one of were considered to be significant</w:t>
      </w:r>
      <w:r w:rsidR="00C2310C">
        <w:t xml:space="preserve"> given the criteria </w:t>
      </w:r>
      <w:r w:rsidR="00F0342B">
        <w:t xml:space="preserve">presented in Section </w:t>
      </w:r>
      <w:r w:rsidR="00F0342B">
        <w:fldChar w:fldCharType="begin"/>
      </w:r>
      <w:r w:rsidR="00F0342B">
        <w:instrText xml:space="preserve"> REF _Ref239771978 \n \h </w:instrText>
      </w:r>
      <w:r w:rsidR="00F0342B">
        <w:fldChar w:fldCharType="separate"/>
      </w:r>
      <w:r w:rsidR="00F0342B">
        <w:t>10.3.3</w:t>
      </w:r>
      <w:r w:rsidR="00F0342B">
        <w:fldChar w:fldCharType="end"/>
      </w:r>
      <w:r w:rsidR="00C61941">
        <w:t>.</w:t>
      </w:r>
    </w:p>
    <w:p w14:paraId="19928A11" w14:textId="76CBB0C6" w:rsidR="004745EA" w:rsidRDefault="00805DB5" w:rsidP="00F425BB">
      <w:pPr>
        <w:pStyle w:val="Heading2"/>
      </w:pPr>
      <w:bookmarkStart w:id="151" w:name="_Ref239754727"/>
      <w:bookmarkStart w:id="152" w:name="_Toc239776201"/>
      <w:r>
        <w:t>Mitigation Measures</w:t>
      </w:r>
      <w:bookmarkEnd w:id="151"/>
      <w:bookmarkEnd w:id="152"/>
      <w:r>
        <w:t xml:space="preserve"> </w:t>
      </w:r>
    </w:p>
    <w:p w14:paraId="0229E27D" w14:textId="038AFC55" w:rsidR="009B064C" w:rsidRPr="00A7414A" w:rsidRDefault="00AF497C" w:rsidP="004745EA">
      <w:pPr>
        <w:pStyle w:val="BodyText"/>
      </w:pPr>
      <w:r>
        <w:t>The following</w:t>
      </w:r>
      <w:r w:rsidR="00105554" w:rsidRPr="00BA2CB9">
        <w:t xml:space="preserve"> mitigation measures are proposed</w:t>
      </w:r>
      <w:r w:rsidR="00F348F6">
        <w:t xml:space="preserve"> </w:t>
      </w:r>
      <w:r w:rsidR="00CA680C">
        <w:t xml:space="preserve">in addition to the embedded </w:t>
      </w:r>
      <w:r w:rsidR="0055638D">
        <w:t xml:space="preserve">controls </w:t>
      </w:r>
      <w:r w:rsidR="00DF55E7">
        <w:t xml:space="preserve">as </w:t>
      </w:r>
      <w:r w:rsidR="0055638D">
        <w:t xml:space="preserve">described </w:t>
      </w:r>
      <w:r w:rsidR="0055638D" w:rsidRPr="00BA2CB9">
        <w:t xml:space="preserve">in </w:t>
      </w:r>
      <w:r w:rsidR="0055638D" w:rsidRPr="008928B6">
        <w:t xml:space="preserve">Section </w:t>
      </w:r>
      <w:r w:rsidR="0055638D" w:rsidRPr="008928B6">
        <w:fldChar w:fldCharType="begin"/>
      </w:r>
      <w:r w:rsidR="0055638D" w:rsidRPr="008928B6">
        <w:instrText xml:space="preserve"> REF _Ref231378500 \r \h  \* MERGEFORMAT </w:instrText>
      </w:r>
      <w:r w:rsidR="0055638D" w:rsidRPr="008928B6">
        <w:fldChar w:fldCharType="separate"/>
      </w:r>
      <w:r w:rsidR="00D83C6F">
        <w:t>10.5</w:t>
      </w:r>
      <w:r w:rsidR="0055638D" w:rsidRPr="008928B6">
        <w:fldChar w:fldCharType="end"/>
      </w:r>
      <w:r w:rsidR="00105554" w:rsidRPr="00BA2CB9">
        <w:t xml:space="preserve"> </w:t>
      </w:r>
      <w:r w:rsidR="009B064C" w:rsidRPr="00A7414A">
        <w:t>to reduce the</w:t>
      </w:r>
      <w:r w:rsidR="0055638D">
        <w:t xml:space="preserve"> residual</w:t>
      </w:r>
      <w:r w:rsidR="009B064C" w:rsidRPr="00A7414A">
        <w:t xml:space="preserve"> climate risk</w:t>
      </w:r>
      <w:r w:rsidR="001B68FE">
        <w:t xml:space="preserve"> </w:t>
      </w:r>
      <w:r w:rsidR="00862F7B">
        <w:t>associated with</w:t>
      </w:r>
      <w:r w:rsidR="001B68FE">
        <w:t xml:space="preserve"> </w:t>
      </w:r>
      <w:r w:rsidR="00EF5E85">
        <w:t xml:space="preserve">the </w:t>
      </w:r>
      <w:r w:rsidR="001B68FE">
        <w:t>Proposed Development.</w:t>
      </w:r>
    </w:p>
    <w:p w14:paraId="0FB04582" w14:textId="2E855176" w:rsidR="00CE759A" w:rsidRDefault="00CE759A" w:rsidP="00BA2CB9">
      <w:pPr>
        <w:pStyle w:val="Heading3"/>
      </w:pPr>
      <w:bookmarkStart w:id="153" w:name="_Toc239776202"/>
      <w:r>
        <w:t>Greenhouse Gas Assessment</w:t>
      </w:r>
      <w:bookmarkEnd w:id="153"/>
      <w:r w:rsidR="00BA2CB9">
        <w:t xml:space="preserve"> </w:t>
      </w:r>
    </w:p>
    <w:p w14:paraId="3F74877A" w14:textId="2ABCE492" w:rsidR="00E763E3" w:rsidRDefault="00FC2616" w:rsidP="00E763E3">
      <w:pPr>
        <w:pStyle w:val="BodyText"/>
      </w:pPr>
      <w:r>
        <w:t>Due to the methodology employed to estimate the GHG emissions associated with the Proposed Development</w:t>
      </w:r>
      <w:r w:rsidR="00DF55E7">
        <w:t>,</w:t>
      </w:r>
      <w:r>
        <w:t xml:space="preserve"> it is not possible to determine </w:t>
      </w:r>
      <w:r w:rsidR="003B16E4">
        <w:t xml:space="preserve">the specific materials or </w:t>
      </w:r>
      <w:r w:rsidR="00E338CB">
        <w:t>activities</w:t>
      </w:r>
      <w:r w:rsidR="009B034C">
        <w:t xml:space="preserve"> responsible for carbon hotspots within the assessment</w:t>
      </w:r>
      <w:r w:rsidR="00A3784A">
        <w:t xml:space="preserve"> or recommend additional </w:t>
      </w:r>
      <w:r w:rsidR="006937BF">
        <w:t>measures</w:t>
      </w:r>
      <w:r w:rsidR="00A3784A">
        <w:t xml:space="preserve"> </w:t>
      </w:r>
      <w:r w:rsidR="00C85753">
        <w:t>to mitigate the overall carbon impact</w:t>
      </w:r>
      <w:r w:rsidR="009B034C">
        <w:t xml:space="preserve">. </w:t>
      </w:r>
      <w:r w:rsidR="003B16E4">
        <w:t xml:space="preserve"> </w:t>
      </w:r>
    </w:p>
    <w:p w14:paraId="0E970B06" w14:textId="7AB56EBB" w:rsidR="00800E5C" w:rsidRPr="00A7414A" w:rsidRDefault="00800E5C" w:rsidP="00A7414A">
      <w:pPr>
        <w:pStyle w:val="BodyText"/>
      </w:pPr>
      <w:r>
        <w:t xml:space="preserve">It is considered that the mitigation measures and carbon reduction principles </w:t>
      </w:r>
      <w:r w:rsidR="00FE083B">
        <w:t xml:space="preserve">outlined in </w:t>
      </w:r>
      <w:r w:rsidR="00FE083B" w:rsidRPr="008928B6">
        <w:t xml:space="preserve">Section </w:t>
      </w:r>
      <w:r w:rsidR="00FE083B" w:rsidRPr="008928B6">
        <w:fldChar w:fldCharType="begin"/>
      </w:r>
      <w:r w:rsidR="00FE083B" w:rsidRPr="008928B6">
        <w:instrText xml:space="preserve"> REF _Ref232585525 \r \h </w:instrText>
      </w:r>
      <w:r w:rsidR="00410417" w:rsidRPr="008928B6">
        <w:instrText xml:space="preserve"> \* MERGEFORMAT </w:instrText>
      </w:r>
      <w:r w:rsidR="00FE083B" w:rsidRPr="008928B6">
        <w:fldChar w:fldCharType="separate"/>
      </w:r>
      <w:r w:rsidR="00D83C6F">
        <w:t>10.5.1</w:t>
      </w:r>
      <w:r w:rsidR="00FE083B" w:rsidRPr="008928B6">
        <w:fldChar w:fldCharType="end"/>
      </w:r>
      <w:r w:rsidR="00FE083B">
        <w:t xml:space="preserve"> are sufficient to </w:t>
      </w:r>
      <w:r w:rsidR="00410417">
        <w:t>align the Proposed Development with Ireland’s net-zero trajectory.</w:t>
      </w:r>
    </w:p>
    <w:p w14:paraId="08DE9A62" w14:textId="582D7CD8" w:rsidR="00777DA9" w:rsidRDefault="00CE759A" w:rsidP="00BA2CB9">
      <w:pPr>
        <w:pStyle w:val="Heading3"/>
      </w:pPr>
      <w:bookmarkStart w:id="154" w:name="_Toc239776203"/>
      <w:r>
        <w:t>Climate Change Risk Assessment</w:t>
      </w:r>
      <w:bookmarkEnd w:id="154"/>
    </w:p>
    <w:p w14:paraId="10F82E0C" w14:textId="1EBB0C96" w:rsidR="009B064C" w:rsidRDefault="00BA2CB9" w:rsidP="00A7414A">
      <w:pPr>
        <w:pStyle w:val="Heading4"/>
      </w:pPr>
      <w:r>
        <w:t>Constr</w:t>
      </w:r>
      <w:r w:rsidR="007D489D">
        <w:t>u</w:t>
      </w:r>
      <w:r>
        <w:t>ction P</w:t>
      </w:r>
      <w:r w:rsidR="007D489D">
        <w:t>h</w:t>
      </w:r>
      <w:r>
        <w:t>ase</w:t>
      </w:r>
    </w:p>
    <w:p w14:paraId="5848E081" w14:textId="78FD5860" w:rsidR="004F20DC" w:rsidRDefault="004F20DC" w:rsidP="004F20DC">
      <w:pPr>
        <w:pStyle w:val="BodyText"/>
      </w:pPr>
      <w:r>
        <w:t xml:space="preserve">A number of further mitigation measures </w:t>
      </w:r>
      <w:r w:rsidR="00B82BBF">
        <w:t xml:space="preserve">during </w:t>
      </w:r>
      <w:r>
        <w:t xml:space="preserve">the </w:t>
      </w:r>
      <w:r w:rsidR="00B82BBF">
        <w:t xml:space="preserve">Proposed Development </w:t>
      </w:r>
      <w:r>
        <w:t xml:space="preserve">construction phase </w:t>
      </w:r>
      <w:r w:rsidR="00B82BBF">
        <w:t xml:space="preserve">have been </w:t>
      </w:r>
      <w:r>
        <w:t>identified when undertaking th</w:t>
      </w:r>
      <w:r w:rsidR="000940E7">
        <w:t>e</w:t>
      </w:r>
      <w:r>
        <w:t xml:space="preserve"> CCRA</w:t>
      </w:r>
      <w:r w:rsidR="00B82BBF">
        <w:t xml:space="preserve">, </w:t>
      </w:r>
      <w:r>
        <w:t>includ</w:t>
      </w:r>
      <w:r w:rsidR="00B82BBF">
        <w:t>ing</w:t>
      </w:r>
      <w:r w:rsidR="00B82BBF" w:rsidRPr="00B82BBF">
        <w:t xml:space="preserve"> </w:t>
      </w:r>
      <w:r w:rsidR="00B82BBF">
        <w:t>the following</w:t>
      </w:r>
      <w:r>
        <w:t>:</w:t>
      </w:r>
    </w:p>
    <w:p w14:paraId="4CD707D3" w14:textId="34606DFB" w:rsidR="007A0DAD" w:rsidRDefault="00C77DC7" w:rsidP="009A1A6D">
      <w:pPr>
        <w:pStyle w:val="BodyText"/>
        <w:numPr>
          <w:ilvl w:val="0"/>
          <w:numId w:val="32"/>
        </w:numPr>
      </w:pPr>
      <w:r>
        <w:lastRenderedPageBreak/>
        <w:t>A</w:t>
      </w:r>
      <w:r w:rsidR="007A0DAD">
        <w:t xml:space="preserve"> water pump for the areas with critical infrastructure and a key part of construction operations</w:t>
      </w:r>
      <w:r>
        <w:t xml:space="preserve"> should be installed</w:t>
      </w:r>
      <w:r w:rsidR="007A0DAD">
        <w:t>.</w:t>
      </w:r>
      <w:r w:rsidR="000940E7">
        <w:t xml:space="preserve"> </w:t>
      </w:r>
      <w:r w:rsidR="007A0DAD">
        <w:t>This will help increase the sites surface drainage capacity</w:t>
      </w:r>
      <w:r w:rsidR="000D3B7E">
        <w:t xml:space="preserve"> and reduce the risk associated with fluvial and pluvial flooding</w:t>
      </w:r>
      <w:r w:rsidR="00DA0BE1">
        <w:t>;</w:t>
      </w:r>
    </w:p>
    <w:p w14:paraId="6061DE1A" w14:textId="72680741" w:rsidR="007A0DAD" w:rsidRDefault="007A0DAD" w:rsidP="009A1A6D">
      <w:pPr>
        <w:pStyle w:val="BodyText"/>
        <w:numPr>
          <w:ilvl w:val="0"/>
          <w:numId w:val="32"/>
        </w:numPr>
      </w:pPr>
      <w:r>
        <w:t>Raise critical infrastructure to be above PMF (</w:t>
      </w:r>
      <w:r w:rsidR="00B82BBF">
        <w:t>p</w:t>
      </w:r>
      <w:r>
        <w:t>robable maximum flood)</w:t>
      </w:r>
      <w:r w:rsidR="000D3B7E">
        <w:t xml:space="preserve"> to reduce the </w:t>
      </w:r>
      <w:r w:rsidR="00A7233C">
        <w:t>consequence</w:t>
      </w:r>
      <w:r w:rsidR="000D3B7E">
        <w:t xml:space="preserve"> of impact </w:t>
      </w:r>
      <w:r w:rsidR="00411DD1">
        <w:t>for potential flood events</w:t>
      </w:r>
      <w:r w:rsidR="00DA0BE1">
        <w:t>;</w:t>
      </w:r>
    </w:p>
    <w:p w14:paraId="30B6DB3E" w14:textId="59CE73DD" w:rsidR="009A1A6D" w:rsidRDefault="00C77DC7" w:rsidP="009A1A6D">
      <w:pPr>
        <w:pStyle w:val="BodyText"/>
        <w:numPr>
          <w:ilvl w:val="0"/>
          <w:numId w:val="32"/>
        </w:numPr>
      </w:pPr>
      <w:r>
        <w:t>U</w:t>
      </w:r>
      <w:r w:rsidR="009A1A6D" w:rsidRPr="009A1A6D">
        <w:t>ndertake regular monitoring of trees and vegetation in the area, pruning as necessary to avoid damage to the construction site or blocking access roads, in the event of a storm with high wind speed</w:t>
      </w:r>
      <w:r w:rsidR="00DA0BE1">
        <w:t>;</w:t>
      </w:r>
    </w:p>
    <w:p w14:paraId="31B90F3D" w14:textId="603FC950" w:rsidR="007D489D" w:rsidRDefault="00C77DC7" w:rsidP="007A0DAD">
      <w:pPr>
        <w:pStyle w:val="BodyText"/>
        <w:numPr>
          <w:ilvl w:val="0"/>
          <w:numId w:val="32"/>
        </w:numPr>
      </w:pPr>
      <w:r>
        <w:t>I</w:t>
      </w:r>
      <w:r w:rsidR="007A0DAD">
        <w:t>nstalling additional attenuation storage tanks at key locations or identified flood risk areas, to increase the proposed developments drainage capacity</w:t>
      </w:r>
      <w:r w:rsidR="00DA0BE1">
        <w:t>;</w:t>
      </w:r>
    </w:p>
    <w:p w14:paraId="2D7D8190" w14:textId="4CA792CD" w:rsidR="00DA0BE1" w:rsidRDefault="00DA0BE1" w:rsidP="00DA0BE1">
      <w:pPr>
        <w:pStyle w:val="BodyText"/>
        <w:numPr>
          <w:ilvl w:val="0"/>
          <w:numId w:val="32"/>
        </w:numPr>
      </w:pPr>
      <w:r>
        <w:t>Construction materials and equipment with superior properties that offer increased tolerance to fluctuating temperatures, heavy precipitation and other extreme weather events such as storms, should be used, where feasible</w:t>
      </w:r>
      <w:r w:rsidR="00B82BBF">
        <w:t>,</w:t>
      </w:r>
      <w:r>
        <w:t xml:space="preserve"> </w:t>
      </w:r>
      <w:r w:rsidR="00B82BBF">
        <w:t>e</w:t>
      </w:r>
      <w:r>
        <w:t xml:space="preserve">.g. construction equipment that can withstand conditions greater than </w:t>
      </w:r>
      <w:r w:rsidR="00C115FB">
        <w:t>4</w:t>
      </w:r>
      <w:r>
        <w:t>0°C</w:t>
      </w:r>
      <w:r w:rsidR="00BF3FDA">
        <w:t>;</w:t>
      </w:r>
    </w:p>
    <w:p w14:paraId="4A25F8FE" w14:textId="33F30EA6" w:rsidR="00BF3FDA" w:rsidRDefault="00CA152B" w:rsidP="00BF3FDA">
      <w:pPr>
        <w:pStyle w:val="BodyText"/>
        <w:numPr>
          <w:ilvl w:val="0"/>
          <w:numId w:val="32"/>
        </w:numPr>
      </w:pPr>
      <w:r>
        <w:t xml:space="preserve">Provide </w:t>
      </w:r>
      <w:r w:rsidR="00BF3FDA">
        <w:t>all outdoor construction workers access to indoor facilities, air conditioning, breaks in shaded areas and water breaks</w:t>
      </w:r>
      <w:r w:rsidR="00411DD1">
        <w:t xml:space="preserve"> to ensure suitable working conditions</w:t>
      </w:r>
      <w:r w:rsidR="00BF3FDA">
        <w:t>;</w:t>
      </w:r>
    </w:p>
    <w:p w14:paraId="510BFD09" w14:textId="54F4EDCE" w:rsidR="00BF3FDA" w:rsidRDefault="00BF3FDA" w:rsidP="00BF3FDA">
      <w:pPr>
        <w:pStyle w:val="BodyText"/>
        <w:numPr>
          <w:ilvl w:val="0"/>
          <w:numId w:val="32"/>
        </w:numPr>
      </w:pPr>
      <w:r>
        <w:t xml:space="preserve">Cease outdoor and </w:t>
      </w:r>
      <w:r w:rsidR="00864A79">
        <w:t>non-essential</w:t>
      </w:r>
      <w:r>
        <w:t xml:space="preserve"> work if working conditions are too dangerous and could result in injury to workers and damage to equipment; and</w:t>
      </w:r>
    </w:p>
    <w:p w14:paraId="3F64AA32" w14:textId="39BDED61" w:rsidR="00DA0BE1" w:rsidRPr="004F20DC" w:rsidRDefault="00411DD1" w:rsidP="00A7414A">
      <w:pPr>
        <w:pStyle w:val="BodyText"/>
        <w:numPr>
          <w:ilvl w:val="0"/>
          <w:numId w:val="32"/>
        </w:numPr>
      </w:pPr>
      <w:r>
        <w:t>Employ a</w:t>
      </w:r>
      <w:r w:rsidR="00BF3FDA">
        <w:t xml:space="preserve">dequate cooling and ventilation systems in the design of temporary office buildings and construction worker facilities, that's sufficient to deal with </w:t>
      </w:r>
      <w:r w:rsidR="00095BA4">
        <w:t xml:space="preserve">projected increases in </w:t>
      </w:r>
      <w:r w:rsidR="00BF3FDA">
        <w:t>extreme temperatures.</w:t>
      </w:r>
    </w:p>
    <w:p w14:paraId="43A18729" w14:textId="53B7A201" w:rsidR="007D489D" w:rsidRDefault="00C1331A" w:rsidP="00A7414A">
      <w:pPr>
        <w:pStyle w:val="Heading4"/>
      </w:pPr>
      <w:r>
        <w:t xml:space="preserve"> </w:t>
      </w:r>
      <w:r w:rsidR="007D489D">
        <w:t xml:space="preserve">Operational </w:t>
      </w:r>
      <w:r w:rsidR="00B82BBF">
        <w:t>P</w:t>
      </w:r>
      <w:r w:rsidR="007D489D">
        <w:t>hase</w:t>
      </w:r>
    </w:p>
    <w:p w14:paraId="231EDBBF" w14:textId="41DE4808" w:rsidR="007D489D" w:rsidRDefault="004F20DC" w:rsidP="007D489D">
      <w:pPr>
        <w:pStyle w:val="BodyText"/>
      </w:pPr>
      <w:r>
        <w:t xml:space="preserve">A number of further mitigation measures </w:t>
      </w:r>
      <w:r w:rsidR="00B82BBF">
        <w:t xml:space="preserve">during the Proposed Development </w:t>
      </w:r>
      <w:r>
        <w:t xml:space="preserve">operational phase </w:t>
      </w:r>
      <w:r w:rsidR="00B82BBF">
        <w:t xml:space="preserve">have been </w:t>
      </w:r>
      <w:r>
        <w:t>identified when undertaking th</w:t>
      </w:r>
      <w:r w:rsidR="000940E7">
        <w:t>e</w:t>
      </w:r>
      <w:r>
        <w:t xml:space="preserve"> CCRA</w:t>
      </w:r>
      <w:r w:rsidR="00B82BBF">
        <w:t xml:space="preserve">, </w:t>
      </w:r>
      <w:r>
        <w:t>includ</w:t>
      </w:r>
      <w:r w:rsidR="00B82BBF">
        <w:t>ing the following</w:t>
      </w:r>
      <w:r>
        <w:t>:</w:t>
      </w:r>
    </w:p>
    <w:p w14:paraId="548685B6" w14:textId="47C3BB1B" w:rsidR="00156F5E" w:rsidRDefault="00156F5E" w:rsidP="00156F5E">
      <w:pPr>
        <w:pStyle w:val="BodyText"/>
        <w:numPr>
          <w:ilvl w:val="0"/>
          <w:numId w:val="33"/>
        </w:numPr>
      </w:pPr>
      <w:r>
        <w:t xml:space="preserve">Consider introducing a drainage maintenance and operation plan, </w:t>
      </w:r>
      <w:r w:rsidR="006808DE">
        <w:t>for the</w:t>
      </w:r>
      <w:r>
        <w:t xml:space="preserve"> drainage system </w:t>
      </w:r>
      <w:r w:rsidR="006808DE">
        <w:t>to be</w:t>
      </w:r>
      <w:r>
        <w:t xml:space="preserve"> monitored and kept blockage free; </w:t>
      </w:r>
    </w:p>
    <w:p w14:paraId="563C9807" w14:textId="76E02AF6" w:rsidR="00156F5E" w:rsidRDefault="00156F5E" w:rsidP="00156F5E">
      <w:pPr>
        <w:pStyle w:val="BodyText"/>
        <w:numPr>
          <w:ilvl w:val="0"/>
          <w:numId w:val="33"/>
        </w:numPr>
      </w:pPr>
      <w:r>
        <w:t>Consider re-paving key areas with a permeable material to allow water to be absorbed into the ground and not gather on the surface area;</w:t>
      </w:r>
    </w:p>
    <w:p w14:paraId="1767C2C3" w14:textId="722E2FC1" w:rsidR="00064B97" w:rsidRDefault="00064B97" w:rsidP="00156F5E">
      <w:pPr>
        <w:pStyle w:val="BodyText"/>
        <w:numPr>
          <w:ilvl w:val="0"/>
          <w:numId w:val="33"/>
        </w:numPr>
      </w:pPr>
      <w:r>
        <w:t xml:space="preserve">Consider </w:t>
      </w:r>
      <w:r w:rsidR="00977485">
        <w:t>HVAC or air-conditioning systems for the substation building to prevent overheating of electrical equipment</w:t>
      </w:r>
    </w:p>
    <w:p w14:paraId="0A06E389" w14:textId="077E37AC" w:rsidR="004F20DC" w:rsidRDefault="00156F5E" w:rsidP="00156F5E">
      <w:pPr>
        <w:pStyle w:val="BodyText"/>
        <w:numPr>
          <w:ilvl w:val="0"/>
          <w:numId w:val="33"/>
        </w:numPr>
      </w:pPr>
      <w:r>
        <w:t>It is recommended that critical infrastructure is raised above PMF (</w:t>
      </w:r>
      <w:r w:rsidR="007374E5">
        <w:t>p</w:t>
      </w:r>
      <w:r>
        <w:t>robable maximum flood)</w:t>
      </w:r>
      <w:r w:rsidR="00B6445C">
        <w:t xml:space="preserve"> level</w:t>
      </w:r>
      <w:r>
        <w:t>;</w:t>
      </w:r>
    </w:p>
    <w:p w14:paraId="30D06001" w14:textId="4F378576" w:rsidR="00C3001C" w:rsidRDefault="0070498A" w:rsidP="00C3001C">
      <w:pPr>
        <w:pStyle w:val="BodyText"/>
        <w:numPr>
          <w:ilvl w:val="0"/>
          <w:numId w:val="33"/>
        </w:numPr>
      </w:pPr>
      <w:r>
        <w:t>I</w:t>
      </w:r>
      <w:r w:rsidR="00C3001C" w:rsidRPr="00C3001C">
        <w:t>f applicable undertake regular monitoring of trees and vegetation in the area, pruning as necessary to avoid damage to the</w:t>
      </w:r>
      <w:r w:rsidR="00D64A6A">
        <w:t xml:space="preserve"> Site</w:t>
      </w:r>
      <w:r w:rsidR="00C3001C" w:rsidRPr="00C3001C">
        <w:t>, in the event of a storm with high wind speed</w:t>
      </w:r>
      <w:r w:rsidR="00C3001C">
        <w:t>;</w:t>
      </w:r>
    </w:p>
    <w:p w14:paraId="368F8C30" w14:textId="400F26D5" w:rsidR="00475E85" w:rsidRPr="008C0685" w:rsidRDefault="00475E85" w:rsidP="00475E85">
      <w:pPr>
        <w:pStyle w:val="BodyText"/>
        <w:numPr>
          <w:ilvl w:val="0"/>
          <w:numId w:val="33"/>
        </w:numPr>
      </w:pPr>
      <w:r>
        <w:t xml:space="preserve">Weather forecasts should be monitored and an early warning system should be in place at the proposed development. This will allow for contingency plans to be put in place in advance of predicted </w:t>
      </w:r>
      <w:r w:rsidRPr="008C0685">
        <w:t xml:space="preserve">extreme heat </w:t>
      </w:r>
      <w:r w:rsidR="0083110E" w:rsidRPr="008C0685">
        <w:t xml:space="preserve">and cold </w:t>
      </w:r>
      <w:r w:rsidRPr="008C0685">
        <w:t>events;</w:t>
      </w:r>
      <w:r w:rsidR="0083110E" w:rsidRPr="008C0685">
        <w:t xml:space="preserve"> and</w:t>
      </w:r>
    </w:p>
    <w:p w14:paraId="0CC127E5" w14:textId="52457A0D" w:rsidR="0022305D" w:rsidRPr="008C0685" w:rsidRDefault="0022305D" w:rsidP="0022305D">
      <w:pPr>
        <w:pStyle w:val="ListBullet"/>
        <w:numPr>
          <w:ilvl w:val="0"/>
          <w:numId w:val="33"/>
        </w:numPr>
      </w:pPr>
      <w:r w:rsidRPr="008C0685">
        <w:t xml:space="preserve">Where necessary and feasible, external shading devices </w:t>
      </w:r>
      <w:r w:rsidR="002C5016" w:rsidRPr="008C0685">
        <w:t>should</w:t>
      </w:r>
      <w:r w:rsidRPr="008C0685">
        <w:t xml:space="preserve"> be favoured over glazing solar coatings as this will allow for sunlight to be absorbed in winter, but reflected in summer; and</w:t>
      </w:r>
    </w:p>
    <w:p w14:paraId="69244671" w14:textId="7A0188BB" w:rsidR="0022305D" w:rsidRDefault="0022305D" w:rsidP="0022305D">
      <w:pPr>
        <w:pStyle w:val="ListBullet"/>
        <w:numPr>
          <w:ilvl w:val="0"/>
          <w:numId w:val="33"/>
        </w:numPr>
      </w:pPr>
      <w:r w:rsidRPr="008C0685">
        <w:t>High efficiency heating, ventilation, and air conditioning (HVAC) systems and high efficacy lighting with occupancy and daylight control where applicable</w:t>
      </w:r>
      <w:r w:rsidR="00C83FA8" w:rsidRPr="008C0685">
        <w:t xml:space="preserve">, particularly around </w:t>
      </w:r>
      <w:r w:rsidR="003C4A6C" w:rsidRPr="008C0685">
        <w:t>vulnerable equipment</w:t>
      </w:r>
      <w:r w:rsidR="00441928">
        <w:t xml:space="preserve"> (e.g. substation)</w:t>
      </w:r>
      <w:r w:rsidRPr="00046206">
        <w:t>.</w:t>
      </w:r>
    </w:p>
    <w:p w14:paraId="76DAAC39" w14:textId="2439E0EE" w:rsidR="00DE17E0" w:rsidRDefault="00805DB5" w:rsidP="00F425BB">
      <w:pPr>
        <w:pStyle w:val="Heading2"/>
      </w:pPr>
      <w:bookmarkStart w:id="155" w:name="_Toc239752995"/>
      <w:bookmarkStart w:id="156" w:name="_Toc231818389"/>
      <w:bookmarkStart w:id="157" w:name="_Toc231818797"/>
      <w:bookmarkStart w:id="158" w:name="_Toc231820309"/>
      <w:bookmarkStart w:id="159" w:name="_Toc239776204"/>
      <w:bookmarkEnd w:id="155"/>
      <w:bookmarkEnd w:id="156"/>
      <w:bookmarkEnd w:id="157"/>
      <w:bookmarkEnd w:id="158"/>
      <w:r>
        <w:lastRenderedPageBreak/>
        <w:t>Residual Impacts</w:t>
      </w:r>
      <w:bookmarkEnd w:id="159"/>
    </w:p>
    <w:p w14:paraId="2A610735" w14:textId="67535B64" w:rsidR="0057299C" w:rsidRDefault="00D10139" w:rsidP="0057299C">
      <w:pPr>
        <w:pStyle w:val="Heading3"/>
      </w:pPr>
      <w:r>
        <w:t xml:space="preserve"> </w:t>
      </w:r>
      <w:bookmarkStart w:id="160" w:name="_Toc239776205"/>
      <w:r w:rsidR="0057299C" w:rsidRPr="0057299C">
        <w:t>Lifecycle GHG Assessment</w:t>
      </w:r>
      <w:bookmarkEnd w:id="160"/>
    </w:p>
    <w:p w14:paraId="5DE4AE55" w14:textId="51E50AE9" w:rsidR="00283082" w:rsidRPr="00283082" w:rsidRDefault="00327C15" w:rsidP="00283082">
      <w:pPr>
        <w:pStyle w:val="BodyText"/>
      </w:pPr>
      <w:r>
        <w:t xml:space="preserve">The emissions figures presented in </w:t>
      </w:r>
      <w:r w:rsidR="00333123">
        <w:t xml:space="preserve">Section </w:t>
      </w:r>
      <w:r w:rsidR="00333123">
        <w:fldChar w:fldCharType="begin"/>
      </w:r>
      <w:r w:rsidR="00333123">
        <w:instrText xml:space="preserve"> REF _Ref232596325 \r \h </w:instrText>
      </w:r>
      <w:r w:rsidR="00333123">
        <w:fldChar w:fldCharType="separate"/>
      </w:r>
      <w:r w:rsidR="00D83C6F">
        <w:t>10.6.1</w:t>
      </w:r>
      <w:r w:rsidR="00333123">
        <w:fldChar w:fldCharType="end"/>
      </w:r>
      <w:r w:rsidR="00333123">
        <w:t xml:space="preserve"> are considered to be residual</w:t>
      </w:r>
      <w:r w:rsidR="00584B43" w:rsidRPr="00A7414A">
        <w:t>. A number of GHG emission mitigation measures have been embedded within the design of the Proposed Development</w:t>
      </w:r>
      <w:r w:rsidR="00230B50">
        <w:t xml:space="preserve"> to reduce th</w:t>
      </w:r>
      <w:r w:rsidR="0002349E">
        <w:t>e</w:t>
      </w:r>
      <w:r w:rsidR="00230B50">
        <w:t xml:space="preserve"> magnitude of </w:t>
      </w:r>
      <w:r w:rsidR="0002349E">
        <w:t xml:space="preserve">GHG </w:t>
      </w:r>
      <w:r w:rsidR="00230B50">
        <w:t>emissions to a level that is competitive with Ireland’s net-zero trajectory</w:t>
      </w:r>
      <w:r w:rsidR="00584B43" w:rsidRPr="00A7414A">
        <w:t xml:space="preserve">. As a result, </w:t>
      </w:r>
      <w:r w:rsidR="0002349E">
        <w:t xml:space="preserve">no </w:t>
      </w:r>
      <w:r w:rsidR="00584B43" w:rsidRPr="00A7414A">
        <w:t xml:space="preserve">additional mitigation measures are </w:t>
      </w:r>
      <w:r w:rsidR="0002349E">
        <w:t xml:space="preserve">anticipated </w:t>
      </w:r>
      <w:r w:rsidR="00584B43" w:rsidRPr="00A7414A">
        <w:t xml:space="preserve">to be required. Residual </w:t>
      </w:r>
      <w:r w:rsidR="0002349E">
        <w:t xml:space="preserve">effects </w:t>
      </w:r>
      <w:r w:rsidR="00584B43" w:rsidRPr="00A7414A">
        <w:t xml:space="preserve">are summarised in </w:t>
      </w:r>
      <w:r w:rsidR="00925431" w:rsidRPr="008928B6">
        <w:fldChar w:fldCharType="begin"/>
      </w:r>
      <w:r w:rsidR="00925431" w:rsidRPr="008928B6">
        <w:instrText xml:space="preserve"> REF _Ref231378632 \h  \* MERGEFORMAT </w:instrText>
      </w:r>
      <w:r w:rsidR="00925431" w:rsidRPr="008928B6">
        <w:fldChar w:fldCharType="separate"/>
      </w:r>
      <w:r w:rsidR="00D83C6F">
        <w:t>Table 10</w:t>
      </w:r>
      <w:r w:rsidR="00D83C6F">
        <w:noBreakHyphen/>
        <w:t>21</w:t>
      </w:r>
      <w:r w:rsidR="00925431" w:rsidRPr="008928B6">
        <w:fldChar w:fldCharType="end"/>
      </w:r>
      <w:r w:rsidR="00584B43" w:rsidRPr="00A7414A">
        <w:t>.</w:t>
      </w:r>
    </w:p>
    <w:p w14:paraId="54A2C4D9" w14:textId="13485A6C" w:rsidR="00DD0F02" w:rsidRDefault="00D10139" w:rsidP="00DD0F02">
      <w:pPr>
        <w:pStyle w:val="Heading3"/>
      </w:pPr>
      <w:r>
        <w:t xml:space="preserve"> </w:t>
      </w:r>
      <w:bookmarkStart w:id="161" w:name="_Toc239776206"/>
      <w:r w:rsidR="00DD0F02" w:rsidRPr="00DD0F02">
        <w:t>Climate Change Risk Assessment</w:t>
      </w:r>
      <w:bookmarkEnd w:id="161"/>
    </w:p>
    <w:p w14:paraId="302ED724" w14:textId="30E793FD" w:rsidR="00EC2E2C" w:rsidRPr="00A7414A" w:rsidRDefault="00EC2E2C" w:rsidP="00EC2E2C">
      <w:pPr>
        <w:pStyle w:val="BodyText"/>
      </w:pPr>
      <w:r w:rsidRPr="00A7414A">
        <w:t xml:space="preserve">No significant residual effects have been identified </w:t>
      </w:r>
      <w:r w:rsidR="0002349E">
        <w:t>by</w:t>
      </w:r>
      <w:r w:rsidR="0002349E" w:rsidRPr="00A7414A">
        <w:t xml:space="preserve"> </w:t>
      </w:r>
      <w:r w:rsidRPr="00A7414A">
        <w:t>the CCRA</w:t>
      </w:r>
      <w:r w:rsidRPr="006C1522">
        <w:t xml:space="preserve">. A number of climate resilience measures have been embedded within the design of the Proposed Development. </w:t>
      </w:r>
      <w:r w:rsidR="00E55C91">
        <w:t xml:space="preserve">Additional adaptation measures </w:t>
      </w:r>
      <w:r w:rsidR="00D844FB">
        <w:t>are required</w:t>
      </w:r>
      <w:r w:rsidR="0043300E">
        <w:t xml:space="preserve"> </w:t>
      </w:r>
      <w:r w:rsidR="008D5628">
        <w:t xml:space="preserve">to reduce the </w:t>
      </w:r>
      <w:r w:rsidR="0043300E">
        <w:t xml:space="preserve">consequence level from </w:t>
      </w:r>
      <w:r w:rsidR="00DA14FC">
        <w:t>M</w:t>
      </w:r>
      <w:r w:rsidR="0043300E">
        <w:t xml:space="preserve">oderate to </w:t>
      </w:r>
      <w:r w:rsidR="00DA14FC">
        <w:t>M</w:t>
      </w:r>
      <w:r w:rsidR="0043300E">
        <w:t xml:space="preserve">inor for the </w:t>
      </w:r>
      <w:r w:rsidR="00C22B3B">
        <w:t xml:space="preserve">significant </w:t>
      </w:r>
      <w:r w:rsidR="004700FF">
        <w:t>initial risk rating</w:t>
      </w:r>
      <w:r w:rsidR="009D78F2">
        <w:t xml:space="preserve"> of </w:t>
      </w:r>
      <w:r w:rsidR="00465D7C">
        <w:t>storm events</w:t>
      </w:r>
      <w:r w:rsidR="00C675DB">
        <w:t xml:space="preserve"> under an RCP8.5 scenario (2071-2100). </w:t>
      </w:r>
      <w:r w:rsidRPr="00A7414A">
        <w:t xml:space="preserve">Residual </w:t>
      </w:r>
      <w:r w:rsidR="00DA14FC">
        <w:t xml:space="preserve">effects </w:t>
      </w:r>
      <w:r w:rsidRPr="00A7414A">
        <w:t xml:space="preserve">are summarised in </w:t>
      </w:r>
      <w:r w:rsidR="00147533" w:rsidRPr="008928B6">
        <w:fldChar w:fldCharType="begin"/>
      </w:r>
      <w:r w:rsidR="00147533" w:rsidRPr="008928B6">
        <w:instrText xml:space="preserve"> REF _Ref231378632 \h  \* MERGEFORMAT </w:instrText>
      </w:r>
      <w:r w:rsidR="00147533" w:rsidRPr="008928B6">
        <w:fldChar w:fldCharType="separate"/>
      </w:r>
      <w:r w:rsidR="00D83C6F">
        <w:t>Table 10</w:t>
      </w:r>
      <w:r w:rsidR="00D83C6F">
        <w:noBreakHyphen/>
        <w:t>21</w:t>
      </w:r>
      <w:r w:rsidR="00147533" w:rsidRPr="008928B6">
        <w:fldChar w:fldCharType="end"/>
      </w:r>
      <w:r w:rsidRPr="00A7414A">
        <w:t>.</w:t>
      </w:r>
    </w:p>
    <w:p w14:paraId="5FD3B8A9" w14:textId="5CDF4FFF" w:rsidR="002C6C0F" w:rsidRDefault="00D10139" w:rsidP="002C6C0F">
      <w:pPr>
        <w:pStyle w:val="Heading3"/>
      </w:pPr>
      <w:r>
        <w:t xml:space="preserve"> </w:t>
      </w:r>
      <w:bookmarkStart w:id="162" w:name="_Toc239776207"/>
      <w:r w:rsidR="002C6C0F" w:rsidRPr="002C6C0F">
        <w:t>In-combination Climate Change Impact Assessment</w:t>
      </w:r>
      <w:bookmarkEnd w:id="162"/>
    </w:p>
    <w:p w14:paraId="3C04767E" w14:textId="38EE8CAD" w:rsidR="00805DB5" w:rsidRPr="00A7414A" w:rsidRDefault="00DD06FA" w:rsidP="00DD06FA">
      <w:pPr>
        <w:pStyle w:val="BodyText"/>
      </w:pPr>
      <w:r w:rsidRPr="006C1522">
        <w:t>No significant residual effects have been identified for the ICCI</w:t>
      </w:r>
      <w:r w:rsidR="00D31B0A">
        <w:t xml:space="preserve"> </w:t>
      </w:r>
      <w:r w:rsidR="00DA14FC">
        <w:t>A</w:t>
      </w:r>
      <w:r w:rsidR="00D31B0A">
        <w:t>ssessment</w:t>
      </w:r>
      <w:r w:rsidRPr="006C1522">
        <w:t xml:space="preserve">. A number of climate resilience measures have been embedded within the design of the Proposed Development. </w:t>
      </w:r>
      <w:r w:rsidRPr="00A7414A">
        <w:t xml:space="preserve">As a result, additional mitigation measures are not </w:t>
      </w:r>
      <w:r w:rsidR="00DA14FC">
        <w:t xml:space="preserve">anticipated </w:t>
      </w:r>
      <w:r w:rsidRPr="00A7414A">
        <w:t xml:space="preserve">to be required. Residual </w:t>
      </w:r>
      <w:r w:rsidR="00DA14FC">
        <w:t xml:space="preserve">effects </w:t>
      </w:r>
      <w:r w:rsidRPr="00A7414A">
        <w:t xml:space="preserve">are summarised in </w:t>
      </w:r>
      <w:r w:rsidR="00147533" w:rsidRPr="008928B6">
        <w:fldChar w:fldCharType="begin"/>
      </w:r>
      <w:r w:rsidR="00147533" w:rsidRPr="008928B6">
        <w:instrText xml:space="preserve"> REF _Ref231378632 \h  \* MERGEFORMAT </w:instrText>
      </w:r>
      <w:r w:rsidR="00147533" w:rsidRPr="008928B6">
        <w:fldChar w:fldCharType="separate"/>
      </w:r>
      <w:r w:rsidR="00D83C6F">
        <w:t>Table 10</w:t>
      </w:r>
      <w:r w:rsidR="00D83C6F">
        <w:noBreakHyphen/>
        <w:t>21</w:t>
      </w:r>
      <w:r w:rsidR="00147533" w:rsidRPr="008928B6">
        <w:fldChar w:fldCharType="end"/>
      </w:r>
      <w:r w:rsidRPr="00A7414A">
        <w:t>.</w:t>
      </w:r>
    </w:p>
    <w:p w14:paraId="57BDEA3D" w14:textId="77777777" w:rsidR="004E25B6" w:rsidRDefault="004E25B6" w:rsidP="00DD06FA">
      <w:pPr>
        <w:pStyle w:val="BodyText"/>
        <w:rPr>
          <w:highlight w:val="yellow"/>
        </w:rPr>
        <w:sectPr w:rsidR="004E25B6" w:rsidSect="001B6A0C">
          <w:pgSz w:w="11906" w:h="16838"/>
          <w:pgMar w:top="1134" w:right="1134" w:bottom="851" w:left="1418" w:header="567" w:footer="284" w:gutter="0"/>
          <w:pgNumType w:chapStyle="1"/>
          <w:cols w:space="284"/>
          <w:docGrid w:linePitch="360"/>
        </w:sectPr>
      </w:pPr>
    </w:p>
    <w:p w14:paraId="5D8C85BA" w14:textId="2CAA2D3E" w:rsidR="00BE5583" w:rsidRDefault="00BE5583" w:rsidP="00BE5583">
      <w:pPr>
        <w:pStyle w:val="Caption"/>
      </w:pPr>
      <w:bookmarkStart w:id="163" w:name="_Ref231378632"/>
      <w:bookmarkStart w:id="164" w:name="_Toc238199696"/>
      <w:r>
        <w:lastRenderedPageBreak/>
        <w:t xml:space="preserve">Table </w:t>
      </w:r>
      <w:r>
        <w:fldChar w:fldCharType="begin"/>
      </w:r>
      <w:r>
        <w:instrText>STYLEREF 1 \s</w:instrText>
      </w:r>
      <w:r>
        <w:fldChar w:fldCharType="separate"/>
      </w:r>
      <w:r w:rsidR="00D83C6F">
        <w:rPr>
          <w:noProof/>
        </w:rPr>
        <w:t>10</w:t>
      </w:r>
      <w:r>
        <w:fldChar w:fldCharType="end"/>
      </w:r>
      <w:r>
        <w:noBreakHyphen/>
      </w:r>
      <w:r>
        <w:fldChar w:fldCharType="begin"/>
      </w:r>
      <w:r>
        <w:instrText>SEQ Table \* ARABIC \s 1</w:instrText>
      </w:r>
      <w:r>
        <w:fldChar w:fldCharType="separate"/>
      </w:r>
      <w:r w:rsidR="00D83C6F">
        <w:rPr>
          <w:noProof/>
        </w:rPr>
        <w:t>21</w:t>
      </w:r>
      <w:r>
        <w:fldChar w:fldCharType="end"/>
      </w:r>
      <w:bookmarkEnd w:id="163"/>
      <w:r w:rsidR="00361852">
        <w:t>:</w:t>
      </w:r>
      <w:r>
        <w:t xml:space="preserve"> Summary of Residual Effects for the CCRA, ICCI and GHG</w:t>
      </w:r>
      <w:bookmarkEnd w:id="164"/>
    </w:p>
    <w:tbl>
      <w:tblPr>
        <w:tblStyle w:val="AECOMtable"/>
        <w:tblW w:w="5000" w:type="pct"/>
        <w:tblInd w:w="-1" w:type="dxa"/>
        <w:tblLayout w:type="fixed"/>
        <w:tblCellMar>
          <w:right w:w="108" w:type="dxa"/>
        </w:tblCellMar>
        <w:tblLook w:val="04A0" w:firstRow="1" w:lastRow="0" w:firstColumn="1" w:lastColumn="0" w:noHBand="0" w:noVBand="1"/>
      </w:tblPr>
      <w:tblGrid>
        <w:gridCol w:w="2114"/>
        <w:gridCol w:w="2253"/>
        <w:gridCol w:w="2532"/>
        <w:gridCol w:w="2014"/>
        <w:gridCol w:w="1980"/>
        <w:gridCol w:w="1980"/>
        <w:gridCol w:w="1980"/>
      </w:tblGrid>
      <w:tr w:rsidR="009427AD" w:rsidRPr="00CE4840" w14:paraId="71556C6E" w14:textId="77777777">
        <w:trPr>
          <w:cnfStyle w:val="100000000000" w:firstRow="1" w:lastRow="0" w:firstColumn="0" w:lastColumn="0" w:oddVBand="0" w:evenVBand="0" w:oddHBand="0" w:evenHBand="0" w:firstRowFirstColumn="0" w:firstRowLastColumn="0" w:lastRowFirstColumn="0" w:lastRowLastColumn="0"/>
          <w:trHeight w:val="318"/>
          <w:tblHeader/>
        </w:trPr>
        <w:tc>
          <w:tcPr>
            <w:tcW w:w="2114" w:type="dxa"/>
          </w:tcPr>
          <w:p w14:paraId="4B44765D" w14:textId="77777777" w:rsidR="009427AD" w:rsidRPr="00CE4840" w:rsidRDefault="009427AD">
            <w:pPr>
              <w:pStyle w:val="Tabletext"/>
              <w:jc w:val="left"/>
            </w:pPr>
            <w:r w:rsidRPr="00CE4840">
              <w:t>Receptor</w:t>
            </w:r>
          </w:p>
        </w:tc>
        <w:tc>
          <w:tcPr>
            <w:tcW w:w="2253" w:type="dxa"/>
          </w:tcPr>
          <w:p w14:paraId="1C7DAA53" w14:textId="77777777" w:rsidR="009427AD" w:rsidRPr="00CE4840" w:rsidRDefault="009427AD">
            <w:pPr>
              <w:pStyle w:val="Tabletext"/>
              <w:ind w:right="57"/>
              <w:jc w:val="left"/>
            </w:pPr>
            <w:r w:rsidRPr="00CE4840">
              <w:t>Description of Effect(s)</w:t>
            </w:r>
          </w:p>
        </w:tc>
        <w:tc>
          <w:tcPr>
            <w:tcW w:w="2532" w:type="dxa"/>
          </w:tcPr>
          <w:p w14:paraId="1BFBF225" w14:textId="77777777" w:rsidR="009427AD" w:rsidRPr="00CE4840" w:rsidRDefault="009427AD">
            <w:pPr>
              <w:pStyle w:val="Tabletext"/>
              <w:ind w:right="57"/>
              <w:jc w:val="left"/>
            </w:pPr>
            <w:r w:rsidRPr="007505B5">
              <w:t>Nature of Effect/ Geographic Scale</w:t>
            </w:r>
          </w:p>
        </w:tc>
        <w:tc>
          <w:tcPr>
            <w:tcW w:w="2014" w:type="dxa"/>
          </w:tcPr>
          <w:p w14:paraId="2B852D90" w14:textId="77777777" w:rsidR="009427AD" w:rsidRPr="00CE4840" w:rsidRDefault="009427AD">
            <w:pPr>
              <w:pStyle w:val="Tabletext"/>
              <w:ind w:right="57"/>
              <w:jc w:val="left"/>
            </w:pPr>
            <w:r w:rsidRPr="00BD5703">
              <w:t>Magnitude of Effect</w:t>
            </w:r>
          </w:p>
        </w:tc>
        <w:tc>
          <w:tcPr>
            <w:tcW w:w="1980" w:type="dxa"/>
          </w:tcPr>
          <w:p w14:paraId="2F31C907" w14:textId="77777777" w:rsidR="009427AD" w:rsidRPr="00CE4840" w:rsidRDefault="009427AD">
            <w:pPr>
              <w:pStyle w:val="Tabletext"/>
              <w:ind w:right="57"/>
              <w:jc w:val="left"/>
            </w:pPr>
            <w:r w:rsidRPr="00A6462B">
              <w:t>Initial Classification of Effect (with embedded control)</w:t>
            </w:r>
          </w:p>
        </w:tc>
        <w:tc>
          <w:tcPr>
            <w:tcW w:w="1980" w:type="dxa"/>
          </w:tcPr>
          <w:p w14:paraId="23F9D19C" w14:textId="77777777" w:rsidR="009427AD" w:rsidRPr="00A6462B" w:rsidRDefault="009427AD">
            <w:pPr>
              <w:pStyle w:val="Tabletext"/>
              <w:ind w:right="57"/>
              <w:jc w:val="left"/>
            </w:pPr>
            <w:r w:rsidRPr="00A021F4">
              <w:t>Additional Mitigation</w:t>
            </w:r>
          </w:p>
        </w:tc>
        <w:tc>
          <w:tcPr>
            <w:tcW w:w="1980" w:type="dxa"/>
          </w:tcPr>
          <w:p w14:paraId="41EB0CC3" w14:textId="77777777" w:rsidR="009427AD" w:rsidRPr="00A021F4" w:rsidRDefault="009427AD">
            <w:pPr>
              <w:pStyle w:val="Tabletext"/>
              <w:ind w:right="57"/>
              <w:jc w:val="left"/>
            </w:pPr>
            <w:r w:rsidRPr="00A021F4">
              <w:t>Residual Effect Significan</w:t>
            </w:r>
            <w:r>
              <w:t>ce</w:t>
            </w:r>
          </w:p>
        </w:tc>
      </w:tr>
      <w:tr w:rsidR="00046737" w:rsidRPr="00CE4840" w14:paraId="4879EA87" w14:textId="77777777">
        <w:trPr>
          <w:trHeight w:val="245"/>
        </w:trPr>
        <w:tc>
          <w:tcPr>
            <w:tcW w:w="10893" w:type="dxa"/>
            <w:gridSpan w:val="5"/>
            <w:shd w:val="clear" w:color="auto" w:fill="D9D9D9" w:themeFill="background1" w:themeFillShade="D9"/>
          </w:tcPr>
          <w:p w14:paraId="233F69CA" w14:textId="20CEB7F7" w:rsidR="00046737" w:rsidRPr="001C40C5" w:rsidRDefault="00046737" w:rsidP="00046737">
            <w:pPr>
              <w:pStyle w:val="Tabletext"/>
              <w:jc w:val="left"/>
              <w:rPr>
                <w:b/>
                <w:bCs/>
              </w:rPr>
            </w:pPr>
            <w:r w:rsidRPr="005A4B5C">
              <w:rPr>
                <w:b/>
                <w:bCs/>
              </w:rPr>
              <w:t>GHG</w:t>
            </w:r>
          </w:p>
        </w:tc>
        <w:tc>
          <w:tcPr>
            <w:tcW w:w="1980" w:type="dxa"/>
            <w:shd w:val="clear" w:color="auto" w:fill="D9D9D9" w:themeFill="background1" w:themeFillShade="D9"/>
          </w:tcPr>
          <w:p w14:paraId="52CA3696" w14:textId="111B9A14" w:rsidR="00046737" w:rsidRPr="001C40C5" w:rsidRDefault="00046737" w:rsidP="00046737">
            <w:pPr>
              <w:pStyle w:val="Tabletext"/>
              <w:jc w:val="left"/>
              <w:rPr>
                <w:b/>
                <w:bCs/>
              </w:rPr>
            </w:pPr>
          </w:p>
        </w:tc>
        <w:tc>
          <w:tcPr>
            <w:tcW w:w="1980" w:type="dxa"/>
            <w:shd w:val="clear" w:color="auto" w:fill="D9D9D9" w:themeFill="background1" w:themeFillShade="D9"/>
          </w:tcPr>
          <w:p w14:paraId="329CE7EB" w14:textId="2EB92DB7" w:rsidR="00046737" w:rsidRPr="001C40C5" w:rsidRDefault="00046737" w:rsidP="00046737">
            <w:pPr>
              <w:pStyle w:val="Tabletext"/>
              <w:jc w:val="left"/>
              <w:rPr>
                <w:b/>
                <w:bCs/>
              </w:rPr>
            </w:pPr>
          </w:p>
        </w:tc>
      </w:tr>
      <w:tr w:rsidR="00046737" w:rsidRPr="00CE4840" w14:paraId="35682D1F" w14:textId="77777777">
        <w:trPr>
          <w:trHeight w:val="245"/>
        </w:trPr>
        <w:tc>
          <w:tcPr>
            <w:tcW w:w="2114" w:type="dxa"/>
          </w:tcPr>
          <w:p w14:paraId="5A38D09B" w14:textId="022A7D3A" w:rsidR="00046737" w:rsidRPr="00234B81" w:rsidRDefault="00046737" w:rsidP="00046737">
            <w:pPr>
              <w:pStyle w:val="Tabletext"/>
              <w:jc w:val="left"/>
            </w:pPr>
            <w:r w:rsidRPr="00A7414A">
              <w:t>Global climate</w:t>
            </w:r>
          </w:p>
        </w:tc>
        <w:tc>
          <w:tcPr>
            <w:tcW w:w="2253" w:type="dxa"/>
          </w:tcPr>
          <w:p w14:paraId="50A7C1D2" w14:textId="3312D989" w:rsidR="00046737" w:rsidRDefault="00046737" w:rsidP="00046737">
            <w:pPr>
              <w:pStyle w:val="Tabletext"/>
              <w:jc w:val="left"/>
            </w:pPr>
            <w:r w:rsidRPr="00A7414A">
              <w:t>Increase of GHG emissions as a result of construction and operation.</w:t>
            </w:r>
          </w:p>
        </w:tc>
        <w:tc>
          <w:tcPr>
            <w:tcW w:w="2532" w:type="dxa"/>
          </w:tcPr>
          <w:p w14:paraId="4EC36443" w14:textId="753030D7" w:rsidR="00046737" w:rsidRPr="00E061FC" w:rsidRDefault="00046737" w:rsidP="00046737">
            <w:pPr>
              <w:pStyle w:val="Tabletext"/>
            </w:pPr>
            <w:r w:rsidRPr="00A7414A">
              <w:t xml:space="preserve">Adverse, Direct/indirect, long term and global. </w:t>
            </w:r>
          </w:p>
        </w:tc>
        <w:tc>
          <w:tcPr>
            <w:tcW w:w="2014" w:type="dxa"/>
          </w:tcPr>
          <w:p w14:paraId="54CE914E" w14:textId="3297A875" w:rsidR="00046737" w:rsidRPr="00077552" w:rsidRDefault="00046737" w:rsidP="00046737">
            <w:pPr>
              <w:pStyle w:val="Tabletext"/>
              <w:jc w:val="left"/>
            </w:pPr>
            <w:r w:rsidRPr="00077552">
              <w:t>Construction and operation of the Proposed Development will result in GHG emissions. There will be embodied carbon in the materials and fuels used for the construction of the Proposed Development. There will also be GHG emissions arising during the operation of the Proposed Development.</w:t>
            </w:r>
          </w:p>
          <w:p w14:paraId="38EA496A" w14:textId="13A93814" w:rsidR="00046737" w:rsidRPr="00077552" w:rsidRDefault="00046737" w:rsidP="00046737">
            <w:pPr>
              <w:pStyle w:val="Tabletext"/>
              <w:jc w:val="left"/>
            </w:pPr>
            <w:r w:rsidRPr="00077552">
              <w:t xml:space="preserve">In accordance with the ISEP guidance the effect is deemed to be minor adverse as the Proposed Development should not meaningfully impact Ireland’s pathway to net-zero.  </w:t>
            </w:r>
          </w:p>
        </w:tc>
        <w:tc>
          <w:tcPr>
            <w:tcW w:w="1980" w:type="dxa"/>
          </w:tcPr>
          <w:p w14:paraId="5DD90977" w14:textId="7E7D12A4" w:rsidR="00046737" w:rsidRPr="00077552" w:rsidRDefault="00046737" w:rsidP="00046737">
            <w:pPr>
              <w:pStyle w:val="Tabletext"/>
            </w:pPr>
            <w:r w:rsidRPr="00077552">
              <w:t xml:space="preserve">Since the effect is deemed to be minor adverse it is deemed to be Not Significant, because the Proposed Development’s GHG impacts would be fully consistent with applicable existing and emerging policy requirements and good practice design standards for projects of this type. A project with minor adverse effects is fully in line with measures necessary to achieve Ireland’s trajectory towards net zero. </w:t>
            </w:r>
          </w:p>
          <w:p w14:paraId="0F0F30A4" w14:textId="77777777" w:rsidR="00046737" w:rsidRPr="00077552" w:rsidRDefault="00046737" w:rsidP="00046737">
            <w:pPr>
              <w:pStyle w:val="Tabletext"/>
            </w:pPr>
          </w:p>
        </w:tc>
        <w:tc>
          <w:tcPr>
            <w:tcW w:w="1980" w:type="dxa"/>
          </w:tcPr>
          <w:p w14:paraId="54C9C1D8" w14:textId="105DC1A0" w:rsidR="00046737" w:rsidRPr="00961FC8" w:rsidRDefault="00046737" w:rsidP="00046737">
            <w:pPr>
              <w:pStyle w:val="Tabletext"/>
              <w:jc w:val="left"/>
            </w:pPr>
            <w:r w:rsidRPr="00A55EDE">
              <w:t>As the effect is assessed as Not Significant, no additional mitigation measures beyond the embedded measures described in Section 10.5.1 are required.</w:t>
            </w:r>
          </w:p>
        </w:tc>
        <w:tc>
          <w:tcPr>
            <w:tcW w:w="1980" w:type="dxa"/>
          </w:tcPr>
          <w:p w14:paraId="5B1E5322" w14:textId="53B444C6" w:rsidR="00046737" w:rsidRPr="00A7414A" w:rsidRDefault="00046737" w:rsidP="00046737">
            <w:pPr>
              <w:pStyle w:val="Tabletext"/>
            </w:pPr>
            <w:r>
              <w:t>Not</w:t>
            </w:r>
            <w:r w:rsidRPr="00A7414A">
              <w:t xml:space="preserve"> </w:t>
            </w:r>
            <w:r>
              <w:t>S</w:t>
            </w:r>
            <w:r w:rsidRPr="00A7414A">
              <w:t>ignificant</w:t>
            </w:r>
          </w:p>
        </w:tc>
      </w:tr>
      <w:tr w:rsidR="009427AD" w:rsidRPr="00CE4840" w14:paraId="3C854FA1" w14:textId="77777777">
        <w:trPr>
          <w:trHeight w:val="245"/>
        </w:trPr>
        <w:tc>
          <w:tcPr>
            <w:tcW w:w="10893" w:type="dxa"/>
            <w:gridSpan w:val="5"/>
            <w:shd w:val="clear" w:color="auto" w:fill="D9D9D9" w:themeFill="background1" w:themeFillShade="D9"/>
          </w:tcPr>
          <w:p w14:paraId="752D9EC2" w14:textId="77777777" w:rsidR="009427AD" w:rsidRPr="001C40C5" w:rsidRDefault="009427AD">
            <w:pPr>
              <w:pStyle w:val="Tabletext"/>
              <w:jc w:val="left"/>
              <w:rPr>
                <w:b/>
                <w:bCs/>
              </w:rPr>
            </w:pPr>
            <w:r w:rsidRPr="001C40C5">
              <w:rPr>
                <w:b/>
                <w:bCs/>
              </w:rPr>
              <w:t>CCRA</w:t>
            </w:r>
          </w:p>
        </w:tc>
        <w:tc>
          <w:tcPr>
            <w:tcW w:w="1980" w:type="dxa"/>
            <w:shd w:val="clear" w:color="auto" w:fill="D9D9D9" w:themeFill="background1" w:themeFillShade="D9"/>
          </w:tcPr>
          <w:p w14:paraId="723080C5" w14:textId="77777777" w:rsidR="009427AD" w:rsidRPr="001C40C5" w:rsidRDefault="009427AD">
            <w:pPr>
              <w:pStyle w:val="Tabletext"/>
              <w:jc w:val="left"/>
              <w:rPr>
                <w:b/>
                <w:bCs/>
              </w:rPr>
            </w:pPr>
          </w:p>
        </w:tc>
        <w:tc>
          <w:tcPr>
            <w:tcW w:w="1980" w:type="dxa"/>
            <w:shd w:val="clear" w:color="auto" w:fill="D9D9D9" w:themeFill="background1" w:themeFillShade="D9"/>
          </w:tcPr>
          <w:p w14:paraId="49C8EEFE" w14:textId="77777777" w:rsidR="009427AD" w:rsidRPr="001C40C5" w:rsidRDefault="009427AD">
            <w:pPr>
              <w:pStyle w:val="Tabletext"/>
              <w:jc w:val="left"/>
              <w:rPr>
                <w:b/>
                <w:bCs/>
              </w:rPr>
            </w:pPr>
          </w:p>
        </w:tc>
      </w:tr>
      <w:tr w:rsidR="009427AD" w:rsidRPr="00CE4840" w14:paraId="7408042D" w14:textId="77777777">
        <w:trPr>
          <w:trHeight w:val="245"/>
        </w:trPr>
        <w:tc>
          <w:tcPr>
            <w:tcW w:w="2114" w:type="dxa"/>
          </w:tcPr>
          <w:p w14:paraId="614CA6A8" w14:textId="45BF4BFA" w:rsidR="009427AD" w:rsidRPr="00CE4840" w:rsidRDefault="009427AD">
            <w:pPr>
              <w:pStyle w:val="Tabletext"/>
              <w:jc w:val="left"/>
            </w:pPr>
            <w:r w:rsidRPr="00234B81">
              <w:t>The Pro</w:t>
            </w:r>
            <w:r>
              <w:t>posed Development</w:t>
            </w:r>
            <w:r w:rsidRPr="00234B81">
              <w:t xml:space="preserve"> (during both construction and operation) and associated users (e.g. construction and maintenance workers).</w:t>
            </w:r>
          </w:p>
        </w:tc>
        <w:tc>
          <w:tcPr>
            <w:tcW w:w="2253" w:type="dxa"/>
          </w:tcPr>
          <w:p w14:paraId="54A26CB2" w14:textId="77777777" w:rsidR="009427AD" w:rsidRPr="00CE4840" w:rsidRDefault="009427AD">
            <w:pPr>
              <w:pStyle w:val="Tabletext"/>
              <w:jc w:val="left"/>
            </w:pPr>
            <w:r>
              <w:t>The increase of extreme weather events and increase in temperatures in Ireland could lead to detrimental impacts on the Proposed Development.</w:t>
            </w:r>
          </w:p>
        </w:tc>
        <w:tc>
          <w:tcPr>
            <w:tcW w:w="2532" w:type="dxa"/>
          </w:tcPr>
          <w:p w14:paraId="7630D78E" w14:textId="7AC90D0F" w:rsidR="009427AD" w:rsidRPr="00CE4840" w:rsidRDefault="009427AD">
            <w:pPr>
              <w:pStyle w:val="Tabletext"/>
            </w:pPr>
            <w:r w:rsidRPr="00E061FC">
              <w:t>Adverse, Direct, Temporary (Short-term)</w:t>
            </w:r>
            <w:r w:rsidR="00266543">
              <w:t xml:space="preserve"> and long term</w:t>
            </w:r>
            <w:r w:rsidRPr="00E061FC">
              <w:t>, Local</w:t>
            </w:r>
            <w:r>
              <w:t>.</w:t>
            </w:r>
          </w:p>
        </w:tc>
        <w:tc>
          <w:tcPr>
            <w:tcW w:w="2014" w:type="dxa"/>
          </w:tcPr>
          <w:p w14:paraId="4ACA5C32" w14:textId="400948B6" w:rsidR="0036488B" w:rsidRPr="00CE4840" w:rsidRDefault="0036488B">
            <w:pPr>
              <w:pStyle w:val="Tabletext"/>
              <w:jc w:val="left"/>
            </w:pPr>
            <w:r w:rsidRPr="0036488B">
              <w:t xml:space="preserve">While there may be impacts on the Proposed Development as a result of climate change, most effects are anticipated to be of low </w:t>
            </w:r>
            <w:r w:rsidR="00F074F4">
              <w:t xml:space="preserve">or medium </w:t>
            </w:r>
            <w:r>
              <w:t>risk</w:t>
            </w:r>
            <w:r w:rsidRPr="0036488B">
              <w:t xml:space="preserve"> and can be managed through embedded mitigation measures, </w:t>
            </w:r>
            <w:r w:rsidRPr="0036488B">
              <w:lastRenderedPageBreak/>
              <w:t>resulting in a not significant effect.</w:t>
            </w:r>
            <w:r w:rsidR="002704CC">
              <w:t xml:space="preserve"> However, storm events have been identified as a high risk </w:t>
            </w:r>
            <w:r w:rsidR="00ED1DE2">
              <w:t>climate variable</w:t>
            </w:r>
            <w:r w:rsidR="00D6145D">
              <w:t xml:space="preserve"> prior to </w:t>
            </w:r>
            <w:r w:rsidR="00252957">
              <w:t xml:space="preserve">recommended </w:t>
            </w:r>
            <w:r w:rsidR="0059476F">
              <w:t xml:space="preserve">adaptation </w:t>
            </w:r>
            <w:r w:rsidR="00252957">
              <w:t>measures.</w:t>
            </w:r>
          </w:p>
        </w:tc>
        <w:tc>
          <w:tcPr>
            <w:tcW w:w="1980" w:type="dxa"/>
          </w:tcPr>
          <w:p w14:paraId="503FBC82" w14:textId="3F373DC4" w:rsidR="009427AD" w:rsidRDefault="00252957">
            <w:pPr>
              <w:pStyle w:val="Tabletext"/>
            </w:pPr>
            <w:r>
              <w:lastRenderedPageBreak/>
              <w:t>S</w:t>
            </w:r>
            <w:r w:rsidR="009427AD">
              <w:t>ignificant.</w:t>
            </w:r>
          </w:p>
          <w:p w14:paraId="382FB8F8" w14:textId="77777777" w:rsidR="009427AD" w:rsidRDefault="009427AD">
            <w:pPr>
              <w:pStyle w:val="Tabletext"/>
            </w:pPr>
          </w:p>
          <w:p w14:paraId="19D7D198" w14:textId="56D28CD0" w:rsidR="009427AD" w:rsidRPr="00CE4840" w:rsidRDefault="00252957">
            <w:pPr>
              <w:pStyle w:val="Tabletext"/>
              <w:jc w:val="left"/>
            </w:pPr>
            <w:r>
              <w:t>T</w:t>
            </w:r>
            <w:r w:rsidR="009427AD">
              <w:t>he effect is likely to b</w:t>
            </w:r>
            <w:r>
              <w:t>e</w:t>
            </w:r>
            <w:r w:rsidR="009427AD">
              <w:t xml:space="preserve"> </w:t>
            </w:r>
            <w:r w:rsidR="004806A7">
              <w:t>S</w:t>
            </w:r>
            <w:r w:rsidR="009427AD">
              <w:t>ignificant</w:t>
            </w:r>
            <w:r>
              <w:t xml:space="preserve"> due to storm events.</w:t>
            </w:r>
          </w:p>
        </w:tc>
        <w:tc>
          <w:tcPr>
            <w:tcW w:w="1980" w:type="dxa"/>
          </w:tcPr>
          <w:p w14:paraId="07908359" w14:textId="6670DCFB" w:rsidR="009427AD" w:rsidRPr="00961FC8" w:rsidRDefault="009427AD">
            <w:pPr>
              <w:pStyle w:val="Tabletext"/>
              <w:jc w:val="left"/>
            </w:pPr>
            <w:r w:rsidRPr="00961FC8">
              <w:t xml:space="preserve">Since the likely effects are deemed </w:t>
            </w:r>
            <w:r w:rsidR="004806A7">
              <w:t>S</w:t>
            </w:r>
            <w:r w:rsidRPr="00961FC8">
              <w:t>ignificant</w:t>
            </w:r>
            <w:r w:rsidR="00252957">
              <w:t xml:space="preserve">, </w:t>
            </w:r>
            <w:r w:rsidRPr="00961FC8">
              <w:t>additional mitigation measures are required.</w:t>
            </w:r>
          </w:p>
        </w:tc>
        <w:tc>
          <w:tcPr>
            <w:tcW w:w="1980" w:type="dxa"/>
          </w:tcPr>
          <w:p w14:paraId="4E0B999D" w14:textId="12DA65B9" w:rsidR="009427AD" w:rsidRPr="00961FC8" w:rsidRDefault="009427AD">
            <w:pPr>
              <w:pStyle w:val="Tabletext"/>
            </w:pPr>
            <w:r w:rsidRPr="00A7414A">
              <w:t xml:space="preserve">Not </w:t>
            </w:r>
            <w:r w:rsidR="004806A7">
              <w:t>S</w:t>
            </w:r>
            <w:r w:rsidRPr="00A7414A">
              <w:t>ignificant</w:t>
            </w:r>
            <w:r w:rsidRPr="00961FC8">
              <w:t xml:space="preserve"> </w:t>
            </w:r>
          </w:p>
          <w:p w14:paraId="2E11034A" w14:textId="77777777" w:rsidR="009427AD" w:rsidRPr="00961FC8" w:rsidRDefault="009427AD">
            <w:pPr>
              <w:pStyle w:val="Tabletext"/>
            </w:pPr>
          </w:p>
          <w:p w14:paraId="5DB7ECE5" w14:textId="519D7821" w:rsidR="009427AD" w:rsidRPr="00961FC8" w:rsidRDefault="009427AD" w:rsidP="00BD64B7">
            <w:pPr>
              <w:pStyle w:val="Tabletext"/>
              <w:jc w:val="left"/>
            </w:pPr>
            <w:r w:rsidRPr="00961FC8">
              <w:t xml:space="preserve">The residual effects </w:t>
            </w:r>
            <w:r w:rsidR="004806A7">
              <w:t>are</w:t>
            </w:r>
            <w:r w:rsidR="004806A7" w:rsidRPr="00961FC8">
              <w:t xml:space="preserve"> </w:t>
            </w:r>
            <w:r w:rsidR="00A91B30">
              <w:t>N</w:t>
            </w:r>
            <w:r w:rsidR="00B45EC6">
              <w:t xml:space="preserve">ot </w:t>
            </w:r>
            <w:r w:rsidR="00A91B30">
              <w:t>S</w:t>
            </w:r>
            <w:r w:rsidR="00B45EC6">
              <w:t xml:space="preserve">ignificant as the adaptation measures recommended reduce the </w:t>
            </w:r>
            <w:r w:rsidR="00F9766D">
              <w:t>consequence</w:t>
            </w:r>
            <w:r w:rsidR="00426B8D">
              <w:t xml:space="preserve"> of </w:t>
            </w:r>
            <w:r w:rsidR="004806A7">
              <w:t>s</w:t>
            </w:r>
            <w:r w:rsidR="00426B8D">
              <w:t>torm events</w:t>
            </w:r>
            <w:r w:rsidR="00F9766D">
              <w:t xml:space="preserve"> from </w:t>
            </w:r>
            <w:r w:rsidR="004806A7">
              <w:t>M</w:t>
            </w:r>
            <w:r w:rsidR="00C41975">
              <w:t xml:space="preserve">oderate to </w:t>
            </w:r>
            <w:r w:rsidR="004806A7">
              <w:t>M</w:t>
            </w:r>
            <w:r w:rsidR="00C41975">
              <w:t>inor</w:t>
            </w:r>
            <w:r w:rsidR="001E6EBC">
              <w:t xml:space="preserve">, </w:t>
            </w:r>
            <w:r w:rsidR="001E6EBC">
              <w:lastRenderedPageBreak/>
              <w:t>reducing the risk from high to medium</w:t>
            </w:r>
            <w:r w:rsidR="00C41975">
              <w:t>.</w:t>
            </w:r>
            <w:r w:rsidR="00F9766D">
              <w:t xml:space="preserve"> </w:t>
            </w:r>
          </w:p>
        </w:tc>
      </w:tr>
      <w:tr w:rsidR="009427AD" w:rsidRPr="00CE4840" w14:paraId="2E6CB088" w14:textId="77777777">
        <w:trPr>
          <w:trHeight w:val="245"/>
        </w:trPr>
        <w:tc>
          <w:tcPr>
            <w:tcW w:w="10893" w:type="dxa"/>
            <w:gridSpan w:val="5"/>
            <w:shd w:val="clear" w:color="auto" w:fill="D9D9D9" w:themeFill="background1" w:themeFillShade="D9"/>
          </w:tcPr>
          <w:p w14:paraId="72951D44" w14:textId="77777777" w:rsidR="009427AD" w:rsidRPr="001C40C5" w:rsidRDefault="009427AD">
            <w:pPr>
              <w:pStyle w:val="Tabletext"/>
              <w:jc w:val="left"/>
              <w:rPr>
                <w:b/>
                <w:bCs/>
              </w:rPr>
            </w:pPr>
            <w:r>
              <w:rPr>
                <w:b/>
                <w:bCs/>
              </w:rPr>
              <w:lastRenderedPageBreak/>
              <w:t>ICCI</w:t>
            </w:r>
          </w:p>
        </w:tc>
        <w:tc>
          <w:tcPr>
            <w:tcW w:w="1980" w:type="dxa"/>
            <w:shd w:val="clear" w:color="auto" w:fill="D9D9D9" w:themeFill="background1" w:themeFillShade="D9"/>
          </w:tcPr>
          <w:p w14:paraId="5D90C1B2" w14:textId="77777777" w:rsidR="009427AD" w:rsidRDefault="009427AD">
            <w:pPr>
              <w:pStyle w:val="Tabletext"/>
              <w:jc w:val="left"/>
              <w:rPr>
                <w:b/>
                <w:bCs/>
              </w:rPr>
            </w:pPr>
          </w:p>
        </w:tc>
        <w:tc>
          <w:tcPr>
            <w:tcW w:w="1980" w:type="dxa"/>
            <w:shd w:val="clear" w:color="auto" w:fill="D9D9D9" w:themeFill="background1" w:themeFillShade="D9"/>
          </w:tcPr>
          <w:p w14:paraId="1563BD95" w14:textId="77777777" w:rsidR="009427AD" w:rsidRDefault="009427AD">
            <w:pPr>
              <w:pStyle w:val="Tabletext"/>
              <w:jc w:val="left"/>
              <w:rPr>
                <w:b/>
                <w:bCs/>
              </w:rPr>
            </w:pPr>
          </w:p>
        </w:tc>
      </w:tr>
      <w:tr w:rsidR="009427AD" w:rsidRPr="00CE4840" w14:paraId="7DB2EA1A" w14:textId="77777777">
        <w:trPr>
          <w:trHeight w:val="245"/>
        </w:trPr>
        <w:tc>
          <w:tcPr>
            <w:tcW w:w="2114" w:type="dxa"/>
            <w:tcBorders>
              <w:bottom w:val="single" w:sz="4" w:space="0" w:color="auto"/>
            </w:tcBorders>
          </w:tcPr>
          <w:p w14:paraId="1ABD1C1D" w14:textId="77777777" w:rsidR="009427AD" w:rsidRPr="00CE4840" w:rsidRDefault="009427AD">
            <w:pPr>
              <w:pStyle w:val="Tabletext"/>
              <w:jc w:val="left"/>
            </w:pPr>
            <w:r w:rsidRPr="00EA3449">
              <w:t>Identified receptors by the relevant environmental teams</w:t>
            </w:r>
            <w:r>
              <w:t xml:space="preserve">. </w:t>
            </w:r>
          </w:p>
        </w:tc>
        <w:tc>
          <w:tcPr>
            <w:tcW w:w="2253" w:type="dxa"/>
            <w:tcBorders>
              <w:bottom w:val="single" w:sz="4" w:space="0" w:color="auto"/>
            </w:tcBorders>
          </w:tcPr>
          <w:p w14:paraId="63EC3BAE" w14:textId="3F795A85" w:rsidR="009427AD" w:rsidRPr="00CE4840" w:rsidRDefault="009427AD">
            <w:pPr>
              <w:pStyle w:val="Tabletext"/>
              <w:jc w:val="left"/>
            </w:pPr>
            <w:r>
              <w:t xml:space="preserve">The increase of extreme weather events and increase in temperatures in Ireland could lead to detrimental impacts on </w:t>
            </w:r>
            <w:r w:rsidR="00481344">
              <w:t xml:space="preserve">environmental receptors </w:t>
            </w:r>
            <w:r w:rsidR="00C115FB">
              <w:t>surrounding</w:t>
            </w:r>
            <w:r>
              <w:t xml:space="preserve"> the Proposed Development.</w:t>
            </w:r>
          </w:p>
        </w:tc>
        <w:tc>
          <w:tcPr>
            <w:tcW w:w="2532" w:type="dxa"/>
            <w:tcBorders>
              <w:bottom w:val="single" w:sz="4" w:space="0" w:color="auto"/>
            </w:tcBorders>
          </w:tcPr>
          <w:p w14:paraId="78BA766C" w14:textId="46AB4943" w:rsidR="009427AD" w:rsidRPr="00CE4840" w:rsidRDefault="009427AD">
            <w:pPr>
              <w:pStyle w:val="Tabletext"/>
              <w:jc w:val="left"/>
            </w:pPr>
            <w:r w:rsidRPr="00E061FC">
              <w:t>Adverse, Direct, Temporary (Short-term)</w:t>
            </w:r>
            <w:r w:rsidR="00C115FB">
              <w:t xml:space="preserve"> and long-term</w:t>
            </w:r>
            <w:r w:rsidRPr="00E061FC">
              <w:t>, Local</w:t>
            </w:r>
            <w:r>
              <w:t>.</w:t>
            </w:r>
          </w:p>
        </w:tc>
        <w:tc>
          <w:tcPr>
            <w:tcW w:w="2014" w:type="dxa"/>
            <w:tcBorders>
              <w:bottom w:val="single" w:sz="4" w:space="0" w:color="auto"/>
            </w:tcBorders>
          </w:tcPr>
          <w:p w14:paraId="245E02E0" w14:textId="77777777" w:rsidR="009427AD" w:rsidRPr="00CE4840" w:rsidRDefault="009427AD">
            <w:pPr>
              <w:pStyle w:val="Tabletext"/>
            </w:pPr>
            <w:r w:rsidRPr="00077552">
              <w:t>While there may be impacts on the Proposed Development as a result of climate change (and the combination of the Proposed Development for the ICCI), it is anticipated that the magnitude of these impacts will be managed as necessary</w:t>
            </w:r>
            <w:r>
              <w:t xml:space="preserve"> through embedded mitigation measures.</w:t>
            </w:r>
          </w:p>
        </w:tc>
        <w:tc>
          <w:tcPr>
            <w:tcW w:w="1980" w:type="dxa"/>
            <w:tcBorders>
              <w:bottom w:val="single" w:sz="4" w:space="0" w:color="auto"/>
            </w:tcBorders>
          </w:tcPr>
          <w:p w14:paraId="45A105BE" w14:textId="77777777" w:rsidR="009427AD" w:rsidRDefault="009427AD">
            <w:pPr>
              <w:pStyle w:val="Tabletext"/>
            </w:pPr>
            <w:r>
              <w:t>Not significant</w:t>
            </w:r>
          </w:p>
          <w:p w14:paraId="4D6636F8" w14:textId="77777777" w:rsidR="009427AD" w:rsidRDefault="009427AD">
            <w:pPr>
              <w:pStyle w:val="Tabletext"/>
            </w:pPr>
          </w:p>
          <w:p w14:paraId="6557A5FA" w14:textId="7436FFB8" w:rsidR="009427AD" w:rsidRPr="00CE4840" w:rsidRDefault="009427AD">
            <w:pPr>
              <w:pStyle w:val="Tabletext"/>
              <w:jc w:val="left"/>
            </w:pPr>
            <w:r>
              <w:t xml:space="preserve">Due to the magnitude of the effect, the effect is likely to be </w:t>
            </w:r>
            <w:r w:rsidR="00A91B30">
              <w:t>N</w:t>
            </w:r>
            <w:r>
              <w:t xml:space="preserve">ot </w:t>
            </w:r>
            <w:r w:rsidR="00A91B30">
              <w:t>S</w:t>
            </w:r>
            <w:r>
              <w:t>ignificant.</w:t>
            </w:r>
          </w:p>
        </w:tc>
        <w:tc>
          <w:tcPr>
            <w:tcW w:w="1980" w:type="dxa"/>
            <w:tcBorders>
              <w:bottom w:val="single" w:sz="4" w:space="0" w:color="auto"/>
            </w:tcBorders>
          </w:tcPr>
          <w:p w14:paraId="6E875883" w14:textId="1588A4B8" w:rsidR="009427AD" w:rsidRPr="00CE4840" w:rsidRDefault="009427AD">
            <w:pPr>
              <w:pStyle w:val="Tabletext"/>
              <w:jc w:val="left"/>
            </w:pPr>
            <w:r w:rsidRPr="001F2EA8">
              <w:t xml:space="preserve">Since the likely effects are deemed </w:t>
            </w:r>
            <w:r w:rsidR="00A91B30">
              <w:t>N</w:t>
            </w:r>
            <w:r w:rsidRPr="001F2EA8">
              <w:t xml:space="preserve">ot </w:t>
            </w:r>
            <w:r w:rsidR="00A91B30">
              <w:t>S</w:t>
            </w:r>
            <w:r w:rsidRPr="001F2EA8">
              <w:t xml:space="preserve">ignificant, no additional mitigation measures are </w:t>
            </w:r>
            <w:r>
              <w:t>required</w:t>
            </w:r>
            <w:r w:rsidRPr="001F2EA8">
              <w:t>.</w:t>
            </w:r>
          </w:p>
        </w:tc>
        <w:tc>
          <w:tcPr>
            <w:tcW w:w="1980" w:type="dxa"/>
            <w:tcBorders>
              <w:bottom w:val="single" w:sz="4" w:space="0" w:color="auto"/>
            </w:tcBorders>
          </w:tcPr>
          <w:p w14:paraId="595B7A9F" w14:textId="3623D693" w:rsidR="009427AD" w:rsidRDefault="009427AD">
            <w:pPr>
              <w:pStyle w:val="Tabletext"/>
            </w:pPr>
            <w:r>
              <w:t xml:space="preserve">Not </w:t>
            </w:r>
            <w:r w:rsidR="00A91B30">
              <w:t>S</w:t>
            </w:r>
            <w:r>
              <w:t xml:space="preserve">ignificant </w:t>
            </w:r>
          </w:p>
          <w:p w14:paraId="257C084B" w14:textId="77777777" w:rsidR="009427AD" w:rsidRDefault="009427AD">
            <w:pPr>
              <w:pStyle w:val="Tabletext"/>
            </w:pPr>
          </w:p>
          <w:p w14:paraId="2256F99E" w14:textId="18467932" w:rsidR="009427AD" w:rsidRPr="00CE4840" w:rsidRDefault="009427AD">
            <w:pPr>
              <w:pStyle w:val="Tabletext"/>
              <w:jc w:val="left"/>
            </w:pPr>
          </w:p>
        </w:tc>
      </w:tr>
      <w:tr w:rsidR="009427AD" w:rsidRPr="00CE4840" w14:paraId="5D693B60" w14:textId="77777777">
        <w:trPr>
          <w:trHeight w:val="219"/>
        </w:trPr>
        <w:tc>
          <w:tcPr>
            <w:tcW w:w="2114" w:type="dxa"/>
            <w:tcBorders>
              <w:top w:val="single" w:sz="4" w:space="0" w:color="auto"/>
              <w:bottom w:val="nil"/>
            </w:tcBorders>
          </w:tcPr>
          <w:p w14:paraId="4C4C8B74" w14:textId="77777777" w:rsidR="009427AD" w:rsidRPr="00CE4840" w:rsidRDefault="009427AD">
            <w:pPr>
              <w:pStyle w:val="Tabletext"/>
              <w:jc w:val="left"/>
            </w:pPr>
          </w:p>
        </w:tc>
        <w:tc>
          <w:tcPr>
            <w:tcW w:w="2253" w:type="dxa"/>
            <w:tcBorders>
              <w:top w:val="single" w:sz="4" w:space="0" w:color="auto"/>
              <w:bottom w:val="nil"/>
            </w:tcBorders>
          </w:tcPr>
          <w:p w14:paraId="2F8EBB48" w14:textId="77777777" w:rsidR="009427AD" w:rsidRPr="00CE4840" w:rsidRDefault="009427AD">
            <w:pPr>
              <w:pStyle w:val="Tabletext"/>
              <w:jc w:val="left"/>
            </w:pPr>
          </w:p>
        </w:tc>
        <w:tc>
          <w:tcPr>
            <w:tcW w:w="2532" w:type="dxa"/>
            <w:tcBorders>
              <w:top w:val="single" w:sz="4" w:space="0" w:color="auto"/>
              <w:bottom w:val="nil"/>
            </w:tcBorders>
          </w:tcPr>
          <w:p w14:paraId="11B38057" w14:textId="77777777" w:rsidR="009427AD" w:rsidRPr="00CE4840" w:rsidRDefault="009427AD">
            <w:pPr>
              <w:pStyle w:val="Tabletext"/>
              <w:jc w:val="left"/>
            </w:pPr>
          </w:p>
        </w:tc>
        <w:tc>
          <w:tcPr>
            <w:tcW w:w="2014" w:type="dxa"/>
            <w:tcBorders>
              <w:top w:val="single" w:sz="4" w:space="0" w:color="auto"/>
              <w:bottom w:val="nil"/>
            </w:tcBorders>
          </w:tcPr>
          <w:p w14:paraId="2E4F5283" w14:textId="77777777" w:rsidR="009427AD" w:rsidRPr="00CE4840" w:rsidRDefault="009427AD">
            <w:pPr>
              <w:pStyle w:val="Tabletext"/>
              <w:jc w:val="left"/>
            </w:pPr>
          </w:p>
        </w:tc>
        <w:tc>
          <w:tcPr>
            <w:tcW w:w="1980" w:type="dxa"/>
            <w:tcBorders>
              <w:top w:val="single" w:sz="4" w:space="0" w:color="auto"/>
              <w:bottom w:val="nil"/>
            </w:tcBorders>
          </w:tcPr>
          <w:p w14:paraId="341D3B51" w14:textId="77777777" w:rsidR="009427AD" w:rsidRPr="00CE4840" w:rsidRDefault="009427AD">
            <w:pPr>
              <w:pStyle w:val="Tabletext"/>
              <w:jc w:val="left"/>
            </w:pPr>
          </w:p>
        </w:tc>
        <w:tc>
          <w:tcPr>
            <w:tcW w:w="1980" w:type="dxa"/>
            <w:tcBorders>
              <w:top w:val="single" w:sz="4" w:space="0" w:color="auto"/>
              <w:bottom w:val="nil"/>
            </w:tcBorders>
          </w:tcPr>
          <w:p w14:paraId="60795017" w14:textId="77777777" w:rsidR="009427AD" w:rsidRPr="00CE4840" w:rsidRDefault="009427AD">
            <w:pPr>
              <w:pStyle w:val="Tabletext"/>
              <w:jc w:val="left"/>
            </w:pPr>
          </w:p>
        </w:tc>
        <w:tc>
          <w:tcPr>
            <w:tcW w:w="1980" w:type="dxa"/>
            <w:tcBorders>
              <w:top w:val="single" w:sz="4" w:space="0" w:color="auto"/>
              <w:bottom w:val="nil"/>
            </w:tcBorders>
          </w:tcPr>
          <w:p w14:paraId="29026F01" w14:textId="77777777" w:rsidR="009427AD" w:rsidRPr="00CE4840" w:rsidRDefault="009427AD">
            <w:pPr>
              <w:pStyle w:val="Tabletext"/>
              <w:jc w:val="left"/>
            </w:pPr>
          </w:p>
        </w:tc>
      </w:tr>
    </w:tbl>
    <w:p w14:paraId="5E5D238B" w14:textId="77777777" w:rsidR="009E2459" w:rsidRDefault="009E2459" w:rsidP="00DD06FA">
      <w:pPr>
        <w:pStyle w:val="BodyText"/>
        <w:rPr>
          <w:highlight w:val="yellow"/>
        </w:rPr>
        <w:sectPr w:rsidR="009E2459" w:rsidSect="001B6A0C">
          <w:pgSz w:w="16838" w:h="11906" w:orient="landscape"/>
          <w:pgMar w:top="1418" w:right="1134" w:bottom="1134" w:left="851" w:header="567" w:footer="284" w:gutter="0"/>
          <w:pgNumType w:chapStyle="1"/>
          <w:cols w:space="284"/>
          <w:docGrid w:linePitch="360"/>
        </w:sectPr>
      </w:pPr>
    </w:p>
    <w:p w14:paraId="5E785349" w14:textId="77777777" w:rsidR="009E2459" w:rsidRPr="00DD06FA" w:rsidRDefault="009E2459" w:rsidP="00DD06FA">
      <w:pPr>
        <w:pStyle w:val="BodyText"/>
        <w:rPr>
          <w:highlight w:val="yellow"/>
        </w:rPr>
      </w:pPr>
    </w:p>
    <w:p w14:paraId="71D72F33" w14:textId="7BDFC520" w:rsidR="004745EA" w:rsidRDefault="002C6C0F" w:rsidP="00F425BB">
      <w:pPr>
        <w:pStyle w:val="Heading2"/>
      </w:pPr>
      <w:bookmarkStart w:id="165" w:name="_Toc239776208"/>
      <w:r>
        <w:t>Cumulative Impacts</w:t>
      </w:r>
      <w:bookmarkEnd w:id="165"/>
      <w:r>
        <w:t xml:space="preserve"> </w:t>
      </w:r>
    </w:p>
    <w:p w14:paraId="7E2BABDA" w14:textId="77777777" w:rsidR="008528C4" w:rsidRDefault="008528C4" w:rsidP="008528C4">
      <w:pPr>
        <w:pStyle w:val="Heading3"/>
      </w:pPr>
      <w:bookmarkStart w:id="166" w:name="_Toc239776209"/>
      <w:r w:rsidRPr="008528C4">
        <w:t>Lifecycle GHG Assessment</w:t>
      </w:r>
      <w:bookmarkEnd w:id="166"/>
    </w:p>
    <w:p w14:paraId="404E90BF" w14:textId="51427288" w:rsidR="00A86162" w:rsidRPr="003966D1" w:rsidRDefault="00A91B30" w:rsidP="00A86162">
      <w:pPr>
        <w:pStyle w:val="BodyText"/>
      </w:pPr>
      <w:r>
        <w:t xml:space="preserve">The </w:t>
      </w:r>
      <w:r w:rsidR="00A86162" w:rsidRPr="003966D1">
        <w:t xml:space="preserve">GHG emissions assessment </w:t>
      </w:r>
      <w:r>
        <w:t xml:space="preserve">is </w:t>
      </w:r>
      <w:r w:rsidR="00A86162" w:rsidRPr="003966D1">
        <w:t>inherently cumulative for the following reasons:</w:t>
      </w:r>
    </w:p>
    <w:p w14:paraId="2113D4FE" w14:textId="7D309DF9" w:rsidR="00A86162" w:rsidRPr="003966D1" w:rsidRDefault="00A86162" w:rsidP="00A86162">
      <w:pPr>
        <w:pStyle w:val="BodyText"/>
        <w:numPr>
          <w:ilvl w:val="0"/>
          <w:numId w:val="28"/>
        </w:numPr>
      </w:pPr>
      <w:r w:rsidRPr="003966D1">
        <w:t>The environmental impact arising from GHGs is the aggregation and increased concentration of GHGs within the atmosphere</w:t>
      </w:r>
      <w:r w:rsidR="00A91B30">
        <w:t>;</w:t>
      </w:r>
    </w:p>
    <w:p w14:paraId="10DED371" w14:textId="4D29601A" w:rsidR="00A86162" w:rsidRPr="003966D1" w:rsidRDefault="00A86162" w:rsidP="00A86162">
      <w:pPr>
        <w:pStyle w:val="BodyText"/>
        <w:numPr>
          <w:ilvl w:val="0"/>
          <w:numId w:val="28"/>
        </w:numPr>
      </w:pPr>
      <w:r w:rsidRPr="003966D1">
        <w:t>The location of the emissions source is not relevant to the impact arising from it; any development leading to GHG emissions has the same impact whether it is located near to the Proposed Development or in another region/country</w:t>
      </w:r>
      <w:r w:rsidR="00A91B30">
        <w:t>; and</w:t>
      </w:r>
    </w:p>
    <w:p w14:paraId="4F624E3F" w14:textId="77777777" w:rsidR="00A86162" w:rsidRPr="003966D1" w:rsidRDefault="00A86162" w:rsidP="00A86162">
      <w:pPr>
        <w:pStyle w:val="BodyText"/>
        <w:numPr>
          <w:ilvl w:val="0"/>
          <w:numId w:val="28"/>
        </w:numPr>
      </w:pPr>
      <w:r w:rsidRPr="003966D1">
        <w:t>Impacts on a given location arise from the aggregated GHG levels in the atmosphere, not from the magnitude of GHG emissions in the local area.</w:t>
      </w:r>
    </w:p>
    <w:p w14:paraId="0960A992" w14:textId="702A840D" w:rsidR="00A86162" w:rsidRPr="003966D1" w:rsidRDefault="00A86162" w:rsidP="00A86162">
      <w:pPr>
        <w:pStyle w:val="BodyText"/>
      </w:pPr>
      <w:r w:rsidRPr="003966D1">
        <w:t>Any attempt to compile a cumulative assessment of GHG emissions would have to include all development projects in Ireland (as the impact of GHG is not related to their emission location) and for this reason the approach for managing the cumulative GHG emissions across Ireland is through the adoption of national carbon budgets.</w:t>
      </w:r>
    </w:p>
    <w:p w14:paraId="6A96E002" w14:textId="34299BAE" w:rsidR="00A86162" w:rsidRPr="003966D1" w:rsidRDefault="00A86162" w:rsidP="00A86162">
      <w:pPr>
        <w:pStyle w:val="BodyText"/>
      </w:pPr>
      <w:r w:rsidRPr="003966D1">
        <w:t xml:space="preserve">The inappropriateness of undertaking a cumulative appraisal (other than by contextualising against Carbon Budgets) is reflected in the </w:t>
      </w:r>
      <w:r w:rsidR="00276935" w:rsidRPr="00A7414A">
        <w:t xml:space="preserve">ISEP </w:t>
      </w:r>
      <w:r w:rsidRPr="00A7414A">
        <w:t>GHG assessment guidance</w:t>
      </w:r>
      <w:r w:rsidR="00276935" w:rsidRPr="00A7414A">
        <w:t xml:space="preserve"> (ISEP, 2022)</w:t>
      </w:r>
      <w:r w:rsidRPr="00A7414A">
        <w:t xml:space="preserve">. </w:t>
      </w:r>
      <w:r w:rsidRPr="003966D1">
        <w:t xml:space="preserve">This guidance notes that </w:t>
      </w:r>
      <w:r w:rsidR="00CD58F0">
        <w:t>“</w:t>
      </w:r>
      <w:r w:rsidRPr="003966D1">
        <w:rPr>
          <w:i/>
          <w:iCs/>
        </w:rPr>
        <w:t>effects from specific cumulative projects…should not be individually assessed, as there is no basis for selecting any particular (or more than one) cumulative project that has GHG emissions for assessment over any other</w:t>
      </w:r>
      <w:r w:rsidR="00CD58F0">
        <w:rPr>
          <w:i/>
          <w:iCs/>
        </w:rPr>
        <w:t>”</w:t>
      </w:r>
      <w:r w:rsidRPr="003966D1">
        <w:t>.</w:t>
      </w:r>
      <w:r w:rsidR="00CD58F0">
        <w:t xml:space="preserve"> </w:t>
      </w:r>
      <w:r w:rsidRPr="003966D1">
        <w:t xml:space="preserve">Therefore, the GHG assessment has considered whether the carbon emissions from the Proposed Development will have a material impact on </w:t>
      </w:r>
      <w:r w:rsidR="00CD58F0">
        <w:t xml:space="preserve">Ireland’s </w:t>
      </w:r>
      <w:r w:rsidRPr="003966D1">
        <w:t>ability to meet its carbon reduction target, including its carbon budgets</w:t>
      </w:r>
      <w:r w:rsidR="00CD58F0">
        <w:t xml:space="preserve"> - </w:t>
      </w:r>
      <w:r w:rsidRPr="003966D1">
        <w:t xml:space="preserve">this is presented in </w:t>
      </w:r>
      <w:r w:rsidRPr="00CD58F0">
        <w:t xml:space="preserve">Section </w:t>
      </w:r>
      <w:r w:rsidR="00836C2B" w:rsidRPr="008928B6">
        <w:fldChar w:fldCharType="begin"/>
      </w:r>
      <w:r w:rsidR="00836C2B" w:rsidRPr="00CD58F0">
        <w:instrText xml:space="preserve"> REF _Ref231376664 \r \h  \* MERGEFORMAT </w:instrText>
      </w:r>
      <w:r w:rsidR="00836C2B" w:rsidRPr="008928B6">
        <w:fldChar w:fldCharType="separate"/>
      </w:r>
      <w:r w:rsidR="00D83C6F" w:rsidRPr="00CD58F0">
        <w:t>10.3.</w:t>
      </w:r>
      <w:r w:rsidR="005049F3">
        <w:t>1</w:t>
      </w:r>
      <w:r w:rsidR="00D83C6F" w:rsidRPr="00CD58F0">
        <w:t>.4</w:t>
      </w:r>
      <w:r w:rsidR="00836C2B" w:rsidRPr="008928B6">
        <w:fldChar w:fldCharType="end"/>
      </w:r>
      <w:r w:rsidRPr="00A7414A">
        <w:t>.</w:t>
      </w:r>
    </w:p>
    <w:p w14:paraId="59F09A4C" w14:textId="77777777" w:rsidR="00E33F7F" w:rsidRDefault="00E33F7F" w:rsidP="00E33F7F">
      <w:pPr>
        <w:pStyle w:val="Heading3"/>
      </w:pPr>
      <w:bookmarkStart w:id="167" w:name="_Toc239753002"/>
      <w:bookmarkStart w:id="168" w:name="_Toc239776210"/>
      <w:bookmarkEnd w:id="167"/>
      <w:r w:rsidRPr="00E33F7F">
        <w:t>Climate Change Risk Assessment</w:t>
      </w:r>
      <w:bookmarkEnd w:id="168"/>
      <w:r w:rsidRPr="00E33F7F">
        <w:t xml:space="preserve"> </w:t>
      </w:r>
    </w:p>
    <w:p w14:paraId="741721FE" w14:textId="5318DD9C" w:rsidR="000E270E" w:rsidRPr="00A86162" w:rsidRDefault="000E270E" w:rsidP="00A86162">
      <w:pPr>
        <w:pStyle w:val="BodyText"/>
      </w:pPr>
      <w:r w:rsidRPr="000E270E">
        <w:t>Cumulative effects are not applicable to the CCRA, as the assessment considers the effects of future climate change on the Proposed Development itself.</w:t>
      </w:r>
    </w:p>
    <w:p w14:paraId="350905AC" w14:textId="77777777" w:rsidR="007D676A" w:rsidRDefault="007D676A" w:rsidP="007D676A">
      <w:pPr>
        <w:pStyle w:val="Heading3"/>
      </w:pPr>
      <w:bookmarkStart w:id="169" w:name="_Toc239776211"/>
      <w:r w:rsidRPr="007D676A">
        <w:t>In-combination Climate Change Impact Assessment</w:t>
      </w:r>
      <w:bookmarkEnd w:id="169"/>
    </w:p>
    <w:p w14:paraId="4BBAAEF8" w14:textId="23DD81C3" w:rsidR="00512280" w:rsidRPr="00512280" w:rsidRDefault="00011023" w:rsidP="00512280">
      <w:pPr>
        <w:pStyle w:val="BodyText"/>
      </w:pPr>
      <w:r w:rsidRPr="00011023">
        <w:t xml:space="preserve">Cumulative effects </w:t>
      </w:r>
      <w:r w:rsidR="00457AED">
        <w:t>are not within the scope of an ICCI assessment</w:t>
      </w:r>
      <w:r w:rsidR="008B5CBF">
        <w:t xml:space="preserve"> as it considers the influence of climate change on existing risks identified </w:t>
      </w:r>
      <w:r w:rsidR="00ED342B">
        <w:t>to</w:t>
      </w:r>
      <w:r w:rsidR="008B5CBF">
        <w:t xml:space="preserve"> the surrounding environmental </w:t>
      </w:r>
      <w:r w:rsidR="00ED342B">
        <w:t>receptors</w:t>
      </w:r>
      <w:r w:rsidR="00AE3AFD">
        <w:t xml:space="preserve"> within their respective technical chapters of this ES</w:t>
      </w:r>
      <w:r w:rsidR="00ED342B">
        <w:t>.</w:t>
      </w:r>
    </w:p>
    <w:p w14:paraId="2717D2E7" w14:textId="6958606E" w:rsidR="007D676A" w:rsidRDefault="007D676A" w:rsidP="007D676A">
      <w:pPr>
        <w:pStyle w:val="Heading2"/>
      </w:pPr>
      <w:bookmarkStart w:id="170" w:name="_Toc239776212"/>
      <w:r>
        <w:t>Summary</w:t>
      </w:r>
      <w:bookmarkEnd w:id="170"/>
    </w:p>
    <w:p w14:paraId="483D53AB" w14:textId="77777777" w:rsidR="00EC1B1B" w:rsidRDefault="00EC1B1B" w:rsidP="00EC1B1B">
      <w:pPr>
        <w:pStyle w:val="Heading3"/>
      </w:pPr>
      <w:bookmarkStart w:id="171" w:name="_Toc239776213"/>
      <w:r w:rsidRPr="00EC1B1B">
        <w:t>Lifecycle GHG Assessment</w:t>
      </w:r>
      <w:bookmarkEnd w:id="171"/>
    </w:p>
    <w:p w14:paraId="2DFD59BE" w14:textId="1D5CFABB" w:rsidR="006B70B1" w:rsidRDefault="006B70B1" w:rsidP="006B70B1">
      <w:pPr>
        <w:pStyle w:val="BodyText"/>
      </w:pPr>
      <w:r w:rsidRPr="00A7414A">
        <w:t xml:space="preserve">The significance of </w:t>
      </w:r>
      <w:r w:rsidR="00196365">
        <w:t xml:space="preserve">the </w:t>
      </w:r>
      <w:r w:rsidRPr="00A7414A">
        <w:t xml:space="preserve">GHG </w:t>
      </w:r>
      <w:r w:rsidR="00196365">
        <w:t>emissions</w:t>
      </w:r>
      <w:r w:rsidR="00196365" w:rsidRPr="00A7414A">
        <w:t xml:space="preserve"> </w:t>
      </w:r>
      <w:r w:rsidRPr="00A7414A">
        <w:t>resulting from the Proposed Development has been evaluated via a qualitative assessment against known policy and best practice. This approach is consistent with the guidance published by ISEP</w:t>
      </w:r>
      <w:r w:rsidR="00276935" w:rsidRPr="00A7414A">
        <w:t xml:space="preserve"> (202</w:t>
      </w:r>
      <w:r w:rsidR="00166C14" w:rsidRPr="00A7414A">
        <w:t>6</w:t>
      </w:r>
      <w:r w:rsidR="00F819DA" w:rsidRPr="00A7414A">
        <w:t>)</w:t>
      </w:r>
      <w:r w:rsidRPr="00A7414A">
        <w:t>.</w:t>
      </w:r>
    </w:p>
    <w:p w14:paraId="030E9898" w14:textId="7E11BDAF" w:rsidR="00C93BC3" w:rsidRPr="00C93BC3" w:rsidRDefault="00A16793" w:rsidP="006B70B1">
      <w:pPr>
        <w:pStyle w:val="BodyText"/>
      </w:pPr>
      <w:r>
        <w:t xml:space="preserve">The climate impact of the Proposed Development is considered to be </w:t>
      </w:r>
      <w:r w:rsidRPr="008928B6">
        <w:t>Minor Adverse and Not Significant</w:t>
      </w:r>
      <w:r>
        <w:t xml:space="preserve"> </w:t>
      </w:r>
      <w:r w:rsidR="003573C0">
        <w:t xml:space="preserve">due to the mitigation measures outlined in </w:t>
      </w:r>
      <w:r w:rsidR="003573C0" w:rsidRPr="008928B6">
        <w:t xml:space="preserve">Section </w:t>
      </w:r>
      <w:r w:rsidR="003573C0" w:rsidRPr="008928B6">
        <w:fldChar w:fldCharType="begin"/>
      </w:r>
      <w:r w:rsidR="003573C0" w:rsidRPr="008928B6">
        <w:instrText xml:space="preserve"> REF _Ref232587447 \r \h  \* MERGEFORMAT </w:instrText>
      </w:r>
      <w:r w:rsidR="003573C0" w:rsidRPr="008928B6">
        <w:fldChar w:fldCharType="separate"/>
      </w:r>
      <w:r w:rsidR="00D83C6F">
        <w:t>10.5.1</w:t>
      </w:r>
      <w:r w:rsidR="003573C0" w:rsidRPr="008928B6">
        <w:fldChar w:fldCharType="end"/>
      </w:r>
      <w:r w:rsidR="003573C0" w:rsidRPr="008928B6">
        <w:t xml:space="preserve"> </w:t>
      </w:r>
      <w:r w:rsidR="003573C0" w:rsidRPr="00533D2D">
        <w:t xml:space="preserve">and the </w:t>
      </w:r>
      <w:r w:rsidR="003573C0" w:rsidRPr="003573C0">
        <w:t>negligible</w:t>
      </w:r>
      <w:r w:rsidR="003573C0" w:rsidRPr="00533D2D">
        <w:t xml:space="preserve"> impact it will have on Ireland’s ability to achieve its net-zero goals.</w:t>
      </w:r>
      <w:r w:rsidR="00123249">
        <w:t xml:space="preserve"> </w:t>
      </w:r>
      <w:r w:rsidR="006B70B1" w:rsidRPr="00A7414A">
        <w:t>Furthermore, the Climate Action Plan (2025) (</w:t>
      </w:r>
      <w:r w:rsidR="00F819DA" w:rsidRPr="00A7414A">
        <w:t>Government of Ireland, 2025</w:t>
      </w:r>
      <w:r w:rsidR="006B70B1" w:rsidRPr="00533D2D">
        <w:t>) sets out a preliminary net zero pathway for the Buil</w:t>
      </w:r>
      <w:r w:rsidR="001F23D2" w:rsidRPr="00533D2D">
        <w:t>t Environment – Residential</w:t>
      </w:r>
      <w:r w:rsidR="006B70B1" w:rsidRPr="00533D2D">
        <w:t xml:space="preserve"> Sector, providing </w:t>
      </w:r>
      <w:r w:rsidR="00986FFA" w:rsidRPr="00986FFA">
        <w:t xml:space="preserve">a policy framework for emissions reductions within the </w:t>
      </w:r>
      <w:r w:rsidR="00457AED">
        <w:t>sector</w:t>
      </w:r>
      <w:r w:rsidR="006B70B1" w:rsidRPr="00533D2D">
        <w:t>.</w:t>
      </w:r>
    </w:p>
    <w:p w14:paraId="024F807A" w14:textId="36C26995" w:rsidR="00A0242E" w:rsidRDefault="00A0242E" w:rsidP="00A0242E">
      <w:pPr>
        <w:pStyle w:val="Heading3"/>
      </w:pPr>
      <w:bookmarkStart w:id="172" w:name="_Toc239776214"/>
      <w:r w:rsidRPr="00A0242E">
        <w:t>Climate Change Risk Assessment</w:t>
      </w:r>
      <w:bookmarkEnd w:id="172"/>
      <w:r w:rsidRPr="00A0242E">
        <w:t xml:space="preserve"> </w:t>
      </w:r>
    </w:p>
    <w:p w14:paraId="0BA5C0EC" w14:textId="22A95134" w:rsidR="00FF37A8" w:rsidRPr="00753036" w:rsidRDefault="00123249" w:rsidP="00753036">
      <w:pPr>
        <w:pStyle w:val="BodyText"/>
      </w:pPr>
      <w:r>
        <w:t>T</w:t>
      </w:r>
      <w:r w:rsidR="00753036" w:rsidRPr="007C3F5E">
        <w:t>he CCRA</w:t>
      </w:r>
      <w:r>
        <w:t xml:space="preserve"> has identified </w:t>
      </w:r>
      <w:r w:rsidR="00753036" w:rsidRPr="007C3F5E">
        <w:t xml:space="preserve">a number of climate risks </w:t>
      </w:r>
      <w:r>
        <w:t xml:space="preserve">during </w:t>
      </w:r>
      <w:r w:rsidR="00753036" w:rsidRPr="007C3F5E">
        <w:t xml:space="preserve">the construction and operational phases of the Proposed Development. A total of </w:t>
      </w:r>
      <w:r w:rsidR="00AD4387" w:rsidRPr="00D67AAB">
        <w:t>1</w:t>
      </w:r>
      <w:r w:rsidR="00266543" w:rsidRPr="008928B6">
        <w:t>6</w:t>
      </w:r>
      <w:r w:rsidR="00AD4387" w:rsidRPr="007C3F5E">
        <w:t xml:space="preserve"> </w:t>
      </w:r>
      <w:r w:rsidR="00753036" w:rsidRPr="007C3F5E">
        <w:t xml:space="preserve">climate risks were identified, with the overarching climate risks relating </w:t>
      </w:r>
      <w:r w:rsidR="00753036" w:rsidRPr="007C3F5E">
        <w:lastRenderedPageBreak/>
        <w:t xml:space="preserve">to </w:t>
      </w:r>
      <w:r w:rsidR="00022168" w:rsidRPr="007C3F5E">
        <w:t xml:space="preserve">flooding </w:t>
      </w:r>
      <w:r w:rsidR="00753036" w:rsidRPr="007C3F5E">
        <w:t xml:space="preserve">and storm events. The initial risk rating took into account any existing embedded controls, as those climate risks which did not have embedded controls were generally rated higher than those which did. </w:t>
      </w:r>
      <w:r w:rsidR="00EA0E14" w:rsidRPr="007C3F5E">
        <w:t>One significant climate risk was identified</w:t>
      </w:r>
      <w:r w:rsidR="00973EFC" w:rsidRPr="007C3F5E">
        <w:t xml:space="preserve">, </w:t>
      </w:r>
      <w:r w:rsidR="00B97E56">
        <w:t xml:space="preserve">namely </w:t>
      </w:r>
      <w:r w:rsidR="00973EFC" w:rsidRPr="007C3F5E">
        <w:t>storm events. However, through recommended adaptation measures</w:t>
      </w:r>
      <w:r w:rsidR="00441928">
        <w:t xml:space="preserve"> described in Section </w:t>
      </w:r>
      <w:r w:rsidR="00441928">
        <w:fldChar w:fldCharType="begin"/>
      </w:r>
      <w:r w:rsidR="00441928">
        <w:instrText xml:space="preserve"> REF _Ref239754727 \n \h </w:instrText>
      </w:r>
      <w:r w:rsidR="00441928">
        <w:fldChar w:fldCharType="separate"/>
      </w:r>
      <w:r w:rsidR="00441928">
        <w:t>10.7</w:t>
      </w:r>
      <w:r w:rsidR="00441928">
        <w:fldChar w:fldCharType="end"/>
      </w:r>
      <w:r w:rsidR="00973EFC" w:rsidRPr="007C3F5E">
        <w:t xml:space="preserve">, </w:t>
      </w:r>
      <w:r w:rsidR="00B97E56">
        <w:t xml:space="preserve">the residual effect is </w:t>
      </w:r>
      <w:r w:rsidR="00973EFC" w:rsidRPr="007C3F5E">
        <w:t xml:space="preserve">deemed </w:t>
      </w:r>
      <w:r w:rsidR="00B97E56">
        <w:t>to be Not S</w:t>
      </w:r>
      <w:r w:rsidR="00FF37A8" w:rsidRPr="007C3F5E">
        <w:t>ignificant.</w:t>
      </w:r>
      <w:r w:rsidR="00EA0E14">
        <w:t xml:space="preserve"> </w:t>
      </w:r>
    </w:p>
    <w:p w14:paraId="21F3F048" w14:textId="77777777" w:rsidR="00DA37F7" w:rsidRDefault="00DA37F7">
      <w:pPr>
        <w:pStyle w:val="Heading3"/>
      </w:pPr>
      <w:bookmarkStart w:id="173" w:name="_Toc239776215"/>
      <w:r w:rsidRPr="00DA37F7">
        <w:t>In-combination Climate Change Impact Assessment</w:t>
      </w:r>
      <w:bookmarkEnd w:id="173"/>
    </w:p>
    <w:p w14:paraId="4B8E5545" w14:textId="549CF27C" w:rsidR="007D676A" w:rsidRDefault="00EB458D" w:rsidP="00EB458D">
      <w:pPr>
        <w:pStyle w:val="BodyText"/>
      </w:pPr>
      <w:r w:rsidRPr="00EA3449">
        <w:t xml:space="preserve">The ICCI Assessment identified a total of </w:t>
      </w:r>
      <w:r w:rsidR="00AA3251" w:rsidRPr="00D67AAB">
        <w:t>16</w:t>
      </w:r>
      <w:r w:rsidR="00AA3251" w:rsidRPr="00EA3449">
        <w:t xml:space="preserve"> potential</w:t>
      </w:r>
      <w:r w:rsidR="00961FC8" w:rsidRPr="00EA3449">
        <w:t xml:space="preserve"> </w:t>
      </w:r>
      <w:r w:rsidRPr="00EA3449">
        <w:t xml:space="preserve">impacts, none of which were found to be </w:t>
      </w:r>
      <w:r w:rsidR="00B97E56">
        <w:t>S</w:t>
      </w:r>
      <w:r w:rsidRPr="00EA3449">
        <w:t>ignificant.</w:t>
      </w:r>
    </w:p>
    <w:p w14:paraId="152C5C73" w14:textId="4152FBF7" w:rsidR="00533D2D" w:rsidRPr="00890758" w:rsidRDefault="00533D2D" w:rsidP="00890758">
      <w:pPr>
        <w:tabs>
          <w:tab w:val="clear" w:pos="284"/>
        </w:tabs>
        <w:spacing w:line="240" w:lineRule="auto"/>
        <w:jc w:val="left"/>
        <w:rPr>
          <w:highlight w:val="cyan"/>
        </w:rPr>
      </w:pPr>
      <w:r>
        <w:rPr>
          <w:highlight w:val="cyan"/>
        </w:rPr>
        <w:br w:type="page"/>
      </w:r>
    </w:p>
    <w:p w14:paraId="52C3C550" w14:textId="34D4332B" w:rsidR="00DA37F7" w:rsidRDefault="00DA37F7" w:rsidP="00DA37F7">
      <w:pPr>
        <w:pStyle w:val="Heading2"/>
      </w:pPr>
      <w:bookmarkStart w:id="174" w:name="_Toc239776216"/>
      <w:r>
        <w:lastRenderedPageBreak/>
        <w:t>References</w:t>
      </w:r>
      <w:bookmarkEnd w:id="174"/>
    </w:p>
    <w:p w14:paraId="0D0299AA" w14:textId="77777777" w:rsidR="008A619A" w:rsidRDefault="008A619A" w:rsidP="008A619A">
      <w:pPr>
        <w:pStyle w:val="BodyText"/>
      </w:pPr>
      <w:r>
        <w:t xml:space="preserve">British Standards Institution (2023). Publicly Available Standard 2080:2023 </w:t>
      </w:r>
      <w:r w:rsidRPr="00D25C52">
        <w:rPr>
          <w:i/>
          <w:iCs/>
        </w:rPr>
        <w:t>Carbon Management in Buildings and Infrastructure</w:t>
      </w:r>
      <w:r>
        <w:rPr>
          <w:i/>
          <w:iCs/>
        </w:rPr>
        <w:t>.</w:t>
      </w:r>
      <w:r>
        <w:t xml:space="preserve"> Available at: </w:t>
      </w:r>
      <w:hyperlink r:id="rId27" w:history="1">
        <w:r w:rsidRPr="00DC0A21">
          <w:rPr>
            <w:rStyle w:val="Hyperlink"/>
          </w:rPr>
          <w:t>pas_2080.pdf</w:t>
        </w:r>
      </w:hyperlink>
    </w:p>
    <w:p w14:paraId="7F1ECA6B" w14:textId="16A93050" w:rsidR="00447CB7" w:rsidRDefault="00447CB7" w:rsidP="00285824">
      <w:pPr>
        <w:pStyle w:val="BodyText"/>
      </w:pPr>
      <w:r w:rsidRPr="00447CB7">
        <w:t xml:space="preserve">Department of the Taoiseach (2022). Government announces sectoral emissions ceilings, setting Ireland on a pathway to turn the tide on climate change. Available at: </w:t>
      </w:r>
      <w:hyperlink r:id="rId28" w:history="1">
        <w:r w:rsidRPr="00E957FA">
          <w:rPr>
            <w:rStyle w:val="Hyperlink"/>
          </w:rPr>
          <w:t>https://www.gov.ie/en/press-release/dab6d-government-announces-sectoral-emissions-ceilings-setting-ireland-on-a-pathway-to-turn-the-tide-on-climate-change/</w:t>
        </w:r>
      </w:hyperlink>
      <w:r w:rsidR="00E957FA">
        <w:t xml:space="preserve"> </w:t>
      </w:r>
    </w:p>
    <w:p w14:paraId="2E3782FB" w14:textId="5322E215" w:rsidR="008A619A" w:rsidRDefault="008A619A" w:rsidP="008A619A">
      <w:pPr>
        <w:pStyle w:val="BodyText"/>
      </w:pPr>
      <w:r w:rsidRPr="0024334F">
        <w:t xml:space="preserve">Environmental Protection Agency </w:t>
      </w:r>
      <w:r>
        <w:t xml:space="preserve">(EPA) </w:t>
      </w:r>
      <w:r w:rsidRPr="0024334F">
        <w:t xml:space="preserve">(n.d.). Climate Ireland. Available at: </w:t>
      </w:r>
      <w:hyperlink r:id="rId29" w:history="1">
        <w:r w:rsidRPr="0024334F">
          <w:rPr>
            <w:rStyle w:val="Hyperlink"/>
          </w:rPr>
          <w:t>Climate Ireland</w:t>
        </w:r>
      </w:hyperlink>
    </w:p>
    <w:p w14:paraId="11FCEF07" w14:textId="22184D71" w:rsidR="00285824" w:rsidRDefault="00285824" w:rsidP="00285824">
      <w:pPr>
        <w:pStyle w:val="BodyText"/>
      </w:pPr>
      <w:r>
        <w:t xml:space="preserve">EPA (2022). </w:t>
      </w:r>
      <w:r w:rsidRPr="004E271D">
        <w:t>Guidelines on the Information to be Contained in Environmental Impact Assessment Reports (EIAR)</w:t>
      </w:r>
      <w:r>
        <w:t xml:space="preserve">. Available at: </w:t>
      </w:r>
      <w:hyperlink r:id="rId30" w:history="1">
        <w:r w:rsidRPr="004E271D">
          <w:rPr>
            <w:rStyle w:val="Hyperlink"/>
          </w:rPr>
          <w:t>Guidelines on the information to be contained in Environmental Impact Assessment Reports (EIAR)</w:t>
        </w:r>
      </w:hyperlink>
    </w:p>
    <w:p w14:paraId="2F6AA1DB" w14:textId="08172B18" w:rsidR="00285824" w:rsidRPr="00CD67AC" w:rsidRDefault="00285824" w:rsidP="00285824">
      <w:pPr>
        <w:pStyle w:val="BodyText"/>
      </w:pPr>
      <w:r>
        <w:t xml:space="preserve">European Union (2003). </w:t>
      </w:r>
      <w:r w:rsidRPr="00F8744A">
        <w:t>Directive 2003/87/EC of the European Parliament and of the Council of 13 October 2003 establishing a scheme for greenhouse gas emission allowance trading within the Community and amending Council Directive 96/61/EC</w:t>
      </w:r>
      <w:r>
        <w:t xml:space="preserve">. Available at: </w:t>
      </w:r>
      <w:hyperlink r:id="rId31" w:history="1">
        <w:r w:rsidRPr="00F8744A">
          <w:rPr>
            <w:rStyle w:val="Hyperlink"/>
          </w:rPr>
          <w:t>Directive - 2003/87 - EN - EUR-Lex</w:t>
        </w:r>
      </w:hyperlink>
    </w:p>
    <w:p w14:paraId="28D01EE2" w14:textId="62E7897A" w:rsidR="00285824" w:rsidRDefault="00285824" w:rsidP="00285824">
      <w:pPr>
        <w:pStyle w:val="BodyText"/>
      </w:pPr>
      <w:r>
        <w:t xml:space="preserve">European Union (2018). </w:t>
      </w:r>
      <w:r w:rsidRPr="00933059">
        <w:t>S.I. No. 296/2018 - European Union (Planning and Development) (Environmental Impact Assessment) Regulations 2018</w:t>
      </w:r>
      <w:r>
        <w:t xml:space="preserve">. Available at: </w:t>
      </w:r>
      <w:hyperlink r:id="rId32" w:history="1">
        <w:r w:rsidRPr="00933059">
          <w:rPr>
            <w:rStyle w:val="Hyperlink"/>
          </w:rPr>
          <w:t>S.I. No. 296/2018 - European Union (Planning and Development) (Environmental Impact Assessment) Regulations 2018</w:t>
        </w:r>
      </w:hyperlink>
    </w:p>
    <w:p w14:paraId="533D9326" w14:textId="640A59CE" w:rsidR="00285824" w:rsidRDefault="00285824" w:rsidP="00285824">
      <w:pPr>
        <w:pStyle w:val="BodyText"/>
      </w:pPr>
      <w:r>
        <w:t xml:space="preserve">European Commission (2019). The European Green Deal. Available at: </w:t>
      </w:r>
      <w:hyperlink r:id="rId33" w:history="1">
        <w:r w:rsidRPr="00F476C2">
          <w:rPr>
            <w:rStyle w:val="Hyperlink"/>
          </w:rPr>
          <w:t>The European Green Deal - European Commission</w:t>
        </w:r>
      </w:hyperlink>
    </w:p>
    <w:p w14:paraId="7C430AD8" w14:textId="114C9392" w:rsidR="00285824" w:rsidRDefault="00285824" w:rsidP="00285824">
      <w:pPr>
        <w:pStyle w:val="BodyText"/>
      </w:pPr>
      <w:r>
        <w:t xml:space="preserve">European Commission (2021a). </w:t>
      </w:r>
      <w:r w:rsidRPr="00FC7156">
        <w:t>Regulation (EU) 2021/1119 of the European Parliament and of the Council of 30 June 2021 establishing the framework for achieving climate neutrality and amending Regulations (EC) No 401/2009 and (EU) 2018/1999 (‘European Climate Law’)</w:t>
      </w:r>
      <w:r>
        <w:t xml:space="preserve">. Available at: </w:t>
      </w:r>
      <w:hyperlink r:id="rId34" w:history="1">
        <w:r w:rsidRPr="00C71F0A">
          <w:rPr>
            <w:rStyle w:val="Hyperlink"/>
          </w:rPr>
          <w:t>Regulation - 2021/1119 - EN - EUR-Lex</w:t>
        </w:r>
      </w:hyperlink>
    </w:p>
    <w:p w14:paraId="3303EBD8" w14:textId="6406C059" w:rsidR="00285824" w:rsidRDefault="00285824" w:rsidP="00285824">
      <w:pPr>
        <w:pStyle w:val="BodyText"/>
      </w:pPr>
      <w:r>
        <w:t xml:space="preserve">European Commission (2021b). Forging a climate-resilient Europe - the new EU Strategy on Adaptation to Climate Change. Available at: </w:t>
      </w:r>
      <w:hyperlink r:id="rId35" w:history="1">
        <w:r w:rsidRPr="00CD7ABF">
          <w:rPr>
            <w:rStyle w:val="Hyperlink"/>
          </w:rPr>
          <w:t>eur-lex.europa.eu/legal-content/EN/TXT/PDF/?uri=CELEX:52021DC0082</w:t>
        </w:r>
      </w:hyperlink>
    </w:p>
    <w:p w14:paraId="387B7C2F" w14:textId="1C6A5228" w:rsidR="00285824" w:rsidRDefault="00285824" w:rsidP="00285824">
      <w:pPr>
        <w:pStyle w:val="BodyText"/>
      </w:pPr>
      <w:r>
        <w:t xml:space="preserve">European Commission (2021c). Fit for 55: Delivering on the proposals. Available at: </w:t>
      </w:r>
      <w:hyperlink r:id="rId36" w:history="1">
        <w:r w:rsidRPr="000F4805">
          <w:rPr>
            <w:rStyle w:val="Hyperlink"/>
          </w:rPr>
          <w:t>Fit for 55: Delivering on the proposals - European Commission</w:t>
        </w:r>
      </w:hyperlink>
    </w:p>
    <w:p w14:paraId="7457F22F" w14:textId="37A37839" w:rsidR="00285824" w:rsidRDefault="00285824" w:rsidP="00285824">
      <w:pPr>
        <w:pStyle w:val="BodyText"/>
      </w:pPr>
      <w:r>
        <w:t xml:space="preserve">European Commission (2021d). EC Technical Guidance on Climate Proofing of Infrastructure. Available at: </w:t>
      </w:r>
      <w:hyperlink r:id="rId37" w:history="1">
        <w:r w:rsidRPr="00AF7598">
          <w:rPr>
            <w:rStyle w:val="Hyperlink"/>
          </w:rPr>
          <w:t>CIPR - EC Technical Guidance on Climate Proofing of Infrastructure</w:t>
        </w:r>
      </w:hyperlink>
    </w:p>
    <w:p w14:paraId="04B96F20" w14:textId="01B6C651" w:rsidR="005F21E9" w:rsidRPr="00A7414A" w:rsidRDefault="005F21E9" w:rsidP="00A7414A">
      <w:pPr>
        <w:pStyle w:val="Heading5"/>
        <w:rPr>
          <w:rFonts w:asciiTheme="minorHAnsi" w:eastAsiaTheme="minorHAnsi" w:hAnsiTheme="minorHAnsi" w:cstheme="minorBidi"/>
          <w:b w:val="0"/>
          <w:color w:val="auto"/>
        </w:rPr>
      </w:pPr>
      <w:r>
        <w:rPr>
          <w:rFonts w:asciiTheme="minorHAnsi" w:eastAsiaTheme="minorHAnsi" w:hAnsiTheme="minorHAnsi" w:cstheme="minorBidi"/>
          <w:b w:val="0"/>
          <w:color w:val="auto"/>
        </w:rPr>
        <w:t xml:space="preserve">European </w:t>
      </w:r>
      <w:r w:rsidR="00DC765D">
        <w:rPr>
          <w:rFonts w:asciiTheme="minorHAnsi" w:eastAsiaTheme="minorHAnsi" w:hAnsiTheme="minorHAnsi" w:cstheme="minorBidi"/>
          <w:b w:val="0"/>
          <w:color w:val="auto"/>
        </w:rPr>
        <w:t>Commission</w:t>
      </w:r>
      <w:r>
        <w:rPr>
          <w:rFonts w:asciiTheme="minorHAnsi" w:eastAsiaTheme="minorHAnsi" w:hAnsiTheme="minorHAnsi" w:cstheme="minorBidi"/>
          <w:b w:val="0"/>
          <w:color w:val="auto"/>
        </w:rPr>
        <w:t xml:space="preserve"> (2024) </w:t>
      </w:r>
      <w:r w:rsidRPr="00A7414A">
        <w:rPr>
          <w:rFonts w:asciiTheme="minorHAnsi" w:eastAsiaTheme="minorHAnsi" w:hAnsiTheme="minorHAnsi" w:cstheme="minorBidi"/>
          <w:b w:val="0"/>
          <w:color w:val="auto"/>
        </w:rPr>
        <w:t>Directive (EU) 2024/1275 of the European Parliament and of the Council of 24 April 2024 on the energy performance of buildings (recast)</w:t>
      </w:r>
      <w:r>
        <w:rPr>
          <w:rFonts w:asciiTheme="minorHAnsi" w:eastAsiaTheme="minorHAnsi" w:hAnsiTheme="minorHAnsi" w:cstheme="minorBidi"/>
          <w:b w:val="0"/>
          <w:color w:val="auto"/>
        </w:rPr>
        <w:t xml:space="preserve">. </w:t>
      </w:r>
      <w:r w:rsidR="00EE0677">
        <w:rPr>
          <w:rFonts w:asciiTheme="minorHAnsi" w:eastAsiaTheme="minorHAnsi" w:hAnsiTheme="minorHAnsi" w:cstheme="minorBidi"/>
          <w:b w:val="0"/>
          <w:color w:val="auto"/>
        </w:rPr>
        <w:t>Available</w:t>
      </w:r>
      <w:r>
        <w:rPr>
          <w:rFonts w:asciiTheme="minorHAnsi" w:eastAsiaTheme="minorHAnsi" w:hAnsiTheme="minorHAnsi" w:cstheme="minorBidi"/>
          <w:b w:val="0"/>
          <w:color w:val="auto"/>
        </w:rPr>
        <w:t xml:space="preserve"> at:</w:t>
      </w:r>
      <w:r w:rsidR="00DC765D">
        <w:rPr>
          <w:rFonts w:asciiTheme="minorHAnsi" w:eastAsiaTheme="minorHAnsi" w:hAnsiTheme="minorHAnsi" w:cstheme="minorBidi"/>
          <w:b w:val="0"/>
          <w:color w:val="auto"/>
        </w:rPr>
        <w:t xml:space="preserve"> </w:t>
      </w:r>
      <w:hyperlink r:id="rId38" w:history="1">
        <w:r w:rsidR="00DC765D" w:rsidRPr="00DC765D">
          <w:rPr>
            <w:rStyle w:val="Hyperlink"/>
            <w:rFonts w:asciiTheme="minorHAnsi" w:eastAsiaTheme="minorHAnsi" w:hAnsiTheme="minorHAnsi" w:cstheme="minorBidi"/>
            <w:b w:val="0"/>
          </w:rPr>
          <w:t>Nearly-zero energy and zero-emission buildings - European Commission</w:t>
        </w:r>
      </w:hyperlink>
    </w:p>
    <w:p w14:paraId="303FD45D" w14:textId="25BFA28F" w:rsidR="00074AE3" w:rsidRDefault="00074AE3" w:rsidP="00285824">
      <w:pPr>
        <w:pStyle w:val="BodyText"/>
      </w:pPr>
      <w:r>
        <w:t>Future Homes Hub (2025).</w:t>
      </w:r>
      <w:r w:rsidR="00B3288B">
        <w:t xml:space="preserve"> Carbon calculator.</w:t>
      </w:r>
      <w:r>
        <w:t xml:space="preserve"> </w:t>
      </w:r>
      <w:r w:rsidR="009A1945">
        <w:t xml:space="preserve">Available at: </w:t>
      </w:r>
      <w:hyperlink r:id="rId39" w:history="1">
        <w:r w:rsidR="00B3288B" w:rsidRPr="00B3288B">
          <w:rPr>
            <w:rStyle w:val="Hyperlink"/>
          </w:rPr>
          <w:t>Future Homes Hub | Whole-Life Carbon Assessment Tool</w:t>
        </w:r>
      </w:hyperlink>
    </w:p>
    <w:p w14:paraId="6CF2F07B" w14:textId="07A98609" w:rsidR="00285824" w:rsidRDefault="00285824" w:rsidP="00285824">
      <w:pPr>
        <w:pStyle w:val="BodyText"/>
      </w:pPr>
      <w:r>
        <w:t xml:space="preserve">Government of Ireland (2013). </w:t>
      </w:r>
      <w:r w:rsidRPr="00AC1D73">
        <w:t>S.I. No. 291/2013 - Safety, Health and Welfare at Work (Construction) Regulations 2013.</w:t>
      </w:r>
      <w:r>
        <w:t xml:space="preserve"> Available at: </w:t>
      </w:r>
      <w:hyperlink r:id="rId40" w:history="1">
        <w:r w:rsidRPr="00894311">
          <w:rPr>
            <w:rStyle w:val="Hyperlink"/>
          </w:rPr>
          <w:t>S.I. No. 291/2013 - Safety, Health and Welfare at Work (Construction) Regulations 2013.</w:t>
        </w:r>
      </w:hyperlink>
    </w:p>
    <w:p w14:paraId="483CF1E8" w14:textId="2AF311BA" w:rsidR="00320817" w:rsidRDefault="00320817" w:rsidP="00285824">
      <w:pPr>
        <w:pStyle w:val="BodyText"/>
      </w:pPr>
      <w:r>
        <w:t xml:space="preserve">Government of Ireland (2019) The Planning System and Flood Risk Management. </w:t>
      </w:r>
      <w:r w:rsidR="00E73D99">
        <w:t>Available</w:t>
      </w:r>
      <w:r>
        <w:t xml:space="preserve"> at:</w:t>
      </w:r>
      <w:r w:rsidR="00E73D99">
        <w:t xml:space="preserve"> </w:t>
      </w:r>
      <w:hyperlink r:id="rId41" w:history="1">
        <w:r w:rsidR="00E73D99" w:rsidRPr="00E73D99">
          <w:rPr>
            <w:rStyle w:val="Hyperlink"/>
          </w:rPr>
          <w:t>the-planning-system-and-flood-risk-management-guidelines-for-planning-authorities-nov-.pdf</w:t>
        </w:r>
      </w:hyperlink>
    </w:p>
    <w:p w14:paraId="3F007ED1" w14:textId="2A9E285D" w:rsidR="00285824" w:rsidRDefault="00285824" w:rsidP="00285824">
      <w:pPr>
        <w:pStyle w:val="BodyText"/>
      </w:pPr>
      <w:r>
        <w:t xml:space="preserve">Government of Ireland (2021). </w:t>
      </w:r>
      <w:r w:rsidRPr="00F77578">
        <w:t>The Climate Action and Low Carbon Development (Amendment) Act 2021</w:t>
      </w:r>
      <w:r>
        <w:t xml:space="preserve">. Available at: </w:t>
      </w:r>
      <w:hyperlink r:id="rId42" w:history="1">
        <w:r w:rsidRPr="00F77578">
          <w:rPr>
            <w:rStyle w:val="Hyperlink"/>
          </w:rPr>
          <w:t>Revised Acts | Law Reform</w:t>
        </w:r>
      </w:hyperlink>
    </w:p>
    <w:p w14:paraId="110DF391" w14:textId="7BED4104" w:rsidR="00285824" w:rsidRDefault="00285824" w:rsidP="00285824">
      <w:pPr>
        <w:pStyle w:val="BodyText"/>
      </w:pPr>
      <w:r>
        <w:t>Government of Ireland (2022</w:t>
      </w:r>
      <w:r w:rsidR="001C3814">
        <w:t>a</w:t>
      </w:r>
      <w:r>
        <w:t xml:space="preserve">). Carbon Budgets. Available at: </w:t>
      </w:r>
      <w:hyperlink r:id="rId43" w:history="1">
        <w:r w:rsidRPr="00720EE0">
          <w:rPr>
            <w:rStyle w:val="Hyperlink"/>
          </w:rPr>
          <w:t>carbon-budgets.pdf</w:t>
        </w:r>
      </w:hyperlink>
    </w:p>
    <w:p w14:paraId="77A35E6E" w14:textId="659964D0" w:rsidR="001C3814" w:rsidRDefault="001C3814" w:rsidP="00285824">
      <w:pPr>
        <w:pStyle w:val="BodyText"/>
      </w:pPr>
      <w:r>
        <w:t xml:space="preserve">Government of Ireland (2022b). Sectoral Emissions Ceilings. Available at: </w:t>
      </w:r>
      <w:hyperlink r:id="rId44" w:history="1">
        <w:r w:rsidRPr="001C3814">
          <w:rPr>
            <w:rStyle w:val="Hyperlink"/>
          </w:rPr>
          <w:t>Clean version 14 09 2022 Sectoral Emissions Ceilings Summary report</w:t>
        </w:r>
      </w:hyperlink>
    </w:p>
    <w:p w14:paraId="5F45BAC5" w14:textId="263D9203" w:rsidR="00285824" w:rsidRDefault="00285824" w:rsidP="00285824">
      <w:pPr>
        <w:pStyle w:val="BodyText"/>
      </w:pPr>
      <w:r>
        <w:t xml:space="preserve">Government of Ireland (2025). Climate Action Plan 2025. Available at: </w:t>
      </w:r>
      <w:hyperlink r:id="rId45" w:history="1">
        <w:r w:rsidRPr="00677C2D">
          <w:rPr>
            <w:rStyle w:val="Hyperlink"/>
          </w:rPr>
          <w:t>Climate Action Plan 2025</w:t>
        </w:r>
      </w:hyperlink>
    </w:p>
    <w:p w14:paraId="6283720F" w14:textId="0BB42C91" w:rsidR="00970945" w:rsidRPr="00970945" w:rsidRDefault="00970945" w:rsidP="00970945">
      <w:pPr>
        <w:pStyle w:val="BodyText"/>
      </w:pPr>
      <w:r w:rsidRPr="00BF3D98">
        <w:lastRenderedPageBreak/>
        <w:t>Government of Ireland (2025).</w:t>
      </w:r>
      <w:r w:rsidRPr="00970945">
        <w:t xml:space="preserve"> National Development Plan. Available at: </w:t>
      </w:r>
      <w:hyperlink r:id="rId46" w:history="1">
        <w:r w:rsidRPr="00BF3D98">
          <w:rPr>
            <w:rStyle w:val="Hyperlink"/>
          </w:rPr>
          <w:t>National Development Plan</w:t>
        </w:r>
      </w:hyperlink>
    </w:p>
    <w:p w14:paraId="111B0125" w14:textId="4BC8DB2F" w:rsidR="00285824" w:rsidRDefault="00285824" w:rsidP="00285824">
      <w:pPr>
        <w:pStyle w:val="BodyText"/>
      </w:pPr>
      <w:r>
        <w:t xml:space="preserve">ICE (2025). </w:t>
      </w:r>
      <w:r w:rsidRPr="00BE3910">
        <w:t>Inventory of Carbon &amp; Energy (ICE) Database v4.1</w:t>
      </w:r>
      <w:r>
        <w:t xml:space="preserve">. Available at: </w:t>
      </w:r>
      <w:hyperlink r:id="rId47" w:history="1">
        <w:r w:rsidRPr="00BE3910">
          <w:rPr>
            <w:rStyle w:val="Hyperlink"/>
          </w:rPr>
          <w:t>Out Now: Inventory of Carbon &amp; Energy (ICE) Database v4.1 - Circular Ecology</w:t>
        </w:r>
      </w:hyperlink>
    </w:p>
    <w:p w14:paraId="2D68D98C" w14:textId="14C44843" w:rsidR="00B66E2E" w:rsidRDefault="00EE0677" w:rsidP="00285824">
      <w:pPr>
        <w:pStyle w:val="BodyText"/>
      </w:pPr>
      <w:r>
        <w:t>IEA (2023).</w:t>
      </w:r>
      <w:r w:rsidRPr="001A7C41">
        <w:t xml:space="preserve"> Net Zero Roadmap: A Global Pathway to Keep the 1.5 °C Goal in Reach - 2023 Update</w:t>
      </w:r>
      <w:r>
        <w:t xml:space="preserve">. Available at: </w:t>
      </w:r>
      <w:hyperlink r:id="rId48" w:history="1">
        <w:r w:rsidRPr="00CB3ED3">
          <w:rPr>
            <w:rStyle w:val="Hyperlink"/>
          </w:rPr>
          <w:t>https://iea.blob.core.windows.net/assets/4ad26550-05c4-4495-9891-98e588cd0be8/NetZeroRoadmap_AGlobalPathwaytoKeepthe1.5CGoalinReach-2023Update.pdf</w:t>
        </w:r>
      </w:hyperlink>
    </w:p>
    <w:p w14:paraId="5407994B" w14:textId="40A7A146" w:rsidR="00285824" w:rsidRDefault="00285824" w:rsidP="00285824">
      <w:pPr>
        <w:pStyle w:val="BodyText"/>
      </w:pPr>
      <w:r>
        <w:t xml:space="preserve">IPCC (2014). Fifth Assessment Report. Available at: </w:t>
      </w:r>
      <w:hyperlink r:id="rId49" w:history="1">
        <w:r w:rsidRPr="008A088A">
          <w:rPr>
            <w:rStyle w:val="Hyperlink"/>
          </w:rPr>
          <w:t>Fifth Assessment Report — IPCC</w:t>
        </w:r>
      </w:hyperlink>
    </w:p>
    <w:p w14:paraId="4290BC92" w14:textId="0B2D4CD1" w:rsidR="00285824" w:rsidRDefault="00285824" w:rsidP="00285824">
      <w:pPr>
        <w:pStyle w:val="BodyText"/>
      </w:pPr>
      <w:r>
        <w:t xml:space="preserve">IPCC (2018). </w:t>
      </w:r>
      <w:r w:rsidRPr="00CE1017">
        <w:t>Global Warming of 1.5°C: An IPCC Special Report on the impacts of global warming of 1.5°C above pre-industrial levels</w:t>
      </w:r>
      <w:r>
        <w:t xml:space="preserve">. Available at: </w:t>
      </w:r>
      <w:hyperlink r:id="rId50" w:history="1">
        <w:r w:rsidRPr="00D1496B">
          <w:rPr>
            <w:rStyle w:val="Hyperlink"/>
          </w:rPr>
          <w:t>Global Warming of 1.5 ºC —</w:t>
        </w:r>
      </w:hyperlink>
    </w:p>
    <w:p w14:paraId="459EFD36" w14:textId="6C685667" w:rsidR="00285824" w:rsidRDefault="00285824" w:rsidP="00285824">
      <w:pPr>
        <w:pStyle w:val="BodyText"/>
      </w:pPr>
      <w:r>
        <w:t xml:space="preserve">IPCC (2022). </w:t>
      </w:r>
      <w:r w:rsidRPr="00604929">
        <w:t>Climate Change 2022: Impacts, Adaptation and Vulnerability</w:t>
      </w:r>
      <w:r>
        <w:t xml:space="preserve">. Available at: </w:t>
      </w:r>
      <w:hyperlink r:id="rId51" w:history="1">
        <w:r w:rsidRPr="00256C01">
          <w:rPr>
            <w:rStyle w:val="Hyperlink"/>
          </w:rPr>
          <w:t>Climate Change 2022: Impacts, Adaptation and Vulnerability | Climate Change 2022: Impacts, Adaptation and Vulnerability</w:t>
        </w:r>
      </w:hyperlink>
    </w:p>
    <w:p w14:paraId="7F64E817" w14:textId="665D4343" w:rsidR="00285824" w:rsidRDefault="00285824" w:rsidP="00285824">
      <w:pPr>
        <w:pStyle w:val="BodyText"/>
      </w:pPr>
      <w:r>
        <w:t xml:space="preserve">ISEP (2020). Environmental Impact Assessment Guide to: Climate Change Resilience &amp; Adaptation. Available at: </w:t>
      </w:r>
      <w:hyperlink r:id="rId52" w:history="1">
        <w:r w:rsidRPr="00C7370B">
          <w:rPr>
            <w:rStyle w:val="Hyperlink"/>
          </w:rPr>
          <w:t>ISEP - ISEP launch timely new EIA Guide for Climate Change Resilience and Adaptation</w:t>
        </w:r>
      </w:hyperlink>
    </w:p>
    <w:p w14:paraId="5D28B4A3" w14:textId="31F774F1" w:rsidR="00285824" w:rsidRDefault="00285824" w:rsidP="00285824">
      <w:pPr>
        <w:pStyle w:val="BodyText"/>
      </w:pPr>
      <w:r>
        <w:t xml:space="preserve">ISEP (2022). Assessing Greenhouse Gas Emissions and Evaluating their Significance. Available at: </w:t>
      </w:r>
      <w:hyperlink r:id="rId53" w:history="1">
        <w:r w:rsidRPr="007E7C23">
          <w:rPr>
            <w:rStyle w:val="Hyperlink"/>
          </w:rPr>
          <w:t>Launch of the Updated EIA Guidance on Assessing GHG Emissions</w:t>
        </w:r>
      </w:hyperlink>
    </w:p>
    <w:p w14:paraId="448861CF" w14:textId="6107A7A5" w:rsidR="00EF2652" w:rsidRDefault="00EF2652" w:rsidP="00285824">
      <w:pPr>
        <w:pStyle w:val="BodyText"/>
      </w:pPr>
      <w:r>
        <w:t>ISEP (2026). Assessing Greenhouse Gas Emissions and Evaluating their Significance</w:t>
      </w:r>
      <w:r w:rsidR="00D13C61">
        <w:t>, edition 2.1 with Supplementary Guidance</w:t>
      </w:r>
      <w:r>
        <w:t>. Available at</w:t>
      </w:r>
      <w:r w:rsidR="002C1BF6">
        <w:t xml:space="preserve">: </w:t>
      </w:r>
      <w:hyperlink r:id="rId54" w:history="1">
        <w:r w:rsidR="002C1BF6" w:rsidRPr="002C1BF6">
          <w:rPr>
            <w:rStyle w:val="Hyperlink"/>
          </w:rPr>
          <w:t>Defining significance in a net zero era: The next step for Greenhouse Gas Emissions Assessment in Environmental Impact Assessment</w:t>
        </w:r>
      </w:hyperlink>
    </w:p>
    <w:p w14:paraId="0080ECCB" w14:textId="7A354D39" w:rsidR="00285824" w:rsidRDefault="00285824" w:rsidP="00285824">
      <w:pPr>
        <w:pStyle w:val="BodyText"/>
      </w:pPr>
      <w:r w:rsidRPr="006A6237">
        <w:t xml:space="preserve">Met Éireann </w:t>
      </w:r>
      <w:r>
        <w:t xml:space="preserve">(2017). Exceptional weather event. Extreme cold spell, November &amp; December 2010. Available at: </w:t>
      </w:r>
      <w:hyperlink r:id="rId55" w:history="1">
        <w:r w:rsidRPr="00CB0933">
          <w:rPr>
            <w:rStyle w:val="Hyperlink"/>
          </w:rPr>
          <w:t>ColdSpell10.pdf</w:t>
        </w:r>
      </w:hyperlink>
    </w:p>
    <w:p w14:paraId="6D08D886" w14:textId="61D2FA30" w:rsidR="00285824" w:rsidRDefault="00285824" w:rsidP="00285824">
      <w:pPr>
        <w:pStyle w:val="BodyText"/>
      </w:pPr>
      <w:r w:rsidRPr="006A6237">
        <w:t xml:space="preserve">Met Éireann </w:t>
      </w:r>
      <w:r>
        <w:t xml:space="preserve">(2022). </w:t>
      </w:r>
      <w:r w:rsidRPr="00FF76A5">
        <w:t>Temperature records broken as Met Éireann establish new Climate Services Division</w:t>
      </w:r>
      <w:r>
        <w:t>. Available at:</w:t>
      </w:r>
      <w:r w:rsidRPr="00FF76A5">
        <w:t xml:space="preserve"> </w:t>
      </w:r>
      <w:hyperlink r:id="rId56" w:history="1">
        <w:r w:rsidRPr="00254EA8">
          <w:rPr>
            <w:rStyle w:val="Hyperlink"/>
          </w:rPr>
          <w:t>Temperature records broken as Met Éireann establish new Climate Services Division - Met Éireann - The Irish Meteorological Service</w:t>
        </w:r>
      </w:hyperlink>
    </w:p>
    <w:p w14:paraId="0767700A" w14:textId="04814437" w:rsidR="00285824" w:rsidRDefault="00285824" w:rsidP="00285824">
      <w:pPr>
        <w:pStyle w:val="BodyText"/>
      </w:pPr>
      <w:r w:rsidRPr="006A6237">
        <w:t xml:space="preserve">Met Éireann </w:t>
      </w:r>
      <w:r>
        <w:t xml:space="preserve">(2023). </w:t>
      </w:r>
      <w:r w:rsidRPr="001C2584">
        <w:t>Met Éireann publishes Ireland’s new Climate Averages for 1991-2020</w:t>
      </w:r>
      <w:r>
        <w:t xml:space="preserve">. Available at: </w:t>
      </w:r>
      <w:hyperlink r:id="rId57" w:history="1">
        <w:r w:rsidRPr="00845413">
          <w:rPr>
            <w:rStyle w:val="Hyperlink"/>
          </w:rPr>
          <w:t>Met Éireann publishes Ireland’s new Climate Averages for 1991-2020 - Met Éireann - The Irish Meteorological Service</w:t>
        </w:r>
      </w:hyperlink>
    </w:p>
    <w:p w14:paraId="2641E91B" w14:textId="43407F05" w:rsidR="00285824" w:rsidRDefault="00285824" w:rsidP="00285824">
      <w:pPr>
        <w:pStyle w:val="BodyText"/>
      </w:pPr>
      <w:r w:rsidRPr="006A6237">
        <w:t xml:space="preserve">Met Éireann </w:t>
      </w:r>
      <w:r>
        <w:t xml:space="preserve">(2024). </w:t>
      </w:r>
      <w:r w:rsidRPr="000E0D03">
        <w:t>2023 confirmed as Ireland’s wettest year on record</w:t>
      </w:r>
      <w:r>
        <w:t xml:space="preserve">. Available at: </w:t>
      </w:r>
      <w:hyperlink r:id="rId58" w:history="1">
        <w:r w:rsidRPr="000E0D03">
          <w:rPr>
            <w:rStyle w:val="Hyperlink"/>
          </w:rPr>
          <w:t>2023 confirmed as Ireland’s wettest year on record - Met Éireann - The Irish Meteorological Service</w:t>
        </w:r>
      </w:hyperlink>
    </w:p>
    <w:p w14:paraId="16D19B5F" w14:textId="45346F6E" w:rsidR="00285824" w:rsidRDefault="00285824" w:rsidP="00285824">
      <w:pPr>
        <w:pStyle w:val="BodyText"/>
      </w:pPr>
      <w:r>
        <w:t xml:space="preserve">RTE (2008). Floods: Clean-up </w:t>
      </w:r>
      <w:r w:rsidR="00361852">
        <w:t>Operation Underway</w:t>
      </w:r>
      <w:r>
        <w:t xml:space="preserve">. Available at: </w:t>
      </w:r>
      <w:hyperlink r:id="rId59" w:history="1">
        <w:r w:rsidRPr="00E60F76">
          <w:rPr>
            <w:rStyle w:val="Hyperlink"/>
          </w:rPr>
          <w:t>Floods: Clean-up operation underway</w:t>
        </w:r>
      </w:hyperlink>
    </w:p>
    <w:p w14:paraId="02424A15" w14:textId="1B1859C7" w:rsidR="00285824" w:rsidRDefault="00285824" w:rsidP="00285824">
      <w:pPr>
        <w:pStyle w:val="BodyText"/>
      </w:pPr>
      <w:r>
        <w:t xml:space="preserve">UNFCCC (1997). The Kyoto Protocol. Available at: </w:t>
      </w:r>
      <w:hyperlink r:id="rId60" w:history="1">
        <w:r w:rsidRPr="00033904">
          <w:rPr>
            <w:rStyle w:val="Hyperlink"/>
          </w:rPr>
          <w:t>The Kyoto Protocol | UNFCCC</w:t>
        </w:r>
      </w:hyperlink>
    </w:p>
    <w:p w14:paraId="4420AE71" w14:textId="72C86B3B" w:rsidR="00285824" w:rsidRDefault="00285824" w:rsidP="00285824">
      <w:pPr>
        <w:pStyle w:val="BodyText"/>
      </w:pPr>
      <w:r>
        <w:t xml:space="preserve">UNFCCC (2015). The Paris Agreement. Available at: </w:t>
      </w:r>
      <w:hyperlink r:id="rId61" w:history="1">
        <w:r w:rsidRPr="00EC26DD">
          <w:rPr>
            <w:rStyle w:val="Hyperlink"/>
          </w:rPr>
          <w:t>The Paris Agreement | UNFCCC</w:t>
        </w:r>
      </w:hyperlink>
    </w:p>
    <w:p w14:paraId="34D10257" w14:textId="1BBB1891" w:rsidR="00285824" w:rsidRDefault="00285824" w:rsidP="00285824">
      <w:pPr>
        <w:pStyle w:val="BodyText"/>
      </w:pPr>
      <w:r>
        <w:t xml:space="preserve">DESNZ (2025). Greenhouse gas reporting: conversion factors 2025. Available at: </w:t>
      </w:r>
      <w:hyperlink r:id="rId62" w:history="1">
        <w:r w:rsidRPr="00E836AB">
          <w:rPr>
            <w:rStyle w:val="Hyperlink"/>
          </w:rPr>
          <w:t>Greenhouse gas reporting: conversion factors 2025 - GOV.UK</w:t>
        </w:r>
      </w:hyperlink>
    </w:p>
    <w:p w14:paraId="77743E14" w14:textId="684B1F99" w:rsidR="0046475A" w:rsidRDefault="0046475A" w:rsidP="00285824">
      <w:pPr>
        <w:pStyle w:val="BodyText"/>
      </w:pPr>
      <w:r w:rsidRPr="0046475A">
        <w:t xml:space="preserve">RICS (2023). Whole Life Carbon Assessment for the Built Environment, RICS Professional Standard, 2nd edition. Available at: </w:t>
      </w:r>
      <w:hyperlink r:id="rId63" w:history="1">
        <w:r w:rsidRPr="0046475A">
          <w:rPr>
            <w:rStyle w:val="Hyperlink"/>
          </w:rPr>
          <w:t>Whole Life Carbon Assessment for the Built Environment</w:t>
        </w:r>
      </w:hyperlink>
    </w:p>
    <w:p w14:paraId="66D508F5" w14:textId="7C776D69" w:rsidR="007D676A" w:rsidRPr="00BE1C50" w:rsidRDefault="008F00CD" w:rsidP="00BE1C50">
      <w:pPr>
        <w:pStyle w:val="BodyText"/>
      </w:pPr>
      <w:r w:rsidRPr="008F00CD">
        <w:t xml:space="preserve">South Dublin County Council (2018). SDCC TIC Policy - Appendix 6 - Roads Minimum Standards (Oct 2018 Revision). Available at: </w:t>
      </w:r>
      <w:hyperlink r:id="rId64" w:history="1">
        <w:r w:rsidRPr="008F00CD">
          <w:rPr>
            <w:rStyle w:val="Hyperlink"/>
          </w:rPr>
          <w:t>SDCC TIC Policy - Appendix 6 - Roads Minimum Standards</w:t>
        </w:r>
      </w:hyperlink>
    </w:p>
    <w:p w14:paraId="560F1450" w14:textId="5D3A73A1" w:rsidR="009E5EDC" w:rsidRPr="00BE1C50" w:rsidRDefault="009E5EDC" w:rsidP="00BE1C50">
      <w:pPr>
        <w:pStyle w:val="BodyText"/>
      </w:pPr>
      <w:r>
        <w:t>South Dublin County Council (SDCC) (2022)</w:t>
      </w:r>
      <w:r w:rsidR="00021C73">
        <w:t>. South Dublin County Development Plan 2022-2028</w:t>
      </w:r>
      <w:r w:rsidR="007B577C">
        <w:t xml:space="preserve">. </w:t>
      </w:r>
      <w:r w:rsidR="00F37B39">
        <w:t>Available</w:t>
      </w:r>
      <w:r w:rsidR="007B577C">
        <w:t xml:space="preserve"> at: </w:t>
      </w:r>
      <w:hyperlink r:id="rId65" w:history="1">
        <w:r w:rsidR="00F37B39" w:rsidRPr="00F37B39">
          <w:rPr>
            <w:rStyle w:val="Hyperlink"/>
          </w:rPr>
          <w:t>Microsoft Word - 6819_SDCC CDP 2022-2028_SEA Statement_20220802</w:t>
        </w:r>
      </w:hyperlink>
    </w:p>
    <w:p w14:paraId="20A13415" w14:textId="0FEE079F" w:rsidR="00A83661" w:rsidRDefault="005D6499" w:rsidP="00BE1C50">
      <w:pPr>
        <w:pStyle w:val="BodyText"/>
      </w:pPr>
      <w:r w:rsidRPr="000B1FA5">
        <w:t xml:space="preserve">South Dublin County Council </w:t>
      </w:r>
      <w:r w:rsidR="009E5EDC">
        <w:t xml:space="preserve">(SDCC) </w:t>
      </w:r>
      <w:r w:rsidRPr="000B1FA5">
        <w:t>(2024).</w:t>
      </w:r>
      <w:r w:rsidRPr="005D6499">
        <w:t xml:space="preserve"> </w:t>
      </w:r>
      <w:r w:rsidRPr="005D6499">
        <w:rPr>
          <w:i/>
          <w:iCs/>
        </w:rPr>
        <w:t>Climate Action Plan 2024-2029</w:t>
      </w:r>
      <w:r w:rsidRPr="005D6499">
        <w:t>. Available at:</w:t>
      </w:r>
      <w:r w:rsidR="00051049">
        <w:t xml:space="preserve"> </w:t>
      </w:r>
      <w:hyperlink r:id="rId66" w:history="1">
        <w:r w:rsidR="00A83661" w:rsidRPr="00A83661">
          <w:rPr>
            <w:rStyle w:val="Hyperlink"/>
          </w:rPr>
          <w:t>Climate Action Plan 2024-2029 - SDCC</w:t>
        </w:r>
      </w:hyperlink>
    </w:p>
    <w:p w14:paraId="2BB2A748" w14:textId="5E464F74" w:rsidR="00182F10" w:rsidRPr="00BE1C50" w:rsidRDefault="00182F10" w:rsidP="00BE1C50">
      <w:pPr>
        <w:pStyle w:val="BodyText"/>
      </w:pPr>
      <w:r w:rsidRPr="00182F10">
        <w:t xml:space="preserve">Task Force on Climate-related Financial Disclosures (2017). Recommendations of the Task Force on Climate-related Financial Disclosures. Available at: </w:t>
      </w:r>
      <w:hyperlink r:id="rId67" w:history="1">
        <w:r w:rsidRPr="00182F10">
          <w:rPr>
            <w:rStyle w:val="Hyperlink"/>
          </w:rPr>
          <w:t>Recommendations of the Task Force on Climate-related Financial Disclosures</w:t>
        </w:r>
      </w:hyperlink>
    </w:p>
    <w:p w14:paraId="552DECA5" w14:textId="7E9CA83B" w:rsidR="00266989" w:rsidRDefault="00266989">
      <w:pPr>
        <w:pStyle w:val="Heading1"/>
        <w:numPr>
          <w:ilvl w:val="0"/>
          <w:numId w:val="0"/>
        </w:numPr>
      </w:pPr>
      <w:bookmarkStart w:id="175" w:name="_Toc239776217"/>
      <w:r>
        <w:lastRenderedPageBreak/>
        <w:t>Non-Technical Summary</w:t>
      </w:r>
      <w:bookmarkEnd w:id="175"/>
      <w:r>
        <w:t xml:space="preserve"> </w:t>
      </w:r>
    </w:p>
    <w:p w14:paraId="684C6486" w14:textId="3D3BDC66" w:rsidR="00266989" w:rsidRPr="00A7414A" w:rsidRDefault="00266989" w:rsidP="00F425BB">
      <w:pPr>
        <w:pStyle w:val="Heading2"/>
      </w:pPr>
      <w:bookmarkStart w:id="176" w:name="_Toc231818405"/>
      <w:bookmarkStart w:id="177" w:name="_Toc231818813"/>
      <w:bookmarkStart w:id="178" w:name="_Toc231820325"/>
      <w:bookmarkStart w:id="179" w:name="_Toc239776218"/>
      <w:bookmarkEnd w:id="176"/>
      <w:bookmarkEnd w:id="177"/>
      <w:bookmarkEnd w:id="178"/>
      <w:r w:rsidRPr="00A7414A">
        <w:t>Potential Impacts</w:t>
      </w:r>
      <w:bookmarkEnd w:id="179"/>
    </w:p>
    <w:p w14:paraId="302327AB" w14:textId="77777777" w:rsidR="00877CE0" w:rsidRDefault="00877CE0" w:rsidP="00877CE0">
      <w:pPr>
        <w:pStyle w:val="Heading3"/>
      </w:pPr>
      <w:bookmarkStart w:id="180" w:name="_Toc239776219"/>
      <w:r w:rsidRPr="008F7B47">
        <w:t>Lifecycle GHG Impact Assessment</w:t>
      </w:r>
      <w:bookmarkEnd w:id="180"/>
    </w:p>
    <w:p w14:paraId="3FB9EAC8" w14:textId="05BE1096" w:rsidR="002F2C53" w:rsidRDefault="00E32F3A" w:rsidP="00C91832">
      <w:pPr>
        <w:pStyle w:val="BodyText"/>
      </w:pPr>
      <w:r>
        <w:t xml:space="preserve">Table </w:t>
      </w:r>
      <w:r w:rsidRPr="737D6FBA">
        <w:rPr>
          <w:highlight w:val="yellow"/>
        </w:rPr>
        <w:t>X</w:t>
      </w:r>
      <w:r w:rsidR="00422AE7">
        <w:t xml:space="preserve"> </w:t>
      </w:r>
      <w:r w:rsidR="00832368">
        <w:t xml:space="preserve">breaks down the emissions </w:t>
      </w:r>
      <w:r w:rsidR="007662B1">
        <w:t xml:space="preserve">across the </w:t>
      </w:r>
      <w:r w:rsidR="009B17FE">
        <w:t>lifecycle of the Proposed Development</w:t>
      </w:r>
      <w:r w:rsidR="008E7FD8">
        <w:t xml:space="preserve">. </w:t>
      </w:r>
      <w:r w:rsidR="00C33565">
        <w:t>The greatest proportion of emissions are within the</w:t>
      </w:r>
      <w:r w:rsidR="004E40AF">
        <w:t xml:space="preserve"> User’s </w:t>
      </w:r>
      <w:r w:rsidR="00477F6D">
        <w:t xml:space="preserve">utilisation (B8), </w:t>
      </w:r>
      <w:r w:rsidR="00FA2A2A">
        <w:t xml:space="preserve">construction stage (A1-5) and </w:t>
      </w:r>
      <w:r w:rsidR="006C1A1B">
        <w:t xml:space="preserve">maintenance and repair (B2-5) at </w:t>
      </w:r>
      <w:r w:rsidR="14E67A48">
        <w:t xml:space="preserve"> 38</w:t>
      </w:r>
      <w:r w:rsidR="006C1A1B">
        <w:t xml:space="preserve">%, </w:t>
      </w:r>
      <w:r w:rsidR="741342C2">
        <w:t xml:space="preserve"> 28</w:t>
      </w:r>
      <w:r w:rsidR="006C1A1B">
        <w:t xml:space="preserve">% and </w:t>
      </w:r>
      <w:r w:rsidR="7B76C8B0">
        <w:t xml:space="preserve"> 23</w:t>
      </w:r>
      <w:r w:rsidR="006C1A1B">
        <w:t>% respectively.</w:t>
      </w:r>
      <w:r w:rsidR="0026299A">
        <w:t xml:space="preserve"> </w:t>
      </w:r>
    </w:p>
    <w:tbl>
      <w:tblPr>
        <w:tblStyle w:val="AECOMtable"/>
        <w:tblW w:w="5001" w:type="pct"/>
        <w:tblInd w:w="-1" w:type="dxa"/>
        <w:tblLayout w:type="fixed"/>
        <w:tblCellMar>
          <w:right w:w="108" w:type="dxa"/>
        </w:tblCellMar>
        <w:tblLook w:val="04A0" w:firstRow="1" w:lastRow="0" w:firstColumn="1" w:lastColumn="0" w:noHBand="0" w:noVBand="1"/>
      </w:tblPr>
      <w:tblGrid>
        <w:gridCol w:w="3674"/>
        <w:gridCol w:w="2563"/>
        <w:gridCol w:w="3119"/>
      </w:tblGrid>
      <w:tr w:rsidR="002F2C53" w:rsidRPr="00F432FA" w14:paraId="09FE4251" w14:textId="77777777" w:rsidTr="009C2C63">
        <w:trPr>
          <w:cnfStyle w:val="100000000000" w:firstRow="1" w:lastRow="0" w:firstColumn="0" w:lastColumn="0" w:oddVBand="0" w:evenVBand="0" w:oddHBand="0" w:evenHBand="0" w:firstRowFirstColumn="0" w:firstRowLastColumn="0" w:lastRowFirstColumn="0" w:lastRowLastColumn="0"/>
          <w:trHeight w:val="318"/>
          <w:tblHeader/>
        </w:trPr>
        <w:tc>
          <w:tcPr>
            <w:tcW w:w="3674" w:type="dxa"/>
          </w:tcPr>
          <w:p w14:paraId="75422FC1" w14:textId="77777777" w:rsidR="002F2C53" w:rsidRPr="004E40AF" w:rsidRDefault="002F2C53">
            <w:pPr>
              <w:pStyle w:val="Tabletext"/>
              <w:jc w:val="left"/>
            </w:pPr>
            <w:r w:rsidRPr="004E40AF">
              <w:t xml:space="preserve">Lifecycle Stage </w:t>
            </w:r>
          </w:p>
        </w:tc>
        <w:tc>
          <w:tcPr>
            <w:tcW w:w="2563" w:type="dxa"/>
          </w:tcPr>
          <w:p w14:paraId="072EEC10" w14:textId="77777777" w:rsidR="002F2C53" w:rsidRPr="004E40AF" w:rsidRDefault="002F2C53">
            <w:pPr>
              <w:pStyle w:val="Tabletext"/>
              <w:jc w:val="center"/>
            </w:pPr>
            <w:r w:rsidRPr="004E40AF">
              <w:t>GHG Emissions (tCO</w:t>
            </w:r>
            <w:r w:rsidRPr="004E40AF">
              <w:rPr>
                <w:vertAlign w:val="subscript"/>
              </w:rPr>
              <w:t>2</w:t>
            </w:r>
            <w:r w:rsidRPr="004E40AF">
              <w:t>e)</w:t>
            </w:r>
          </w:p>
        </w:tc>
        <w:tc>
          <w:tcPr>
            <w:tcW w:w="3119" w:type="dxa"/>
          </w:tcPr>
          <w:p w14:paraId="2E22D97C" w14:textId="77777777" w:rsidR="002F2C53" w:rsidRPr="004E40AF" w:rsidRDefault="002F2C53">
            <w:pPr>
              <w:pStyle w:val="Tabletext"/>
              <w:jc w:val="center"/>
            </w:pPr>
            <w:r w:rsidRPr="004E40AF">
              <w:t>Proportion of GHG Emissions</w:t>
            </w:r>
          </w:p>
        </w:tc>
      </w:tr>
      <w:tr w:rsidR="002F2C53" w:rsidRPr="00F432FA" w14:paraId="40E86559" w14:textId="77777777" w:rsidTr="009C2C63">
        <w:trPr>
          <w:trHeight w:val="245"/>
        </w:trPr>
        <w:tc>
          <w:tcPr>
            <w:tcW w:w="3674" w:type="dxa"/>
            <w:tcBorders>
              <w:top w:val="single" w:sz="12" w:space="0" w:color="008768" w:themeColor="accent1"/>
              <w:bottom w:val="single" w:sz="4" w:space="0" w:color="auto"/>
            </w:tcBorders>
          </w:tcPr>
          <w:p w14:paraId="7A42CFD9" w14:textId="3CF88982" w:rsidR="002F2C53" w:rsidRPr="004E40AF" w:rsidRDefault="009C2C63">
            <w:pPr>
              <w:pStyle w:val="Tabletext"/>
              <w:keepNext/>
              <w:jc w:val="left"/>
            </w:pPr>
            <w:r w:rsidRPr="004E40AF">
              <w:t>Construc</w:t>
            </w:r>
            <w:r w:rsidR="002F2C53" w:rsidRPr="004E40AF">
              <w:t>t</w:t>
            </w:r>
            <w:r w:rsidRPr="004E40AF">
              <w:t>ion</w:t>
            </w:r>
            <w:r w:rsidR="002F2C53" w:rsidRPr="004E40AF">
              <w:t xml:space="preserve"> Stage (A1-</w:t>
            </w:r>
            <w:r w:rsidR="00C4395B" w:rsidRPr="004E40AF">
              <w:t>5</w:t>
            </w:r>
            <w:r w:rsidR="002F2C53" w:rsidRPr="004E40AF">
              <w:t xml:space="preserve">) </w:t>
            </w:r>
          </w:p>
        </w:tc>
        <w:tc>
          <w:tcPr>
            <w:tcW w:w="2563" w:type="dxa"/>
            <w:tcBorders>
              <w:top w:val="single" w:sz="12" w:space="0" w:color="008768" w:themeColor="accent1"/>
              <w:bottom w:val="single" w:sz="4" w:space="0" w:color="auto"/>
            </w:tcBorders>
            <w:vAlign w:val="center"/>
          </w:tcPr>
          <w:p w14:paraId="702CC166" w14:textId="678F0C94" w:rsidR="002F2C53" w:rsidRPr="004E40AF" w:rsidRDefault="00C725C8">
            <w:pPr>
              <w:pStyle w:val="Tabletext"/>
              <w:keepNext/>
              <w:keepLines/>
              <w:jc w:val="center"/>
            </w:pPr>
            <w:r>
              <w:t>5,778</w:t>
            </w:r>
          </w:p>
        </w:tc>
        <w:tc>
          <w:tcPr>
            <w:tcW w:w="3119" w:type="dxa"/>
            <w:tcBorders>
              <w:top w:val="single" w:sz="12" w:space="0" w:color="008768" w:themeColor="accent1"/>
              <w:bottom w:val="single" w:sz="4" w:space="0" w:color="auto"/>
            </w:tcBorders>
            <w:vAlign w:val="center"/>
          </w:tcPr>
          <w:p w14:paraId="000452C8" w14:textId="75E26B8B" w:rsidR="002F2C53" w:rsidRPr="004E40AF" w:rsidRDefault="00BA4E7A">
            <w:pPr>
              <w:pStyle w:val="Tabletext"/>
              <w:keepNext/>
              <w:keepLines/>
              <w:jc w:val="center"/>
            </w:pPr>
            <w:r>
              <w:t>28</w:t>
            </w:r>
            <w:r w:rsidR="002F2C53" w:rsidRPr="004E40AF">
              <w:t>%</w:t>
            </w:r>
          </w:p>
        </w:tc>
      </w:tr>
      <w:tr w:rsidR="002F2C53" w:rsidRPr="00F432FA" w14:paraId="3ACB1666" w14:textId="77777777" w:rsidTr="009C2C63">
        <w:trPr>
          <w:trHeight w:val="245"/>
        </w:trPr>
        <w:tc>
          <w:tcPr>
            <w:tcW w:w="3674" w:type="dxa"/>
            <w:tcBorders>
              <w:top w:val="single" w:sz="4" w:space="0" w:color="auto"/>
              <w:bottom w:val="single" w:sz="4" w:space="0" w:color="auto"/>
            </w:tcBorders>
          </w:tcPr>
          <w:p w14:paraId="02BE1F6F" w14:textId="77777777" w:rsidR="002F2C53" w:rsidRPr="004E40AF" w:rsidRDefault="002F2C53">
            <w:pPr>
              <w:pStyle w:val="Tabletext"/>
              <w:keepNext/>
              <w:jc w:val="left"/>
            </w:pPr>
            <w:r w:rsidRPr="004E40AF">
              <w:t>Maintenance and Repair (including Waste, Transport, Commuting) (B2-5)</w:t>
            </w:r>
          </w:p>
        </w:tc>
        <w:tc>
          <w:tcPr>
            <w:tcW w:w="2563" w:type="dxa"/>
            <w:tcBorders>
              <w:top w:val="single" w:sz="4" w:space="0" w:color="auto"/>
              <w:bottom w:val="single" w:sz="4" w:space="0" w:color="auto"/>
            </w:tcBorders>
            <w:vAlign w:val="center"/>
          </w:tcPr>
          <w:p w14:paraId="52C89DE5" w14:textId="0A44B547" w:rsidR="002F2C53" w:rsidRPr="004E40AF" w:rsidRDefault="009C2C63">
            <w:pPr>
              <w:pStyle w:val="Tabletext"/>
              <w:keepNext/>
              <w:keepLines/>
              <w:jc w:val="center"/>
            </w:pPr>
            <w:r w:rsidRPr="004E40AF">
              <w:t>2,2</w:t>
            </w:r>
            <w:r w:rsidR="00C725C8">
              <w:t>95</w:t>
            </w:r>
          </w:p>
        </w:tc>
        <w:tc>
          <w:tcPr>
            <w:tcW w:w="3119" w:type="dxa"/>
            <w:tcBorders>
              <w:top w:val="single" w:sz="4" w:space="0" w:color="auto"/>
              <w:bottom w:val="single" w:sz="4" w:space="0" w:color="auto"/>
            </w:tcBorders>
            <w:vAlign w:val="center"/>
          </w:tcPr>
          <w:p w14:paraId="755E395A" w14:textId="08EB08FD" w:rsidR="002F2C53" w:rsidRPr="004E40AF" w:rsidRDefault="00BA4E7A">
            <w:pPr>
              <w:pStyle w:val="Tabletext"/>
              <w:keepNext/>
              <w:keepLines/>
              <w:jc w:val="center"/>
            </w:pPr>
            <w:r>
              <w:t>11</w:t>
            </w:r>
            <w:r w:rsidR="002F2C53" w:rsidRPr="004E40AF">
              <w:t>%</w:t>
            </w:r>
          </w:p>
        </w:tc>
      </w:tr>
      <w:tr w:rsidR="002F2C53" w:rsidRPr="00F432FA" w14:paraId="2076D50D" w14:textId="77777777" w:rsidTr="009C2C63">
        <w:trPr>
          <w:trHeight w:val="245"/>
        </w:trPr>
        <w:tc>
          <w:tcPr>
            <w:tcW w:w="3674" w:type="dxa"/>
            <w:tcBorders>
              <w:top w:val="single" w:sz="4" w:space="0" w:color="auto"/>
              <w:bottom w:val="single" w:sz="4" w:space="0" w:color="auto"/>
            </w:tcBorders>
          </w:tcPr>
          <w:p w14:paraId="1C2725B1" w14:textId="67866C6E" w:rsidR="002F2C53" w:rsidRPr="004E40AF" w:rsidRDefault="002F2C53">
            <w:pPr>
              <w:pStyle w:val="Tabletext"/>
              <w:keepNext/>
              <w:jc w:val="left"/>
            </w:pPr>
            <w:r w:rsidRPr="004E40AF">
              <w:t xml:space="preserve">Operational Energy Use (B7) </w:t>
            </w:r>
          </w:p>
        </w:tc>
        <w:tc>
          <w:tcPr>
            <w:tcW w:w="2563" w:type="dxa"/>
            <w:tcBorders>
              <w:top w:val="single" w:sz="4" w:space="0" w:color="auto"/>
              <w:bottom w:val="single" w:sz="4" w:space="0" w:color="auto"/>
            </w:tcBorders>
            <w:vAlign w:val="center"/>
          </w:tcPr>
          <w:p w14:paraId="24DDBA97" w14:textId="236FFB21" w:rsidR="002F2C53" w:rsidRPr="004E40AF" w:rsidRDefault="0094740F">
            <w:pPr>
              <w:pStyle w:val="Tabletext"/>
              <w:keepNext/>
              <w:keepLines/>
              <w:jc w:val="center"/>
            </w:pPr>
            <w:r w:rsidRPr="004E40AF">
              <w:t>4,706</w:t>
            </w:r>
          </w:p>
        </w:tc>
        <w:tc>
          <w:tcPr>
            <w:tcW w:w="3119" w:type="dxa"/>
            <w:tcBorders>
              <w:top w:val="single" w:sz="4" w:space="0" w:color="auto"/>
              <w:bottom w:val="single" w:sz="4" w:space="0" w:color="auto"/>
            </w:tcBorders>
            <w:vAlign w:val="center"/>
          </w:tcPr>
          <w:p w14:paraId="694BEAAD" w14:textId="3BC47B1F" w:rsidR="002F2C53" w:rsidRPr="004E40AF" w:rsidRDefault="00864B84">
            <w:pPr>
              <w:pStyle w:val="Tabletext"/>
              <w:keepNext/>
              <w:keepLines/>
              <w:jc w:val="center"/>
            </w:pPr>
            <w:r>
              <w:t>2</w:t>
            </w:r>
            <w:r w:rsidR="00BA4E7A">
              <w:t>3</w:t>
            </w:r>
            <w:r w:rsidR="002F2C53" w:rsidRPr="004E40AF">
              <w:t>%</w:t>
            </w:r>
          </w:p>
        </w:tc>
      </w:tr>
      <w:tr w:rsidR="002F2C53" w:rsidRPr="00F432FA" w14:paraId="1FB7C646" w14:textId="77777777" w:rsidTr="009C2C63">
        <w:trPr>
          <w:trHeight w:val="245"/>
        </w:trPr>
        <w:tc>
          <w:tcPr>
            <w:tcW w:w="3674" w:type="dxa"/>
            <w:tcBorders>
              <w:top w:val="single" w:sz="4" w:space="0" w:color="auto"/>
              <w:bottom w:val="single" w:sz="4" w:space="0" w:color="auto"/>
            </w:tcBorders>
          </w:tcPr>
          <w:p w14:paraId="09D82446" w14:textId="77777777" w:rsidR="002F2C53" w:rsidRPr="004E40AF" w:rsidRDefault="002F2C53">
            <w:pPr>
              <w:pStyle w:val="Tabletext"/>
              <w:keepNext/>
              <w:jc w:val="left"/>
            </w:pPr>
            <w:r w:rsidRPr="004E40AF">
              <w:t>User’s Utilisation (B8)</w:t>
            </w:r>
          </w:p>
        </w:tc>
        <w:tc>
          <w:tcPr>
            <w:tcW w:w="2563" w:type="dxa"/>
            <w:tcBorders>
              <w:top w:val="single" w:sz="4" w:space="0" w:color="auto"/>
              <w:bottom w:val="single" w:sz="4" w:space="0" w:color="auto"/>
            </w:tcBorders>
            <w:vAlign w:val="center"/>
          </w:tcPr>
          <w:p w14:paraId="43F44F05" w14:textId="7BB42A5A" w:rsidR="002F2C53" w:rsidRPr="004E40AF" w:rsidRDefault="00864B84">
            <w:pPr>
              <w:pStyle w:val="Tabletext"/>
              <w:keepNext/>
              <w:keepLines/>
              <w:jc w:val="center"/>
            </w:pPr>
            <w:r>
              <w:t>7,604</w:t>
            </w:r>
          </w:p>
        </w:tc>
        <w:tc>
          <w:tcPr>
            <w:tcW w:w="3119" w:type="dxa"/>
            <w:tcBorders>
              <w:top w:val="single" w:sz="4" w:space="0" w:color="auto"/>
              <w:bottom w:val="single" w:sz="4" w:space="0" w:color="auto"/>
            </w:tcBorders>
            <w:vAlign w:val="center"/>
          </w:tcPr>
          <w:p w14:paraId="0E88587F" w14:textId="49C9B395" w:rsidR="002F2C53" w:rsidRPr="004E40AF" w:rsidRDefault="00864B84">
            <w:pPr>
              <w:pStyle w:val="Tabletext"/>
              <w:keepNext/>
              <w:keepLines/>
              <w:jc w:val="center"/>
            </w:pPr>
            <w:r>
              <w:t>38</w:t>
            </w:r>
            <w:r w:rsidR="002F2C53" w:rsidRPr="004E40AF">
              <w:t>%</w:t>
            </w:r>
          </w:p>
        </w:tc>
      </w:tr>
      <w:tr w:rsidR="002F2C53" w:rsidRPr="00CE4840" w14:paraId="5B2397C1" w14:textId="77777777" w:rsidTr="009C2C63">
        <w:trPr>
          <w:trHeight w:val="245"/>
        </w:trPr>
        <w:tc>
          <w:tcPr>
            <w:tcW w:w="3674" w:type="dxa"/>
            <w:tcBorders>
              <w:top w:val="single" w:sz="4" w:space="0" w:color="auto"/>
              <w:bottom w:val="single" w:sz="4" w:space="0" w:color="auto"/>
            </w:tcBorders>
          </w:tcPr>
          <w:p w14:paraId="683E1F81" w14:textId="77777777" w:rsidR="002F2C53" w:rsidRPr="004E40AF" w:rsidRDefault="002F2C53">
            <w:pPr>
              <w:pStyle w:val="Tabletext"/>
              <w:keepNext/>
              <w:jc w:val="left"/>
              <w:rPr>
                <w:b/>
                <w:bCs/>
              </w:rPr>
            </w:pPr>
            <w:r w:rsidRPr="004E40AF">
              <w:rPr>
                <w:b/>
                <w:bCs/>
              </w:rPr>
              <w:t xml:space="preserve">Total Emissions </w:t>
            </w:r>
          </w:p>
        </w:tc>
        <w:tc>
          <w:tcPr>
            <w:tcW w:w="2563" w:type="dxa"/>
            <w:tcBorders>
              <w:top w:val="single" w:sz="4" w:space="0" w:color="auto"/>
              <w:bottom w:val="single" w:sz="4" w:space="0" w:color="auto"/>
            </w:tcBorders>
            <w:vAlign w:val="center"/>
          </w:tcPr>
          <w:p w14:paraId="324B7AEB" w14:textId="59FB42C1" w:rsidR="002F2C53" w:rsidRPr="004E40AF" w:rsidRDefault="00864B84">
            <w:pPr>
              <w:pStyle w:val="Tabletext"/>
              <w:keepNext/>
              <w:keepLines/>
              <w:jc w:val="center"/>
              <w:rPr>
                <w:b/>
                <w:bCs/>
              </w:rPr>
            </w:pPr>
            <w:r>
              <w:rPr>
                <w:b/>
                <w:bCs/>
              </w:rPr>
              <w:t>20,382</w:t>
            </w:r>
          </w:p>
        </w:tc>
        <w:tc>
          <w:tcPr>
            <w:tcW w:w="3119" w:type="dxa"/>
            <w:tcBorders>
              <w:top w:val="single" w:sz="4" w:space="0" w:color="auto"/>
              <w:bottom w:val="single" w:sz="4" w:space="0" w:color="auto"/>
            </w:tcBorders>
            <w:vAlign w:val="center"/>
          </w:tcPr>
          <w:p w14:paraId="14B76829" w14:textId="77777777" w:rsidR="002F2C53" w:rsidRPr="004E40AF" w:rsidRDefault="002F2C53">
            <w:pPr>
              <w:pStyle w:val="Tabletext"/>
              <w:keepNext/>
              <w:keepLines/>
              <w:jc w:val="center"/>
              <w:rPr>
                <w:b/>
                <w:bCs/>
              </w:rPr>
            </w:pPr>
          </w:p>
        </w:tc>
      </w:tr>
    </w:tbl>
    <w:p w14:paraId="2B693DE5" w14:textId="77777777" w:rsidR="00877CE0" w:rsidRDefault="00877CE0" w:rsidP="00C91832">
      <w:pPr>
        <w:pStyle w:val="BodyText"/>
        <w:rPr>
          <w:highlight w:val="cyan"/>
        </w:rPr>
      </w:pPr>
    </w:p>
    <w:p w14:paraId="5323EAC0" w14:textId="2C26DC5A" w:rsidR="002F2C53" w:rsidRPr="005E72C4" w:rsidRDefault="00882F31" w:rsidP="00A7414A">
      <w:pPr>
        <w:pStyle w:val="BodyText"/>
      </w:pPr>
      <w:r>
        <w:t>28</w:t>
      </w:r>
      <w:r w:rsidR="005D6A23" w:rsidRPr="0017718B">
        <w:t xml:space="preserve">% of emissions </w:t>
      </w:r>
      <w:r w:rsidR="005947F2">
        <w:t>occur</w:t>
      </w:r>
      <w:r w:rsidR="005D6A23" w:rsidRPr="0017718B">
        <w:t xml:space="preserve"> within the construction stage, </w:t>
      </w:r>
      <w:r w:rsidR="005947F2">
        <w:t>while</w:t>
      </w:r>
      <w:r w:rsidR="005D6A23" w:rsidRPr="0017718B">
        <w:t xml:space="preserve"> </w:t>
      </w:r>
      <w:r w:rsidR="005947F2">
        <w:t>72</w:t>
      </w:r>
      <w:r w:rsidR="005D6A23" w:rsidRPr="0017718B">
        <w:t xml:space="preserve">% of emissions </w:t>
      </w:r>
      <w:r w:rsidR="00CA072F">
        <w:t>occur during</w:t>
      </w:r>
      <w:r w:rsidR="005D6A23" w:rsidRPr="0017718B">
        <w:t xml:space="preserve"> the operational stage. The major sources of emissions in the construction stages are </w:t>
      </w:r>
      <w:r w:rsidR="00EE7B3B" w:rsidRPr="0017718B">
        <w:t xml:space="preserve">the embodied carbon within material required </w:t>
      </w:r>
      <w:r w:rsidR="008A5CD3" w:rsidRPr="0017718B">
        <w:t>and emissions associated with the construction process</w:t>
      </w:r>
      <w:r w:rsidR="00B34DC0" w:rsidRPr="0017718B">
        <w:t>. The major sources of emissions in the operational stage</w:t>
      </w:r>
      <w:r w:rsidR="008A5CD3" w:rsidRPr="0017718B">
        <w:t xml:space="preserve"> </w:t>
      </w:r>
      <w:r w:rsidR="00CA072F">
        <w:t>are</w:t>
      </w:r>
      <w:r w:rsidR="00186BA7">
        <w:t xml:space="preserve"> the</w:t>
      </w:r>
      <w:r w:rsidR="00B34DC0" w:rsidRPr="0017718B">
        <w:t xml:space="preserve"> </w:t>
      </w:r>
      <w:r w:rsidR="008A5CD3" w:rsidRPr="0017718B">
        <w:t xml:space="preserve">operational energy demand and </w:t>
      </w:r>
      <w:r w:rsidR="0017718B" w:rsidRPr="0017718B">
        <w:t>user’s utilisation emissions</w:t>
      </w:r>
      <w:r w:rsidR="00B34DC0" w:rsidRPr="0017718B">
        <w:t>.</w:t>
      </w:r>
    </w:p>
    <w:p w14:paraId="7F39D00E" w14:textId="01D8130F" w:rsidR="00E54552" w:rsidRPr="0017718B" w:rsidRDefault="00E54552" w:rsidP="00C91832">
      <w:pPr>
        <w:pStyle w:val="BodyText"/>
      </w:pPr>
      <w:r w:rsidRPr="0017718B">
        <w:t xml:space="preserve">As material manufacturing technologies improve, and government policy relating to emissions from construction and transport continues to evolve, all future construction activities will be required to comply with this. Furthermore, construction emissions are time-limited and are not projected to extend beyond 2030 so cannot materially impact Ireland's net zero target for 2050.  For these reasons, the significance of </w:t>
      </w:r>
      <w:r w:rsidR="0017718B">
        <w:t>c</w:t>
      </w:r>
      <w:r w:rsidRPr="0017718B">
        <w:t xml:space="preserve">onstruction </w:t>
      </w:r>
      <w:r w:rsidR="0017718B">
        <w:t>e</w:t>
      </w:r>
      <w:r w:rsidRPr="0017718B">
        <w:t xml:space="preserve">missions can be evaluated as </w:t>
      </w:r>
      <w:r w:rsidRPr="0017718B">
        <w:rPr>
          <w:b/>
        </w:rPr>
        <w:t>Minor Adverse</w:t>
      </w:r>
      <w:r w:rsidRPr="0017718B">
        <w:t xml:space="preserve"> and </w:t>
      </w:r>
      <w:r w:rsidRPr="0017718B">
        <w:rPr>
          <w:b/>
        </w:rPr>
        <w:t>Not Significant</w:t>
      </w:r>
      <w:r w:rsidRPr="0017718B">
        <w:t>.</w:t>
      </w:r>
    </w:p>
    <w:p w14:paraId="74DAD6E1" w14:textId="28F14BA6" w:rsidR="00A83919" w:rsidRPr="005E72C4" w:rsidRDefault="009A783B" w:rsidP="00A7414A">
      <w:pPr>
        <w:pStyle w:val="BodyText"/>
      </w:pPr>
      <w:r w:rsidRPr="00267DD5">
        <w:rPr>
          <w:szCs w:val="28"/>
        </w:rPr>
        <w:t xml:space="preserve">It is considered that the Proposed Development’s emissions from operation are ‘fully consistent with applicable existing and emerging policy requirements and good practice design standards for projects of this type’. Hence, it is evaluated that the operational emissions from the Proposed Development are </w:t>
      </w:r>
      <w:r w:rsidRPr="00267DD5">
        <w:rPr>
          <w:b/>
          <w:szCs w:val="28"/>
        </w:rPr>
        <w:t>Minor Adverse</w:t>
      </w:r>
      <w:r w:rsidRPr="00267DD5">
        <w:rPr>
          <w:szCs w:val="28"/>
        </w:rPr>
        <w:t xml:space="preserve"> and </w:t>
      </w:r>
      <w:r w:rsidRPr="00267DD5">
        <w:rPr>
          <w:b/>
          <w:szCs w:val="28"/>
        </w:rPr>
        <w:t>Not Significant</w:t>
      </w:r>
      <w:r w:rsidRPr="00267DD5">
        <w:rPr>
          <w:szCs w:val="28"/>
        </w:rPr>
        <w:t>.</w:t>
      </w:r>
      <w:r w:rsidRPr="00E54552">
        <w:rPr>
          <w:szCs w:val="28"/>
        </w:rPr>
        <w:t xml:space="preserve"> </w:t>
      </w:r>
    </w:p>
    <w:p w14:paraId="1D9814F5" w14:textId="77777777" w:rsidR="00877CE0" w:rsidRDefault="00877CE0" w:rsidP="00877CE0">
      <w:pPr>
        <w:pStyle w:val="Heading3"/>
      </w:pPr>
      <w:bookmarkStart w:id="181" w:name="_Toc239776220"/>
      <w:r>
        <w:t>Climate Change Risk Assessment</w:t>
      </w:r>
      <w:bookmarkEnd w:id="181"/>
    </w:p>
    <w:p w14:paraId="70BF475E" w14:textId="1677CA28" w:rsidR="00FD0C4A" w:rsidRDefault="00D356BF" w:rsidP="00C91832">
      <w:pPr>
        <w:pStyle w:val="BodyText"/>
      </w:pPr>
      <w:r>
        <w:t>C</w:t>
      </w:r>
      <w:r w:rsidRPr="005A36AD">
        <w:t xml:space="preserve">limate risks were identified (e.g. </w:t>
      </w:r>
      <w:r w:rsidRPr="00343909">
        <w:t>increased risk of heat stress on construction workers) using the climate hazards deemed to be relevant to the Proposed Development (e.g. increased frequency and intensity of summer heatwaves</w:t>
      </w:r>
      <w:r w:rsidRPr="00D356BF">
        <w:t>).</w:t>
      </w:r>
      <w:r w:rsidRPr="00A7414A">
        <w:t xml:space="preserve"> </w:t>
      </w:r>
      <w:r w:rsidRPr="005A36AD">
        <w:t>There was a total of 14 climate risks identified, seven of which are during the construction of the Proposed Development, and seven which are during the operational phase.</w:t>
      </w:r>
      <w:r>
        <w:t xml:space="preserve"> </w:t>
      </w:r>
    </w:p>
    <w:p w14:paraId="0A918700" w14:textId="2AE32041" w:rsidR="00D356BF" w:rsidRDefault="00D356BF" w:rsidP="00C91832">
      <w:pPr>
        <w:pStyle w:val="BodyText"/>
      </w:pPr>
      <w:r w:rsidRPr="00D356BF">
        <w:t>Climate risks include potential increased heat stress on construction workers and occupants, and increased risk of damage of construction equipment from flooding and storm events.</w:t>
      </w:r>
      <w:r w:rsidR="00FD0C4A">
        <w:t xml:space="preserve"> </w:t>
      </w:r>
      <w:r w:rsidR="00FD0C4A" w:rsidRPr="00FD0C4A">
        <w:t xml:space="preserve">There </w:t>
      </w:r>
      <w:r w:rsidR="00181523" w:rsidRPr="00FD0C4A">
        <w:t>were</w:t>
      </w:r>
      <w:r w:rsidR="00FD0C4A" w:rsidRPr="00FD0C4A">
        <w:t xml:space="preserve"> zero climate risks which fell under the ‘significant’ category for the RCP 4.5 scenario and one risk rated as significant under RCP 8.5 (2071-2100).</w:t>
      </w:r>
    </w:p>
    <w:p w14:paraId="55AC43DE" w14:textId="50ABA1C5" w:rsidR="005E72C4" w:rsidRPr="00A7414A" w:rsidRDefault="00781C62" w:rsidP="00A7414A">
      <w:pPr>
        <w:pStyle w:val="Heading3"/>
      </w:pPr>
      <w:bookmarkStart w:id="182" w:name="_Toc239776221"/>
      <w:r w:rsidRPr="00781C62">
        <w:t>In-Combination Climate Change Impact Assessment</w:t>
      </w:r>
      <w:bookmarkEnd w:id="182"/>
    </w:p>
    <w:p w14:paraId="0B927CCA" w14:textId="528A21FD" w:rsidR="00782664" w:rsidRPr="00722FF6" w:rsidRDefault="000314FD" w:rsidP="00A7414A">
      <w:pPr>
        <w:pStyle w:val="BodyText"/>
        <w:rPr>
          <w:highlight w:val="yellow"/>
        </w:rPr>
      </w:pPr>
      <w:r w:rsidRPr="000314FD">
        <w:t>The ICCI Assessment was carried out to identify and assess the combined impact of the Proposed Development and future climate change on receptors in the surrounding environment.</w:t>
      </w:r>
      <w:r>
        <w:t xml:space="preserve"> </w:t>
      </w:r>
      <w:r w:rsidRPr="000314FD">
        <w:t>No significant residual effects have been identified for the ICCI assessment.</w:t>
      </w:r>
    </w:p>
    <w:p w14:paraId="55B94B82" w14:textId="658AFE69" w:rsidR="00266989" w:rsidRDefault="00266989" w:rsidP="00F425BB">
      <w:pPr>
        <w:pStyle w:val="Heading2"/>
      </w:pPr>
      <w:bookmarkStart w:id="183" w:name="_Toc239776222"/>
      <w:r>
        <w:lastRenderedPageBreak/>
        <w:t>Mitigation measures</w:t>
      </w:r>
      <w:bookmarkEnd w:id="183"/>
    </w:p>
    <w:p w14:paraId="4B41C22F" w14:textId="49EF6C24" w:rsidR="001B68FE" w:rsidRDefault="001B68FE" w:rsidP="001B68FE">
      <w:pPr>
        <w:pStyle w:val="BodyText"/>
      </w:pPr>
      <w:r w:rsidRPr="001B68FE">
        <w:t>Additional mitigation measures and monitoring are proposed to reduce the climate risk of the Proposed Development.</w:t>
      </w:r>
    </w:p>
    <w:p w14:paraId="282C0A6A" w14:textId="644FB04A" w:rsidR="00267DD5" w:rsidRDefault="00267DD5" w:rsidP="00A7414A">
      <w:pPr>
        <w:pStyle w:val="Heading3"/>
      </w:pPr>
      <w:bookmarkStart w:id="184" w:name="_Toc239776223"/>
      <w:r>
        <w:t>Climate Change Risk Assessment</w:t>
      </w:r>
      <w:bookmarkEnd w:id="184"/>
    </w:p>
    <w:p w14:paraId="52193623" w14:textId="0345CF3D" w:rsidR="001B68FE" w:rsidRDefault="001B68FE" w:rsidP="00267DD5">
      <w:pPr>
        <w:pStyle w:val="Heading4"/>
      </w:pPr>
      <w:r>
        <w:t>Construction Phase</w:t>
      </w:r>
    </w:p>
    <w:p w14:paraId="63B5E15C" w14:textId="41E053F5" w:rsidR="001B68FE" w:rsidRDefault="001B68FE" w:rsidP="001B68FE">
      <w:pPr>
        <w:pStyle w:val="BodyText"/>
      </w:pPr>
      <w:r>
        <w:t>Measures include:</w:t>
      </w:r>
    </w:p>
    <w:p w14:paraId="228BBF2E" w14:textId="5D5273F4" w:rsidR="00CE7829" w:rsidRDefault="000940E7" w:rsidP="001B68FE">
      <w:pPr>
        <w:pStyle w:val="BodyText"/>
        <w:numPr>
          <w:ilvl w:val="0"/>
          <w:numId w:val="37"/>
        </w:numPr>
      </w:pPr>
      <w:r>
        <w:t xml:space="preserve">Installing a water pump </w:t>
      </w:r>
      <w:r w:rsidR="00CE7829">
        <w:t>for areas with critical infrastructure;</w:t>
      </w:r>
    </w:p>
    <w:p w14:paraId="1FD4460C" w14:textId="0E4A1F94" w:rsidR="00CE7829" w:rsidRDefault="00CE7829" w:rsidP="001B68FE">
      <w:pPr>
        <w:pStyle w:val="BodyText"/>
        <w:numPr>
          <w:ilvl w:val="0"/>
          <w:numId w:val="37"/>
        </w:numPr>
      </w:pPr>
      <w:r>
        <w:t>Raising critical infrastructure above probable max flood level;</w:t>
      </w:r>
    </w:p>
    <w:p w14:paraId="297755A4" w14:textId="6548BA24" w:rsidR="00CE7829" w:rsidRDefault="00055E2B" w:rsidP="001B68FE">
      <w:pPr>
        <w:pStyle w:val="BodyText"/>
        <w:numPr>
          <w:ilvl w:val="0"/>
          <w:numId w:val="37"/>
        </w:numPr>
      </w:pPr>
      <w:r>
        <w:t>Using construction materials with increased tolerance to extreme weather events;</w:t>
      </w:r>
    </w:p>
    <w:p w14:paraId="08E24491" w14:textId="485878A4" w:rsidR="00055E2B" w:rsidRDefault="00502F67" w:rsidP="001B68FE">
      <w:pPr>
        <w:pStyle w:val="BodyText"/>
        <w:numPr>
          <w:ilvl w:val="0"/>
          <w:numId w:val="37"/>
        </w:numPr>
      </w:pPr>
      <w:r>
        <w:t>Installing additional attenuation storage tanks;</w:t>
      </w:r>
    </w:p>
    <w:p w14:paraId="701937A6" w14:textId="514A7590" w:rsidR="00502F67" w:rsidRDefault="00CA152B" w:rsidP="001B68FE">
      <w:pPr>
        <w:pStyle w:val="BodyText"/>
        <w:numPr>
          <w:ilvl w:val="0"/>
          <w:numId w:val="37"/>
        </w:numPr>
      </w:pPr>
      <w:r>
        <w:t>Ceasing outdoor and non-essential work if conditions are too dangerous;</w:t>
      </w:r>
      <w:r w:rsidR="005D1372">
        <w:t xml:space="preserve"> and</w:t>
      </w:r>
    </w:p>
    <w:p w14:paraId="34F4AB3A" w14:textId="00107D73" w:rsidR="00CA152B" w:rsidRDefault="00CA152B" w:rsidP="00A7414A">
      <w:pPr>
        <w:pStyle w:val="BodyText"/>
        <w:numPr>
          <w:ilvl w:val="0"/>
          <w:numId w:val="37"/>
        </w:numPr>
      </w:pPr>
      <w:r>
        <w:t>Installing adequate cooling and ventilation sys</w:t>
      </w:r>
      <w:r w:rsidR="004813B0">
        <w:t>tems in temporary works facilities.</w:t>
      </w:r>
    </w:p>
    <w:p w14:paraId="2F4BE652" w14:textId="7CF56334" w:rsidR="000940E7" w:rsidRDefault="000940E7" w:rsidP="00267DD5">
      <w:pPr>
        <w:pStyle w:val="Heading4"/>
      </w:pPr>
      <w:r>
        <w:t>Operational Phase</w:t>
      </w:r>
    </w:p>
    <w:p w14:paraId="46CCAB0A" w14:textId="05BD8296" w:rsidR="000940E7" w:rsidRDefault="000940E7" w:rsidP="001B68FE">
      <w:pPr>
        <w:pStyle w:val="BodyText"/>
      </w:pPr>
      <w:r>
        <w:t>Measures include:</w:t>
      </w:r>
    </w:p>
    <w:p w14:paraId="71957660" w14:textId="776E1D74" w:rsidR="00B71EDF" w:rsidRDefault="00B71EDF" w:rsidP="00B71EDF">
      <w:pPr>
        <w:pStyle w:val="BodyText"/>
        <w:numPr>
          <w:ilvl w:val="0"/>
          <w:numId w:val="38"/>
        </w:numPr>
      </w:pPr>
      <w:r>
        <w:t>Introducing a drainage maintenance and operation plan;</w:t>
      </w:r>
    </w:p>
    <w:p w14:paraId="7AEA9E8A" w14:textId="19E34A90" w:rsidR="00B71EDF" w:rsidRDefault="00B71EDF" w:rsidP="00B71EDF">
      <w:pPr>
        <w:pStyle w:val="BodyText"/>
        <w:numPr>
          <w:ilvl w:val="0"/>
          <w:numId w:val="38"/>
        </w:numPr>
      </w:pPr>
      <w:r>
        <w:t>Re-pav</w:t>
      </w:r>
      <w:r w:rsidR="004E7CEB">
        <w:t>ing</w:t>
      </w:r>
      <w:r>
        <w:t xml:space="preserve"> areas with a permeable material;</w:t>
      </w:r>
    </w:p>
    <w:p w14:paraId="5BF330A1" w14:textId="2C903E0F" w:rsidR="00B71EDF" w:rsidRDefault="004E7CEB" w:rsidP="00B71EDF">
      <w:pPr>
        <w:pStyle w:val="BodyText"/>
        <w:numPr>
          <w:ilvl w:val="0"/>
          <w:numId w:val="38"/>
        </w:numPr>
      </w:pPr>
      <w:r>
        <w:t>Monitoring wind patterns and implementing an early warning system;</w:t>
      </w:r>
    </w:p>
    <w:p w14:paraId="7F4DF1DE" w14:textId="42DEAB08" w:rsidR="007F39C6" w:rsidRDefault="007F39C6" w:rsidP="00B71EDF">
      <w:pPr>
        <w:pStyle w:val="BodyText"/>
        <w:numPr>
          <w:ilvl w:val="0"/>
          <w:numId w:val="38"/>
        </w:numPr>
      </w:pPr>
      <w:r>
        <w:t>Undertaking</w:t>
      </w:r>
      <w:r w:rsidR="00293772">
        <w:t xml:space="preserve"> regular</w:t>
      </w:r>
      <w:r>
        <w:t xml:space="preserve"> monitoring</w:t>
      </w:r>
      <w:r w:rsidR="00327475">
        <w:t xml:space="preserve"> of trees and vegetation</w:t>
      </w:r>
      <w:r w:rsidR="00293772">
        <w:t>;</w:t>
      </w:r>
      <w:r w:rsidR="005D1372">
        <w:t xml:space="preserve"> and</w:t>
      </w:r>
    </w:p>
    <w:p w14:paraId="5FE55555" w14:textId="54BE36AD" w:rsidR="00293772" w:rsidRPr="001B68FE" w:rsidRDefault="00293772" w:rsidP="00A7414A">
      <w:pPr>
        <w:pStyle w:val="BodyText"/>
        <w:numPr>
          <w:ilvl w:val="0"/>
          <w:numId w:val="38"/>
        </w:numPr>
      </w:pPr>
      <w:r>
        <w:t>Checking HVAC systems are working correctly</w:t>
      </w:r>
      <w:r w:rsidR="005D1372">
        <w:t xml:space="preserve"> in advance of extended periods of heat.</w:t>
      </w:r>
    </w:p>
    <w:p w14:paraId="4092AA78" w14:textId="2A682BD8" w:rsidR="00266989" w:rsidRDefault="00266989" w:rsidP="00F425BB">
      <w:pPr>
        <w:pStyle w:val="Heading2"/>
      </w:pPr>
      <w:bookmarkStart w:id="185" w:name="_Toc239776224"/>
      <w:r>
        <w:t>Residual Impacts</w:t>
      </w:r>
      <w:bookmarkEnd w:id="185"/>
    </w:p>
    <w:p w14:paraId="16DA34CE" w14:textId="53E2B669" w:rsidR="00A155EC" w:rsidRDefault="00A155EC" w:rsidP="00A155EC">
      <w:pPr>
        <w:pStyle w:val="Heading3"/>
      </w:pPr>
      <w:bookmarkStart w:id="186" w:name="_Toc239776225"/>
      <w:r>
        <w:t>Lifecycle GHG Assessment</w:t>
      </w:r>
      <w:bookmarkEnd w:id="186"/>
    </w:p>
    <w:p w14:paraId="72CACBCC" w14:textId="3260C92F" w:rsidR="00A155EC" w:rsidRDefault="00A155EC" w:rsidP="00A155EC">
      <w:pPr>
        <w:pStyle w:val="BodyText"/>
      </w:pPr>
      <w:r w:rsidRPr="00A155EC">
        <w:t>No significant residual effects have been identified for the GHG assessment.</w:t>
      </w:r>
    </w:p>
    <w:p w14:paraId="707F9E3F" w14:textId="51B7EFE2" w:rsidR="00A155EC" w:rsidRDefault="00A155EC" w:rsidP="00A7414A">
      <w:pPr>
        <w:pStyle w:val="Heading3"/>
      </w:pPr>
      <w:bookmarkStart w:id="187" w:name="_Toc239776226"/>
      <w:r>
        <w:t>Climate Change Risk Assessment</w:t>
      </w:r>
      <w:bookmarkEnd w:id="187"/>
    </w:p>
    <w:p w14:paraId="543CF5FD" w14:textId="6FB8F0EA" w:rsidR="00A155EC" w:rsidRDefault="00A155EC" w:rsidP="00A155EC">
      <w:pPr>
        <w:pStyle w:val="BodyText"/>
      </w:pPr>
      <w:r w:rsidRPr="006C1522">
        <w:t>No significant residual effects have been identified for the CCRA.</w:t>
      </w:r>
    </w:p>
    <w:p w14:paraId="410EABCE" w14:textId="77B881B2" w:rsidR="001E148F" w:rsidRDefault="001E148F" w:rsidP="001E148F">
      <w:pPr>
        <w:pStyle w:val="Heading3"/>
      </w:pPr>
      <w:bookmarkStart w:id="188" w:name="_Toc239776227"/>
      <w:r>
        <w:t>In-combination Climate Change Impact Assessment</w:t>
      </w:r>
      <w:bookmarkEnd w:id="188"/>
    </w:p>
    <w:p w14:paraId="5453EFD2" w14:textId="69F11200" w:rsidR="001E148F" w:rsidRPr="00A155EC" w:rsidRDefault="001E148F" w:rsidP="00A7414A">
      <w:pPr>
        <w:pStyle w:val="BodyText"/>
      </w:pPr>
      <w:r w:rsidRPr="001E148F">
        <w:t>No significant residual effects have been identified for the ICCI.</w:t>
      </w:r>
    </w:p>
    <w:p w14:paraId="55A29B2E" w14:textId="77777777" w:rsidR="00266989" w:rsidRDefault="00266989" w:rsidP="00FC39FA">
      <w:pPr>
        <w:pStyle w:val="Heading1"/>
        <w:numPr>
          <w:ilvl w:val="0"/>
          <w:numId w:val="0"/>
        </w:numPr>
      </w:pPr>
      <w:bookmarkStart w:id="189" w:name="_Toc239776228"/>
      <w:r>
        <w:lastRenderedPageBreak/>
        <w:t>Summary of Cumulative Impacts and Interactions</w:t>
      </w:r>
      <w:bookmarkEnd w:id="189"/>
    </w:p>
    <w:p w14:paraId="4CDC148F" w14:textId="44026FB1" w:rsidR="00266989" w:rsidRDefault="00AA3AE1" w:rsidP="00FC39FA">
      <w:pPr>
        <w:pStyle w:val="Heading2"/>
      </w:pPr>
      <w:bookmarkStart w:id="190" w:name="_Toc231818415"/>
      <w:bookmarkStart w:id="191" w:name="_Toc231818823"/>
      <w:bookmarkStart w:id="192" w:name="_Toc231820335"/>
      <w:bookmarkStart w:id="193" w:name="_Toc239776229"/>
      <w:bookmarkEnd w:id="190"/>
      <w:bookmarkEnd w:id="191"/>
      <w:bookmarkEnd w:id="192"/>
      <w:r>
        <w:t>Lifecycle GHG Assessment</w:t>
      </w:r>
      <w:bookmarkEnd w:id="193"/>
    </w:p>
    <w:p w14:paraId="7829595F" w14:textId="17CAC5DB" w:rsidR="00A0292F" w:rsidRDefault="00A0292F" w:rsidP="00A7414A">
      <w:pPr>
        <w:pStyle w:val="BodyText"/>
      </w:pPr>
      <w:r w:rsidRPr="00A0292F">
        <w:t>GHG emissions are inherently cumulative because their impacts depend on the total concentration of gases in the atmosphere, not the location or source of individual emissions. As a result, assessing cumulative effects at a project level is inappropriate, and instead emissions are evaluated against national carbon budgets to determine whether a development materially affects Ireland’s climate targets.</w:t>
      </w:r>
    </w:p>
    <w:p w14:paraId="199BB4B8" w14:textId="2119DC69" w:rsidR="00AA3AE1" w:rsidRDefault="00AA3AE1" w:rsidP="00FC39FA">
      <w:pPr>
        <w:pStyle w:val="Heading2"/>
      </w:pPr>
      <w:bookmarkStart w:id="194" w:name="_Toc239776230"/>
      <w:r>
        <w:t>C</w:t>
      </w:r>
      <w:r w:rsidR="00142939">
        <w:t xml:space="preserve">limate </w:t>
      </w:r>
      <w:r>
        <w:t>C</w:t>
      </w:r>
      <w:r w:rsidR="00142939">
        <w:t xml:space="preserve">hange </w:t>
      </w:r>
      <w:r>
        <w:t>R</w:t>
      </w:r>
      <w:r w:rsidR="00142939">
        <w:t xml:space="preserve">isk </w:t>
      </w:r>
      <w:r>
        <w:t>A</w:t>
      </w:r>
      <w:r w:rsidR="00142939">
        <w:t>ssessment</w:t>
      </w:r>
      <w:bookmarkEnd w:id="194"/>
    </w:p>
    <w:p w14:paraId="7F58AFFB" w14:textId="0FD9B396" w:rsidR="00142939" w:rsidRPr="00142939" w:rsidRDefault="00142939" w:rsidP="00A7414A">
      <w:pPr>
        <w:pStyle w:val="BodyText"/>
      </w:pPr>
      <w:r w:rsidRPr="00512280">
        <w:t>Cumulative effects for the CCRA are scoped out on the basis that we are only assessing impacts on the Proposed Development.</w:t>
      </w:r>
    </w:p>
    <w:p w14:paraId="320D92E8" w14:textId="59151A74" w:rsidR="00266989" w:rsidRDefault="00AA3AE1" w:rsidP="00FC39FA">
      <w:pPr>
        <w:pStyle w:val="Heading2"/>
      </w:pPr>
      <w:bookmarkStart w:id="195" w:name="_Toc239776231"/>
      <w:r>
        <w:t>I</w:t>
      </w:r>
      <w:r w:rsidR="00142939">
        <w:t xml:space="preserve">n-combination </w:t>
      </w:r>
      <w:r>
        <w:t>C</w:t>
      </w:r>
      <w:r w:rsidR="00142939">
        <w:t xml:space="preserve">limate Change </w:t>
      </w:r>
      <w:r>
        <w:t>I</w:t>
      </w:r>
      <w:r w:rsidR="00142939">
        <w:t>mpact Assessment</w:t>
      </w:r>
      <w:bookmarkEnd w:id="195"/>
      <w:r w:rsidR="00266989">
        <w:t xml:space="preserve">   </w:t>
      </w:r>
    </w:p>
    <w:p w14:paraId="1FBCFAB5" w14:textId="342B018F" w:rsidR="00142939" w:rsidRPr="00512280" w:rsidRDefault="00C648ED" w:rsidP="00142939">
      <w:pPr>
        <w:pStyle w:val="BodyText"/>
      </w:pPr>
      <w:r>
        <w:t xml:space="preserve">The ICCI Assessment itself assesses the cumulative impact of climate change and the </w:t>
      </w:r>
      <w:r w:rsidR="00D60BD6">
        <w:t>Proposed</w:t>
      </w:r>
      <w:r>
        <w:t xml:space="preserve"> Development on surrounding environmental receptors</w:t>
      </w:r>
      <w:r w:rsidR="00D105B1">
        <w:t xml:space="preserve">. It is not considered necessary to account for </w:t>
      </w:r>
      <w:r w:rsidR="00D60BD6">
        <w:t xml:space="preserve">any additional cumulative </w:t>
      </w:r>
      <w:r w:rsidR="002F6A8E">
        <w:t>impacts</w:t>
      </w:r>
      <w:r w:rsidR="00D60BD6">
        <w:t xml:space="preserve"> beyond those presented within the assessment above.</w:t>
      </w:r>
    </w:p>
    <w:p w14:paraId="2E3F2A19" w14:textId="77777777" w:rsidR="00142939" w:rsidRPr="00142939" w:rsidRDefault="00142939" w:rsidP="00A7414A">
      <w:pPr>
        <w:pStyle w:val="BodyText"/>
      </w:pPr>
    </w:p>
    <w:p w14:paraId="4DC9A9C5" w14:textId="77777777" w:rsidR="00266989" w:rsidRDefault="00266989" w:rsidP="00FC39FA">
      <w:pPr>
        <w:pStyle w:val="Heading1"/>
        <w:numPr>
          <w:ilvl w:val="0"/>
          <w:numId w:val="0"/>
        </w:numPr>
        <w:ind w:left="850" w:hanging="850"/>
      </w:pPr>
      <w:bookmarkStart w:id="196" w:name="_Toc239776232"/>
      <w:r>
        <w:lastRenderedPageBreak/>
        <w:t>Summary of Mitigation and Monitoring</w:t>
      </w:r>
      <w:bookmarkEnd w:id="196"/>
    </w:p>
    <w:p w14:paraId="4E7689CF" w14:textId="7C91A893" w:rsidR="00266989" w:rsidRDefault="00266989" w:rsidP="00FC39FA">
      <w:pPr>
        <w:pStyle w:val="Heading2"/>
      </w:pPr>
      <w:bookmarkStart w:id="197" w:name="_Toc239776233"/>
      <w:r>
        <w:t>Mitigation</w:t>
      </w:r>
      <w:bookmarkEnd w:id="197"/>
    </w:p>
    <w:p w14:paraId="7D5CE905" w14:textId="78CFF06E" w:rsidR="008C5FC4" w:rsidRPr="00472CB3" w:rsidRDefault="00562F2A" w:rsidP="00A7414A">
      <w:pPr>
        <w:pStyle w:val="BodyText"/>
      </w:pPr>
      <w:r>
        <w:t>No a</w:t>
      </w:r>
      <w:r w:rsidR="00BB0D18">
        <w:t xml:space="preserve">dditional </w:t>
      </w:r>
      <w:r>
        <w:t>mitigation is required</w:t>
      </w:r>
      <w:r w:rsidR="00820647">
        <w:t>.</w:t>
      </w:r>
    </w:p>
    <w:p w14:paraId="3491A0AB" w14:textId="4F4D63F0" w:rsidR="00266989" w:rsidRDefault="00266989" w:rsidP="00FC39FA">
      <w:pPr>
        <w:pStyle w:val="Heading2"/>
      </w:pPr>
      <w:bookmarkStart w:id="198" w:name="_Toc239776234"/>
      <w:r>
        <w:t>Monitoring</w:t>
      </w:r>
      <w:bookmarkEnd w:id="198"/>
    </w:p>
    <w:p w14:paraId="000E3F62" w14:textId="0407C942" w:rsidR="00820647" w:rsidRPr="00472CB3" w:rsidRDefault="00820647" w:rsidP="00A7414A">
      <w:pPr>
        <w:pStyle w:val="BodyText"/>
      </w:pPr>
      <w:r>
        <w:t xml:space="preserve">Additional monitoring of storm events is required to reduce the risk rating </w:t>
      </w:r>
      <w:r w:rsidR="00FB20B9">
        <w:t xml:space="preserve">of Storm events in an RCP8.5 scenario (2071-2100) </w:t>
      </w:r>
      <w:r w:rsidR="003605B8">
        <w:t>from high (Significant) to medium (Not Significant)</w:t>
      </w:r>
      <w:r w:rsidR="00FB20B9">
        <w:t>. Wind patterns should be monitored and an early warning system should be in place at the Proposed Development</w:t>
      </w:r>
      <w:r w:rsidR="00387931">
        <w:t>. This will allow for contingency plans</w:t>
      </w:r>
      <w:r w:rsidR="00F63F5E">
        <w:t xml:space="preserve"> to be put in place in advance of predicted storm and windy conditions.</w:t>
      </w:r>
    </w:p>
    <w:p w14:paraId="0A0E4584" w14:textId="77777777" w:rsidR="00E2027A" w:rsidRDefault="00266989" w:rsidP="00FC39FA">
      <w:pPr>
        <w:pStyle w:val="Heading2"/>
      </w:pPr>
      <w:bookmarkStart w:id="199" w:name="_Toc239776235"/>
      <w:r>
        <w:t>Summary of Environmental Commitment</w:t>
      </w:r>
      <w:r w:rsidR="00C62D66">
        <w:t>s</w:t>
      </w:r>
      <w:bookmarkEnd w:id="199"/>
    </w:p>
    <w:p w14:paraId="631E41E2" w14:textId="77777777" w:rsidR="00C829B6" w:rsidRDefault="00C829B6" w:rsidP="0078775F">
      <w:pPr>
        <w:tabs>
          <w:tab w:val="clear" w:pos="284"/>
        </w:tabs>
        <w:spacing w:line="240" w:lineRule="auto"/>
        <w:jc w:val="left"/>
      </w:pPr>
    </w:p>
    <w:p w14:paraId="2CB62241" w14:textId="153D1279" w:rsidR="00B50726" w:rsidRDefault="00B50726" w:rsidP="0078775F">
      <w:pPr>
        <w:tabs>
          <w:tab w:val="clear" w:pos="284"/>
        </w:tabs>
        <w:spacing w:line="240" w:lineRule="auto"/>
        <w:jc w:val="left"/>
        <w:sectPr w:rsidR="00B50726" w:rsidSect="001B6A0C">
          <w:pgSz w:w="11906" w:h="16838"/>
          <w:pgMar w:top="1134" w:right="1134" w:bottom="851" w:left="1418" w:header="567" w:footer="284" w:gutter="0"/>
          <w:pgNumType w:chapStyle="1"/>
          <w:cols w:space="284"/>
          <w:docGrid w:linePitch="360"/>
        </w:sectPr>
      </w:pPr>
      <w:r>
        <w:t xml:space="preserve">No additional environmental commitments are proposed as a result of the </w:t>
      </w:r>
      <w:r w:rsidR="00C50D3E">
        <w:t>climate change assessments</w:t>
      </w:r>
    </w:p>
    <w:p w14:paraId="31B2634B" w14:textId="665ECF9C" w:rsidR="0080324C" w:rsidRDefault="0080324C" w:rsidP="0080324C">
      <w:pPr>
        <w:pStyle w:val="BodyText"/>
      </w:pPr>
      <w:bookmarkStart w:id="200" w:name="_Toc231820343"/>
      <w:bookmarkStart w:id="201" w:name="_Toc231380044"/>
      <w:bookmarkStart w:id="202" w:name="_Toc231818423"/>
      <w:bookmarkStart w:id="203" w:name="_Toc231818831"/>
      <w:bookmarkStart w:id="204" w:name="_Toc231820344"/>
      <w:bookmarkStart w:id="205" w:name="_Toc231380045"/>
      <w:bookmarkStart w:id="206" w:name="_Toc231818424"/>
      <w:bookmarkStart w:id="207" w:name="_Toc231818832"/>
      <w:bookmarkStart w:id="208" w:name="_Toc231820345"/>
      <w:bookmarkStart w:id="209" w:name="_Toc239753029"/>
      <w:bookmarkStart w:id="210" w:name="_Toc239753030"/>
      <w:bookmarkEnd w:id="49"/>
      <w:bookmarkEnd w:id="200"/>
      <w:bookmarkEnd w:id="201"/>
      <w:bookmarkEnd w:id="202"/>
      <w:bookmarkEnd w:id="203"/>
      <w:bookmarkEnd w:id="204"/>
      <w:bookmarkEnd w:id="205"/>
      <w:bookmarkEnd w:id="206"/>
      <w:bookmarkEnd w:id="207"/>
      <w:bookmarkEnd w:id="208"/>
      <w:bookmarkEnd w:id="209"/>
      <w:bookmarkEnd w:id="210"/>
    </w:p>
    <w:sectPr w:rsidR="0080324C" w:rsidSect="008928B6">
      <w:pgSz w:w="16838" w:h="11906" w:orient="landscape"/>
      <w:pgMar w:top="1418" w:right="1134" w:bottom="1134" w:left="851" w:header="567" w:footer="284" w:gutter="0"/>
      <w:pgNumType w:start="0" w:chapStyle="1"/>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1F1F8E" w14:textId="77777777" w:rsidR="00BC38A2" w:rsidRDefault="00BC38A2" w:rsidP="00253171">
      <w:pPr>
        <w:spacing w:line="240" w:lineRule="auto"/>
      </w:pPr>
      <w:r>
        <w:separator/>
      </w:r>
    </w:p>
  </w:endnote>
  <w:endnote w:type="continuationSeparator" w:id="0">
    <w:p w14:paraId="67DB455B" w14:textId="77777777" w:rsidR="00BC38A2" w:rsidRDefault="00BC38A2" w:rsidP="002531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37D67" w14:textId="3353BBC8" w:rsidR="00F9218B" w:rsidRPr="0087529F" w:rsidRDefault="00B25623" w:rsidP="00F9218B">
    <w:pPr>
      <w:pStyle w:val="Header"/>
      <w:jc w:val="center"/>
    </w:pPr>
    <w:r w:rsidRPr="0087529F">
      <w:fldChar w:fldCharType="begin"/>
    </w:r>
    <w:r w:rsidRPr="0087529F">
      <w:instrText xml:space="preserve"> DOCPROPERTY  ProtectiveMarking \* MERGEFORMAT </w:instrText>
    </w:r>
    <w:r w:rsidRPr="0087529F">
      <w:fldChar w:fldCharType="end"/>
    </w:r>
  </w:p>
  <w:tbl>
    <w:tblPr>
      <w:tblStyle w:val="Plaingrid"/>
      <w:tblW w:w="5000" w:type="pct"/>
      <w:tblLook w:val="04A0" w:firstRow="1" w:lastRow="0" w:firstColumn="1" w:lastColumn="0" w:noHBand="0" w:noVBand="1"/>
    </w:tblPr>
    <w:tblGrid>
      <w:gridCol w:w="5801"/>
      <w:gridCol w:w="3553"/>
    </w:tblGrid>
    <w:tr w:rsidR="00CF237B" w:rsidRPr="0087529F" w14:paraId="1FF7C6A8" w14:textId="77777777" w:rsidTr="00F9218B">
      <w:tc>
        <w:tcPr>
          <w:tcW w:w="5598" w:type="dxa"/>
        </w:tcPr>
        <w:p w14:paraId="5874D1BD" w14:textId="40D9CFC3" w:rsidR="00CF237B" w:rsidRPr="0087529F" w:rsidRDefault="003608F6" w:rsidP="006A7D49">
          <w:pPr>
            <w:pStyle w:val="Footer"/>
          </w:pPr>
          <w:r>
            <w:t xml:space="preserve">Prepared </w:t>
          </w:r>
          <w:r w:rsidR="00B65176">
            <w:t>f</w:t>
          </w:r>
          <w:r>
            <w:t xml:space="preserve">or: </w:t>
          </w:r>
          <w:r w:rsidR="00B65176">
            <w:t>South Dublin County Council (SDCC)</w:t>
          </w:r>
          <w:r w:rsidR="00CF237B" w:rsidRPr="0087529F">
            <w:fldChar w:fldCharType="begin"/>
          </w:r>
          <w:r w:rsidR="00CF237B" w:rsidRPr="0087529F">
            <w:instrText xml:space="preserve"> if </w:instrText>
          </w:r>
          <w:fldSimple w:instr="DOCPROPERTY  ShowFilePath \* MERGEFORMAT">
            <w:r w:rsidR="00D83C6F">
              <w:instrText>0</w:instrText>
            </w:r>
          </w:fldSimple>
          <w:r w:rsidR="00CF237B" w:rsidRPr="0087529F">
            <w:instrText xml:space="preserve">  = 1  </w:instrText>
          </w:r>
          <w:fldSimple w:instr="FILENAME \p   \* MERGEFORMAT">
            <w:r w:rsidR="0087529F" w:rsidRPr="0087529F">
              <w:instrText>Document3</w:instrText>
            </w:r>
          </w:fldSimple>
          <w:r w:rsidR="00CF237B" w:rsidRPr="0087529F">
            <w:instrText xml:space="preserve">  </w:instrText>
          </w:r>
          <w:r w:rsidR="00CF237B" w:rsidRPr="0087529F">
            <w:fldChar w:fldCharType="end"/>
          </w:r>
          <w:r w:rsidR="00CF237B" w:rsidRPr="0087529F">
            <w:fldChar w:fldCharType="begin"/>
          </w:r>
          <w:r w:rsidR="00CF237B" w:rsidRPr="0087529F">
            <w:instrText xml:space="preserve"> if </w:instrText>
          </w:r>
          <w:fldSimple w:instr="DOCPROPERTY  ShowFileName \* MERGEFORMAT">
            <w:r w:rsidR="00D83C6F">
              <w:instrText>0</w:instrText>
            </w:r>
          </w:fldSimple>
          <w:r w:rsidR="00CF237B" w:rsidRPr="0087529F">
            <w:instrText xml:space="preserve">  = 1  </w:instrText>
          </w:r>
          <w:fldSimple w:instr="FILENAME   \* MERGEFORMAT">
            <w:r w:rsidR="00CF237B" w:rsidRPr="0087529F">
              <w:instrText>C:\Data\Word97\Template\Aecom\Aecom_Letter.Dotm</w:instrText>
            </w:r>
          </w:fldSimple>
          <w:r w:rsidR="00CF237B" w:rsidRPr="0087529F">
            <w:instrText xml:space="preserve">  </w:instrText>
          </w:r>
          <w:r w:rsidR="00CF237B" w:rsidRPr="0087529F">
            <w:fldChar w:fldCharType="end"/>
          </w:r>
        </w:p>
      </w:tc>
      <w:tc>
        <w:tcPr>
          <w:tcW w:w="3428" w:type="dxa"/>
          <w:vAlign w:val="bottom"/>
        </w:tcPr>
        <w:p w14:paraId="23F54944" w14:textId="62427243" w:rsidR="00D2797C" w:rsidRPr="00EB37EB" w:rsidRDefault="00D2797C" w:rsidP="00D2797C">
          <w:pPr>
            <w:pStyle w:val="Footer"/>
            <w:jc w:val="right"/>
            <w:rPr>
              <w:noProof w:val="0"/>
            </w:rPr>
          </w:pPr>
          <w:r w:rsidRPr="00EB37EB">
            <w:rPr>
              <w:noProof w:val="0"/>
            </w:rPr>
            <w:t>AECOM</w:t>
          </w:r>
          <w:r w:rsidRPr="00EB37EB">
            <w:rPr>
              <w:noProof w:val="0"/>
            </w:rPr>
            <w:fldChar w:fldCharType="begin"/>
          </w:r>
          <w:r w:rsidRPr="00EB37EB">
            <w:rPr>
              <w:noProof w:val="0"/>
            </w:rPr>
            <w:instrText xml:space="preserve"> if </w:instrText>
          </w:r>
          <w:r w:rsidRPr="00EB37EB">
            <w:rPr>
              <w:noProof w:val="0"/>
            </w:rPr>
            <w:fldChar w:fldCharType="begin"/>
          </w:r>
          <w:r w:rsidRPr="00EB37EB">
            <w:rPr>
              <w:noProof w:val="0"/>
            </w:rPr>
            <w:instrText xml:space="preserve"> DOCPROPERTY  AdditionalCompanyName </w:instrText>
          </w:r>
          <w:r w:rsidRPr="00EB37EB">
            <w:rPr>
              <w:noProof w:val="0"/>
            </w:rPr>
            <w:fldChar w:fldCharType="end"/>
          </w:r>
          <w:r w:rsidRPr="00EB37EB">
            <w:rPr>
              <w:noProof w:val="0"/>
            </w:rPr>
            <w:instrText xml:space="preserve">  = "" "" "  |  "</w:instrText>
          </w:r>
          <w:r w:rsidRPr="00EB37EB">
            <w:rPr>
              <w:noProof w:val="0"/>
            </w:rPr>
            <w:fldChar w:fldCharType="end"/>
          </w:r>
          <w:r w:rsidRPr="00EB37EB">
            <w:rPr>
              <w:noProof w:val="0"/>
            </w:rPr>
            <w:fldChar w:fldCharType="begin"/>
          </w:r>
          <w:r w:rsidRPr="00EB37EB">
            <w:rPr>
              <w:noProof w:val="0"/>
            </w:rPr>
            <w:instrText xml:space="preserve"> DOCPROPERTY  AdditionalCompanyName \* MERGEFORMAT </w:instrText>
          </w:r>
          <w:r w:rsidRPr="00EB37EB">
            <w:rPr>
              <w:noProof w:val="0"/>
            </w:rPr>
            <w:fldChar w:fldCharType="end"/>
          </w:r>
        </w:p>
        <w:p w14:paraId="3A81C88E" w14:textId="77777777" w:rsidR="00CF237B" w:rsidRPr="0087529F" w:rsidRDefault="00CF237B" w:rsidP="005C0ACE">
          <w:pPr>
            <w:pStyle w:val="Footer"/>
            <w:jc w:val="right"/>
          </w:pPr>
        </w:p>
      </w:tc>
    </w:tr>
  </w:tbl>
  <w:p w14:paraId="7F8CD10D" w14:textId="77777777" w:rsidR="00CF237B" w:rsidRPr="0087529F" w:rsidRDefault="00CF237B" w:rsidP="00493CF1">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F2E94" w14:textId="32A7C468" w:rsidR="00F9218B" w:rsidRPr="0087529F" w:rsidRDefault="00B25623" w:rsidP="00F9218B">
    <w:pPr>
      <w:pStyle w:val="Header"/>
      <w:jc w:val="center"/>
    </w:pPr>
    <w:r w:rsidRPr="0087529F">
      <w:fldChar w:fldCharType="begin"/>
    </w:r>
    <w:r w:rsidRPr="0087529F">
      <w:instrText xml:space="preserve"> DOCPROPERTY  ProtectiveMarking \* MERGEFORMAT </w:instrText>
    </w:r>
    <w:r w:rsidRPr="0087529F">
      <w:fldChar w:fldCharType="end"/>
    </w:r>
  </w:p>
  <w:tbl>
    <w:tblPr>
      <w:tblStyle w:val="Plaingrid"/>
      <w:tblW w:w="3150" w:type="pct"/>
      <w:tblLook w:val="04A0" w:firstRow="1" w:lastRow="0" w:firstColumn="1" w:lastColumn="0" w:noHBand="0" w:noVBand="1"/>
    </w:tblPr>
    <w:tblGrid>
      <w:gridCol w:w="3600"/>
      <w:gridCol w:w="2293"/>
    </w:tblGrid>
    <w:tr w:rsidR="00CF237B" w:rsidRPr="0087529F" w14:paraId="2B63209E" w14:textId="77777777" w:rsidTr="00BE5583">
      <w:tc>
        <w:tcPr>
          <w:tcW w:w="5801" w:type="dxa"/>
        </w:tcPr>
        <w:p w14:paraId="569925FD" w14:textId="2D094FA2" w:rsidR="00D2797C" w:rsidRDefault="00B65176" w:rsidP="00D2797C">
          <w:pPr>
            <w:pStyle w:val="Header"/>
          </w:pPr>
          <w:r>
            <w:t>Prepared for: South Dublin County Council (SDCC)</w:t>
          </w:r>
        </w:p>
        <w:p w14:paraId="5DA0EC14" w14:textId="1FD4A765" w:rsidR="00CF237B" w:rsidRPr="0087529F" w:rsidRDefault="006A7D49" w:rsidP="006A7D49">
          <w:pPr>
            <w:pStyle w:val="Footer"/>
          </w:pPr>
          <w:r w:rsidRPr="0087529F">
            <w:fldChar w:fldCharType="begin"/>
          </w:r>
          <w:r w:rsidRPr="0087529F">
            <w:instrText xml:space="preserve"> if </w:instrText>
          </w:r>
          <w:fldSimple w:instr="DOCPROPERTY  ShowFilePath \* MERGEFORMAT">
            <w:r w:rsidR="00D83C6F">
              <w:instrText>0</w:instrText>
            </w:r>
          </w:fldSimple>
          <w:r w:rsidRPr="0087529F">
            <w:instrText xml:space="preserve">  = 1  </w:instrText>
          </w:r>
          <w:fldSimple w:instr="FILENAME \p   \* MERGEFORMAT">
            <w:r w:rsidR="0087529F" w:rsidRPr="0087529F">
              <w:instrText>Document3</w:instrText>
            </w:r>
          </w:fldSimple>
          <w:r w:rsidRPr="0087529F">
            <w:instrText xml:space="preserve">  </w:instrText>
          </w:r>
          <w:r w:rsidRPr="0087529F">
            <w:fldChar w:fldCharType="end"/>
          </w:r>
          <w:r w:rsidRPr="0087529F">
            <w:fldChar w:fldCharType="begin"/>
          </w:r>
          <w:r w:rsidRPr="0087529F">
            <w:instrText xml:space="preserve"> if </w:instrText>
          </w:r>
          <w:fldSimple w:instr="DOCPROPERTY  ShowFileName \* MERGEFORMAT">
            <w:r w:rsidR="00D83C6F">
              <w:instrText>0</w:instrText>
            </w:r>
          </w:fldSimple>
          <w:r w:rsidRPr="0087529F">
            <w:instrText xml:space="preserve">  = 1  </w:instrText>
          </w:r>
          <w:fldSimple w:instr="FILENAME   \* MERGEFORMAT">
            <w:r w:rsidRPr="0087529F">
              <w:instrText>C:\Data\Word97\Template\Aecom\Aecom_Letter.Dotm</w:instrText>
            </w:r>
          </w:fldSimple>
          <w:r w:rsidRPr="0087529F">
            <w:instrText xml:space="preserve">  </w:instrText>
          </w:r>
          <w:r w:rsidRPr="0087529F">
            <w:fldChar w:fldCharType="end"/>
          </w:r>
        </w:p>
      </w:tc>
      <w:tc>
        <w:tcPr>
          <w:tcW w:w="3555" w:type="dxa"/>
        </w:tcPr>
        <w:p w14:paraId="5E96122C" w14:textId="2C3BE009" w:rsidR="00D2797C" w:rsidRDefault="00D2797C" w:rsidP="00D2797C">
          <w:pPr>
            <w:pStyle w:val="Footer"/>
            <w:jc w:val="right"/>
            <w:rPr>
              <w:noProof w:val="0"/>
            </w:rPr>
          </w:pPr>
          <w:r w:rsidRPr="00EB37EB">
            <w:rPr>
              <w:noProof w:val="0"/>
            </w:rPr>
            <w:t>AECOM</w:t>
          </w:r>
          <w:r w:rsidRPr="00EB37EB">
            <w:rPr>
              <w:noProof w:val="0"/>
            </w:rPr>
            <w:fldChar w:fldCharType="begin"/>
          </w:r>
          <w:r w:rsidRPr="00EB37EB">
            <w:rPr>
              <w:noProof w:val="0"/>
            </w:rPr>
            <w:instrText xml:space="preserve"> if </w:instrText>
          </w:r>
          <w:r w:rsidRPr="00EB37EB">
            <w:rPr>
              <w:noProof w:val="0"/>
            </w:rPr>
            <w:fldChar w:fldCharType="begin"/>
          </w:r>
          <w:r w:rsidRPr="00EB37EB">
            <w:rPr>
              <w:noProof w:val="0"/>
            </w:rPr>
            <w:instrText xml:space="preserve"> DOCPROPERTY  AdditionalCompanyName </w:instrText>
          </w:r>
          <w:r w:rsidRPr="00EB37EB">
            <w:rPr>
              <w:noProof w:val="0"/>
            </w:rPr>
            <w:fldChar w:fldCharType="end"/>
          </w:r>
          <w:r w:rsidRPr="00EB37EB">
            <w:rPr>
              <w:noProof w:val="0"/>
            </w:rPr>
            <w:instrText xml:space="preserve">  = "" "" "  |  "</w:instrText>
          </w:r>
          <w:r w:rsidRPr="00EB37EB">
            <w:rPr>
              <w:noProof w:val="0"/>
            </w:rPr>
            <w:fldChar w:fldCharType="end"/>
          </w:r>
          <w:r w:rsidRPr="00EB37EB">
            <w:rPr>
              <w:noProof w:val="0"/>
            </w:rPr>
            <w:fldChar w:fldCharType="begin"/>
          </w:r>
          <w:r w:rsidRPr="00EB37EB">
            <w:rPr>
              <w:noProof w:val="0"/>
            </w:rPr>
            <w:instrText xml:space="preserve"> DOCPROPERTY  AdditionalCompanyName \* MERGEFORMAT </w:instrText>
          </w:r>
          <w:r w:rsidRPr="00EB37EB">
            <w:rPr>
              <w:noProof w:val="0"/>
            </w:rPr>
            <w:fldChar w:fldCharType="end"/>
          </w:r>
        </w:p>
        <w:p w14:paraId="330D96E8" w14:textId="1C80AA7B" w:rsidR="00CF237B" w:rsidRPr="0087529F" w:rsidRDefault="00B8383D" w:rsidP="00D2797C">
          <w:pPr>
            <w:pStyle w:val="Footer"/>
            <w:jc w:val="right"/>
            <w:rPr>
              <w:noProof w:val="0"/>
            </w:rPr>
          </w:pPr>
          <w:r>
            <w:rPr>
              <w:noProof w:val="0"/>
            </w:rPr>
            <w:fldChar w:fldCharType="begin"/>
          </w:r>
          <w:r>
            <w:instrText xml:space="preserve"> PAGE   \* MERGEFORMAT </w:instrText>
          </w:r>
          <w:r>
            <w:rPr>
              <w:noProof w:val="0"/>
            </w:rPr>
            <w:fldChar w:fldCharType="separate"/>
          </w:r>
          <w:r>
            <w:t>1</w:t>
          </w:r>
          <w:r>
            <w:fldChar w:fldCharType="end"/>
          </w:r>
        </w:p>
      </w:tc>
    </w:tr>
  </w:tbl>
  <w:p w14:paraId="14E726AE" w14:textId="77777777" w:rsidR="00CF237B" w:rsidRPr="0087529F" w:rsidRDefault="00CF237B" w:rsidP="00493CF1">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CAE8EC" w14:textId="77777777" w:rsidR="00BC38A2" w:rsidRPr="00253171" w:rsidRDefault="00BC38A2" w:rsidP="00253171">
      <w:pPr>
        <w:spacing w:line="240" w:lineRule="auto"/>
        <w:rPr>
          <w:color w:val="008768" w:themeColor="accent1"/>
        </w:rPr>
      </w:pPr>
      <w:r w:rsidRPr="00253171">
        <w:rPr>
          <w:color w:val="008768" w:themeColor="accent1"/>
        </w:rPr>
        <w:separator/>
      </w:r>
      <w:r w:rsidRPr="00253171">
        <w:rPr>
          <w:color w:val="008768" w:themeColor="accent1"/>
        </w:rPr>
        <w:separator/>
      </w:r>
    </w:p>
  </w:footnote>
  <w:footnote w:type="continuationSeparator" w:id="0">
    <w:p w14:paraId="081548CF" w14:textId="77777777" w:rsidR="00BC38A2" w:rsidRPr="00253171" w:rsidRDefault="00BC38A2" w:rsidP="00253171">
      <w:pPr>
        <w:spacing w:line="240" w:lineRule="auto"/>
        <w:rPr>
          <w:color w:val="008768" w:themeColor="accent1"/>
        </w:rPr>
      </w:pPr>
      <w:r w:rsidRPr="00253171">
        <w:rPr>
          <w:color w:val="008768" w:themeColor="accent1"/>
        </w:rPr>
        <w:separator/>
      </w:r>
      <w:r w:rsidRPr="00253171">
        <w:rPr>
          <w:color w:val="008768" w:themeColor="accent1"/>
        </w:rPr>
        <w:separator/>
      </w:r>
    </w:p>
  </w:footnote>
  <w:footnote w:id="1">
    <w:p w14:paraId="0D4C09CD" w14:textId="77777777" w:rsidR="00F506D6" w:rsidRDefault="00F506D6" w:rsidP="00F506D6">
      <w:pPr>
        <w:pStyle w:val="FootnoteText"/>
      </w:pPr>
      <w:r>
        <w:rPr>
          <w:rStyle w:val="FootnoteReference"/>
        </w:rPr>
        <w:footnoteRef/>
      </w:r>
      <w:r>
        <w:t>IEA (2023).</w:t>
      </w:r>
      <w:r w:rsidRPr="001A7C41">
        <w:t xml:space="preserve"> Net Zero Roadmap: A Global Pathway to Keep the 1.5 °C Goal in Reach - 2023 Update</w:t>
      </w:r>
      <w:r>
        <w:t xml:space="preserve">. Available at: </w:t>
      </w:r>
      <w:hyperlink r:id="rId1" w:history="1">
        <w:r w:rsidRPr="00CB3ED3">
          <w:rPr>
            <w:rStyle w:val="Hyperlink"/>
          </w:rPr>
          <w:t>https://iea.blob.core.windows.net/assets/4ad26550-05c4-4495-9891-98e588cd0be8/NetZeroRoadmap_AGlobalPathwaytoKeepthe1.5CGoalinReach-2023Update.pdf</w:t>
        </w:r>
      </w:hyperlink>
      <w:r w:rsidRPr="00CB3ED3">
        <w:rPr>
          <w:color w:val="008768" w:themeColor="accent1"/>
        </w:rPr>
        <w:t xml:space="preserve"> </w:t>
      </w:r>
    </w:p>
  </w:footnote>
  <w:footnote w:id="2">
    <w:p w14:paraId="08885E9B" w14:textId="77777777" w:rsidR="00CA18C8" w:rsidRDefault="00CA18C8" w:rsidP="00CA18C8">
      <w:pPr>
        <w:pStyle w:val="FootnoteText"/>
      </w:pPr>
      <w:r>
        <w:rPr>
          <w:rStyle w:val="FootnoteReference"/>
        </w:rPr>
        <w:footnoteRef/>
      </w:r>
      <w:r w:rsidRPr="00462A48">
        <w:t>Department of the Taoiseach</w:t>
      </w:r>
      <w:r>
        <w:t xml:space="preserve"> (2022). </w:t>
      </w:r>
      <w:r w:rsidRPr="0084784A">
        <w:t>Government announces sectoral emissions ceilings, setting Ireland on a pathway to turn the tide on climate change</w:t>
      </w:r>
      <w:r>
        <w:t xml:space="preserve">. Available at: </w:t>
      </w:r>
      <w:hyperlink r:id="rId2" w:history="1">
        <w:r w:rsidRPr="00CB3ED3">
          <w:rPr>
            <w:rStyle w:val="Hyperlink"/>
          </w:rPr>
          <w:t>https://www.gov.ie/en/press-release/dab6d-government-announces-sectoral-emissions-ceilings-setting-ireland-on-a-pathway-to-turn-the-tide-on-climate-change/</w:t>
        </w:r>
      </w:hyperlink>
      <w:r w:rsidRPr="00CB3ED3">
        <w:rPr>
          <w:color w:val="008768" w:themeColor="accent1"/>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grid"/>
      <w:tblW w:w="5000" w:type="pct"/>
      <w:tblLook w:val="04A0" w:firstRow="1" w:lastRow="0" w:firstColumn="1" w:lastColumn="0" w:noHBand="0" w:noVBand="1"/>
    </w:tblPr>
    <w:tblGrid>
      <w:gridCol w:w="3108"/>
      <w:gridCol w:w="3134"/>
      <w:gridCol w:w="3112"/>
    </w:tblGrid>
    <w:tr w:rsidR="00CF237B" w:rsidRPr="0087529F" w14:paraId="3CD3DF0F" w14:textId="77777777" w:rsidTr="00DC18A9">
      <w:trPr>
        <w:trHeight w:val="460"/>
      </w:trPr>
      <w:tc>
        <w:tcPr>
          <w:tcW w:w="3035" w:type="dxa"/>
        </w:tcPr>
        <w:p w14:paraId="77F2E01F" w14:textId="42CA4D1F" w:rsidR="00CF237B" w:rsidRPr="0087529F" w:rsidRDefault="004B5928">
          <w:pPr>
            <w:pStyle w:val="Header"/>
          </w:pPr>
          <w:r>
            <w:t>Rathcoole Housing Development</w:t>
          </w:r>
        </w:p>
      </w:tc>
      <w:tc>
        <w:tcPr>
          <w:tcW w:w="3060" w:type="dxa"/>
        </w:tcPr>
        <w:p w14:paraId="3B8CF235" w14:textId="34E28785" w:rsidR="00566185" w:rsidRPr="0087529F" w:rsidRDefault="00D83C6F" w:rsidP="00566185">
          <w:pPr>
            <w:pStyle w:val="Header"/>
            <w:jc w:val="center"/>
          </w:pPr>
          <w:fldSimple w:instr="DOCPROPERTY  Draft \* MERGEFORMAT">
            <w:r>
              <w:t>DRAFT</w:t>
            </w:r>
          </w:fldSimple>
        </w:p>
      </w:tc>
      <w:tc>
        <w:tcPr>
          <w:tcW w:w="3039" w:type="dxa"/>
        </w:tcPr>
        <w:p w14:paraId="3801E194" w14:textId="77777777" w:rsidR="004B5928" w:rsidRDefault="004B5928" w:rsidP="00566185">
          <w:pPr>
            <w:pStyle w:val="Header"/>
            <w:jc w:val="right"/>
          </w:pPr>
          <w:r>
            <w:t>Environmental Impact Assessment Report</w:t>
          </w:r>
        </w:p>
        <w:p w14:paraId="2934B94A" w14:textId="4D2A5A1F" w:rsidR="00566185" w:rsidRPr="0087529F" w:rsidRDefault="004B5928" w:rsidP="00566185">
          <w:pPr>
            <w:pStyle w:val="Header"/>
            <w:jc w:val="right"/>
          </w:pPr>
          <w:r>
            <w:t xml:space="preserve">Chapter </w:t>
          </w:r>
          <w:r w:rsidR="00224BD1">
            <w:t>10: Climate</w:t>
          </w:r>
          <w:r w:rsidR="00566185" w:rsidRPr="0087529F">
            <w:fldChar w:fldCharType="begin"/>
          </w:r>
          <w:r w:rsidR="00566185" w:rsidRPr="0087529F">
            <w:instrText xml:space="preserve"> IF </w:instrText>
          </w:r>
          <w:r w:rsidR="00566185" w:rsidRPr="0087529F">
            <w:fldChar w:fldCharType="begin"/>
          </w:r>
          <w:r w:rsidR="00566185" w:rsidRPr="0087529F">
            <w:instrText xml:space="preserve"> DOCPROPERTY  HeaderClient </w:instrText>
          </w:r>
          <w:r w:rsidR="00566185" w:rsidRPr="0087529F">
            <w:fldChar w:fldCharType="separate"/>
          </w:r>
          <w:r w:rsidR="00D83C6F">
            <w:instrText xml:space="preserve"> </w:instrText>
          </w:r>
          <w:r w:rsidR="00566185" w:rsidRPr="0087529F">
            <w:fldChar w:fldCharType="end"/>
          </w:r>
          <w:r w:rsidR="00566185" w:rsidRPr="0087529F">
            <w:instrText xml:space="preserve"> = "" "" "</w:instrText>
          </w:r>
        </w:p>
        <w:p w14:paraId="5B0150C4" w14:textId="77777777" w:rsidR="007D6190" w:rsidRPr="0087529F" w:rsidRDefault="00566185" w:rsidP="00566185">
          <w:pPr>
            <w:pStyle w:val="Header"/>
            <w:jc w:val="right"/>
          </w:pPr>
          <w:r w:rsidRPr="0087529F">
            <w:instrText xml:space="preserve">" </w:instrText>
          </w:r>
          <w:r w:rsidRPr="0087529F">
            <w:fldChar w:fldCharType="separate"/>
          </w:r>
        </w:p>
        <w:p w14:paraId="4E389E98" w14:textId="21B90CA9" w:rsidR="00566185" w:rsidRPr="0087529F" w:rsidRDefault="00566185" w:rsidP="00566185">
          <w:pPr>
            <w:pStyle w:val="Header"/>
            <w:jc w:val="right"/>
          </w:pPr>
          <w:r w:rsidRPr="0087529F">
            <w:fldChar w:fldCharType="end"/>
          </w:r>
          <w:fldSimple w:instr="DOCPROPERTY  ProjectRef \* MERGEFORMAT">
            <w:r w:rsidR="00D83C6F">
              <w:t xml:space="preserve"> </w:t>
            </w:r>
          </w:fldSimple>
          <w:r w:rsidRPr="0087529F">
            <w:fldChar w:fldCharType="begin"/>
          </w:r>
          <w:r w:rsidRPr="0087529F">
            <w:instrText xml:space="preserve"> IF </w:instrText>
          </w:r>
          <w:r w:rsidRPr="0087529F">
            <w:fldChar w:fldCharType="begin"/>
          </w:r>
          <w:r w:rsidRPr="0087529F">
            <w:instrText xml:space="preserve"> DOCPROPERTY  ProjectRef </w:instrText>
          </w:r>
          <w:r w:rsidRPr="0087529F">
            <w:fldChar w:fldCharType="separate"/>
          </w:r>
          <w:r w:rsidR="00D83C6F">
            <w:instrText xml:space="preserve"> </w:instrText>
          </w:r>
          <w:r w:rsidRPr="0087529F">
            <w:fldChar w:fldCharType="end"/>
          </w:r>
          <w:r w:rsidRPr="0087529F">
            <w:instrText xml:space="preserve"> = " " "" "</w:instrText>
          </w:r>
        </w:p>
        <w:p w14:paraId="5B67EBF4" w14:textId="64FF23AE" w:rsidR="00F97D16" w:rsidRPr="0087529F" w:rsidRDefault="00566185" w:rsidP="00566185">
          <w:pPr>
            <w:pStyle w:val="Header"/>
            <w:jc w:val="right"/>
          </w:pPr>
          <w:r w:rsidRPr="0087529F">
            <w:instrText xml:space="preserve">" </w:instrText>
          </w:r>
          <w:r w:rsidRPr="0087529F">
            <w:fldChar w:fldCharType="end"/>
          </w:r>
          <w:fldSimple w:instr="DOCPROPERTY  ProjectNumber \* MERGEFORMAT">
            <w:r w:rsidR="00D83C6F">
              <w:t xml:space="preserve"> </w:t>
            </w:r>
          </w:fldSimple>
        </w:p>
      </w:tc>
    </w:tr>
  </w:tbl>
  <w:p w14:paraId="2721201D" w14:textId="77777777" w:rsidR="00CF237B" w:rsidRPr="0087529F" w:rsidRDefault="00CF23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grid"/>
      <w:tblW w:w="5000" w:type="pct"/>
      <w:tblLook w:val="04A0" w:firstRow="1" w:lastRow="0" w:firstColumn="1" w:lastColumn="0" w:noHBand="0" w:noVBand="1"/>
    </w:tblPr>
    <w:tblGrid>
      <w:gridCol w:w="3099"/>
      <w:gridCol w:w="3148"/>
      <w:gridCol w:w="3107"/>
    </w:tblGrid>
    <w:tr w:rsidR="00566185" w:rsidRPr="0087529F" w14:paraId="06C38252" w14:textId="77777777" w:rsidTr="00566185">
      <w:trPr>
        <w:trHeight w:val="460"/>
      </w:trPr>
      <w:tc>
        <w:tcPr>
          <w:tcW w:w="2990" w:type="dxa"/>
        </w:tcPr>
        <w:p w14:paraId="3230BB3A" w14:textId="6ABFB13E" w:rsidR="00566185" w:rsidRPr="0087529F" w:rsidRDefault="00B65176" w:rsidP="00566185">
          <w:pPr>
            <w:pStyle w:val="Header"/>
          </w:pPr>
          <w:r>
            <w:t>Rathcoole Housing Development</w:t>
          </w:r>
        </w:p>
      </w:tc>
      <w:tc>
        <w:tcPr>
          <w:tcW w:w="3038" w:type="dxa"/>
        </w:tcPr>
        <w:p w14:paraId="128B7B09" w14:textId="412D334B" w:rsidR="00566185" w:rsidRPr="0087529F" w:rsidRDefault="00D83C6F" w:rsidP="00566185">
          <w:pPr>
            <w:pStyle w:val="Header"/>
            <w:jc w:val="center"/>
          </w:pPr>
          <w:fldSimple w:instr="DOCPROPERTY  Draft \* MERGEFORMAT">
            <w:r>
              <w:t>DRAFT</w:t>
            </w:r>
          </w:fldSimple>
        </w:p>
      </w:tc>
      <w:tc>
        <w:tcPr>
          <w:tcW w:w="2998" w:type="dxa"/>
        </w:tcPr>
        <w:p w14:paraId="544A1459" w14:textId="1DA0CC34" w:rsidR="00B65176" w:rsidRDefault="00D83C6F" w:rsidP="00B65176">
          <w:pPr>
            <w:pStyle w:val="Header"/>
            <w:jc w:val="right"/>
          </w:pPr>
          <w:fldSimple w:instr="DOCPROPERTY  HeaderClient \* MERGEFORMAT">
            <w:r>
              <w:t xml:space="preserve"> </w:t>
            </w:r>
          </w:fldSimple>
          <w:r w:rsidR="00B65176">
            <w:t xml:space="preserve"> Environmental Impact Assessment Report</w:t>
          </w:r>
        </w:p>
        <w:p w14:paraId="38FB7F30" w14:textId="2A8FD4A6" w:rsidR="00B65176" w:rsidRPr="0087529F" w:rsidRDefault="00B65176" w:rsidP="00B65176">
          <w:pPr>
            <w:pStyle w:val="Header"/>
            <w:jc w:val="right"/>
          </w:pPr>
          <w:r>
            <w:t xml:space="preserve">Chapter </w:t>
          </w:r>
          <w:r w:rsidR="00463B95">
            <w:t>10: Climate</w:t>
          </w:r>
          <w:r w:rsidRPr="0087529F">
            <w:fldChar w:fldCharType="begin"/>
          </w:r>
          <w:r w:rsidRPr="0087529F">
            <w:instrText xml:space="preserve"> IF </w:instrText>
          </w:r>
          <w:r w:rsidRPr="0087529F">
            <w:fldChar w:fldCharType="begin"/>
          </w:r>
          <w:r w:rsidRPr="0087529F">
            <w:instrText xml:space="preserve"> DOCPROPERTY  HeaderClient </w:instrText>
          </w:r>
          <w:r w:rsidRPr="0087529F">
            <w:fldChar w:fldCharType="separate"/>
          </w:r>
          <w:r w:rsidR="00D83C6F">
            <w:instrText xml:space="preserve"> </w:instrText>
          </w:r>
          <w:r w:rsidRPr="0087529F">
            <w:fldChar w:fldCharType="end"/>
          </w:r>
          <w:r w:rsidRPr="0087529F">
            <w:instrText xml:space="preserve"> = "" "" "</w:instrText>
          </w:r>
        </w:p>
        <w:p w14:paraId="75267767" w14:textId="77777777" w:rsidR="007D6190" w:rsidRPr="0087529F" w:rsidRDefault="00B65176" w:rsidP="00B65176">
          <w:pPr>
            <w:pStyle w:val="Header"/>
            <w:jc w:val="right"/>
          </w:pPr>
          <w:r w:rsidRPr="0087529F">
            <w:instrText xml:space="preserve">" </w:instrText>
          </w:r>
          <w:r w:rsidRPr="0087529F">
            <w:fldChar w:fldCharType="separate"/>
          </w:r>
        </w:p>
        <w:p w14:paraId="0BFBCF61" w14:textId="4EB881C1" w:rsidR="00566185" w:rsidRPr="0087529F" w:rsidRDefault="00B65176" w:rsidP="00B65176">
          <w:pPr>
            <w:pStyle w:val="Header"/>
            <w:jc w:val="right"/>
          </w:pPr>
          <w:r w:rsidRPr="0087529F">
            <w:fldChar w:fldCharType="end"/>
          </w:r>
          <w:r w:rsidR="00566185" w:rsidRPr="0087529F">
            <w:fldChar w:fldCharType="begin"/>
          </w:r>
          <w:r w:rsidR="00566185" w:rsidRPr="0087529F">
            <w:instrText xml:space="preserve"> IF </w:instrText>
          </w:r>
          <w:r w:rsidR="00566185" w:rsidRPr="0087529F">
            <w:fldChar w:fldCharType="begin"/>
          </w:r>
          <w:r w:rsidR="00566185" w:rsidRPr="0087529F">
            <w:instrText xml:space="preserve"> DOCPROPERTY  HeaderClient </w:instrText>
          </w:r>
          <w:r w:rsidR="00566185" w:rsidRPr="0087529F">
            <w:fldChar w:fldCharType="separate"/>
          </w:r>
          <w:r w:rsidR="00D83C6F">
            <w:instrText xml:space="preserve"> </w:instrText>
          </w:r>
          <w:r w:rsidR="00566185" w:rsidRPr="0087529F">
            <w:fldChar w:fldCharType="end"/>
          </w:r>
          <w:r w:rsidR="00566185" w:rsidRPr="0087529F">
            <w:instrText xml:space="preserve"> = "" "" "</w:instrText>
          </w:r>
        </w:p>
        <w:p w14:paraId="19DB4FFB" w14:textId="77777777" w:rsidR="007D6190" w:rsidRPr="0087529F" w:rsidRDefault="00566185" w:rsidP="00B65176">
          <w:pPr>
            <w:pStyle w:val="Header"/>
            <w:jc w:val="right"/>
          </w:pPr>
          <w:r w:rsidRPr="0087529F">
            <w:instrText xml:space="preserve">" </w:instrText>
          </w:r>
          <w:r w:rsidRPr="0087529F">
            <w:fldChar w:fldCharType="separate"/>
          </w:r>
        </w:p>
        <w:p w14:paraId="42A85831" w14:textId="531E1B99" w:rsidR="00566185" w:rsidRPr="0087529F" w:rsidRDefault="00566185" w:rsidP="00566185">
          <w:pPr>
            <w:pStyle w:val="Header"/>
            <w:jc w:val="right"/>
          </w:pPr>
          <w:r w:rsidRPr="0087529F">
            <w:fldChar w:fldCharType="end"/>
          </w:r>
          <w:fldSimple w:instr="DOCPROPERTY  ProjectRef \* MERGEFORMAT">
            <w:r w:rsidR="00D83C6F">
              <w:t xml:space="preserve"> </w:t>
            </w:r>
          </w:fldSimple>
          <w:r w:rsidRPr="0087529F">
            <w:fldChar w:fldCharType="begin"/>
          </w:r>
          <w:r w:rsidRPr="0087529F">
            <w:instrText xml:space="preserve"> IF </w:instrText>
          </w:r>
          <w:r w:rsidRPr="0087529F">
            <w:fldChar w:fldCharType="begin"/>
          </w:r>
          <w:r w:rsidRPr="0087529F">
            <w:instrText xml:space="preserve"> DOCPROPERTY  ProjectRef </w:instrText>
          </w:r>
          <w:r w:rsidRPr="0087529F">
            <w:fldChar w:fldCharType="separate"/>
          </w:r>
          <w:r w:rsidR="00D83C6F">
            <w:instrText xml:space="preserve"> </w:instrText>
          </w:r>
          <w:r w:rsidRPr="0087529F">
            <w:fldChar w:fldCharType="end"/>
          </w:r>
          <w:r w:rsidRPr="0087529F">
            <w:instrText xml:space="preserve"> = " " "" "</w:instrText>
          </w:r>
        </w:p>
        <w:p w14:paraId="395ED94F" w14:textId="682F2391" w:rsidR="00566185" w:rsidRPr="0087529F" w:rsidRDefault="00566185" w:rsidP="00566185">
          <w:pPr>
            <w:pStyle w:val="Header"/>
            <w:jc w:val="right"/>
          </w:pPr>
          <w:r w:rsidRPr="0087529F">
            <w:instrText xml:space="preserve">" </w:instrText>
          </w:r>
          <w:r w:rsidRPr="0087529F">
            <w:fldChar w:fldCharType="end"/>
          </w:r>
          <w:fldSimple w:instr="DOCPROPERTY  ProjectNumber \* MERGEFORMAT">
            <w:r w:rsidR="00D83C6F">
              <w:t xml:space="preserve"> </w:t>
            </w:r>
          </w:fldSimple>
        </w:p>
      </w:tc>
    </w:tr>
  </w:tbl>
  <w:p w14:paraId="156B365E" w14:textId="77777777" w:rsidR="00CF237B" w:rsidRPr="0087529F" w:rsidRDefault="00CF23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B7A69D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6EAF11E"/>
    <w:lvl w:ilvl="0">
      <w:start w:val="1"/>
      <w:numFmt w:val="decimal"/>
      <w:pStyle w:val="ListNumber4"/>
      <w:lvlText w:val="%1."/>
      <w:lvlJc w:val="left"/>
      <w:pPr>
        <w:tabs>
          <w:tab w:val="num" w:pos="1209"/>
        </w:tabs>
        <w:ind w:left="1209" w:hanging="360"/>
      </w:pPr>
    </w:lvl>
  </w:abstractNum>
  <w:abstractNum w:abstractNumId="2" w15:restartNumberingAfterBreak="0">
    <w:nsid w:val="FFFFFF7F"/>
    <w:multiLevelType w:val="singleLevel"/>
    <w:tmpl w:val="274E4112"/>
    <w:styleLink w:val="AECOMList"/>
    <w:lvl w:ilvl="0">
      <w:start w:val="1"/>
      <w:numFmt w:val="decimal"/>
      <w:lvlText w:val="%1."/>
      <w:lvlJc w:val="left"/>
      <w:pPr>
        <w:tabs>
          <w:tab w:val="num" w:pos="643"/>
        </w:tabs>
        <w:ind w:left="643" w:hanging="360"/>
      </w:pPr>
    </w:lvl>
  </w:abstractNum>
  <w:abstractNum w:abstractNumId="3" w15:restartNumberingAfterBreak="0">
    <w:nsid w:val="FFFFFF80"/>
    <w:multiLevelType w:val="singleLevel"/>
    <w:tmpl w:val="181A1024"/>
    <w:styleLink w:val="ArticleSection"/>
    <w:lvl w:ilvl="0">
      <w:start w:val="1"/>
      <w:numFmt w:val="bullet"/>
      <w:pStyle w:val="ListBullet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DADEFE72"/>
    <w:styleLink w:val="1ai"/>
    <w:lvl w:ilvl="0">
      <w:start w:val="1"/>
      <w:numFmt w:val="bullet"/>
      <w:pStyle w:val="ListBullet4"/>
      <w:lvlText w:val=""/>
      <w:lvlJc w:val="left"/>
      <w:pPr>
        <w:tabs>
          <w:tab w:val="num" w:pos="1209"/>
        </w:tabs>
        <w:ind w:left="1209" w:hanging="360"/>
      </w:pPr>
      <w:rPr>
        <w:rFonts w:ascii="Symbol" w:hAnsi="Symbol" w:hint="default"/>
      </w:rPr>
    </w:lvl>
  </w:abstractNum>
  <w:abstractNum w:abstractNumId="5" w15:restartNumberingAfterBreak="0">
    <w:nsid w:val="FFFFFF88"/>
    <w:multiLevelType w:val="singleLevel"/>
    <w:tmpl w:val="2690A576"/>
    <w:styleLink w:val="AECOMBullets"/>
    <w:lvl w:ilvl="0">
      <w:start w:val="1"/>
      <w:numFmt w:val="decimal"/>
      <w:lvlText w:val="%1."/>
      <w:lvlJc w:val="left"/>
      <w:pPr>
        <w:tabs>
          <w:tab w:val="num" w:pos="360"/>
        </w:tabs>
        <w:ind w:left="360" w:hanging="360"/>
      </w:pPr>
    </w:lvl>
  </w:abstractNum>
  <w:abstractNum w:abstractNumId="6" w15:restartNumberingAfterBreak="0">
    <w:nsid w:val="FFFFFF89"/>
    <w:multiLevelType w:val="singleLevel"/>
    <w:tmpl w:val="FF8E9C8C"/>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8AB481A"/>
    <w:multiLevelType w:val="multilevel"/>
    <w:tmpl w:val="22544628"/>
    <w:styleLink w:val="AECOMTableBullets"/>
    <w:lvl w:ilvl="0">
      <w:start w:val="1"/>
      <w:numFmt w:val="decimal"/>
      <w:lvlText w:val="%1."/>
      <w:lvlJc w:val="left"/>
      <w:pPr>
        <w:ind w:left="568" w:firstLine="0"/>
      </w:pPr>
      <w:rPr>
        <w:rFonts w:hint="default"/>
      </w:rPr>
    </w:lvl>
    <w:lvl w:ilvl="1">
      <w:start w:val="1"/>
      <w:numFmt w:val="decimal"/>
      <w:lvlText w:val="%1.%2"/>
      <w:lvlJc w:val="left"/>
      <w:pPr>
        <w:ind w:left="568" w:firstLine="0"/>
      </w:pPr>
      <w:rPr>
        <w:rFonts w:hint="default"/>
      </w:rPr>
    </w:lvl>
    <w:lvl w:ilvl="2">
      <w:start w:val="1"/>
      <w:numFmt w:val="decimal"/>
      <w:lvlText w:val="%1.%2.%3"/>
      <w:lvlJc w:val="left"/>
      <w:pPr>
        <w:ind w:left="568" w:firstLine="0"/>
      </w:pPr>
      <w:rPr>
        <w:rFonts w:hint="default"/>
      </w:rPr>
    </w:lvl>
    <w:lvl w:ilvl="3">
      <w:start w:val="1"/>
      <w:numFmt w:val="decimal"/>
      <w:lvlText w:val="%1.%2.%3.%4"/>
      <w:lvlJc w:val="left"/>
      <w:pPr>
        <w:ind w:left="568" w:firstLine="0"/>
      </w:pPr>
      <w:rPr>
        <w:rFonts w:hint="default"/>
      </w:rPr>
    </w:lvl>
    <w:lvl w:ilvl="4">
      <w:start w:val="1"/>
      <w:numFmt w:val="decimal"/>
      <w:lvlText w:val="%1.%2.%3.%4.%5"/>
      <w:lvlJc w:val="left"/>
      <w:pPr>
        <w:ind w:left="568" w:firstLine="0"/>
      </w:pPr>
      <w:rPr>
        <w:rFonts w:hint="default"/>
      </w:rPr>
    </w:lvl>
    <w:lvl w:ilvl="5">
      <w:start w:val="1"/>
      <w:numFmt w:val="decimal"/>
      <w:lvlText w:val="%1.%2.%3.%4.%5.%6"/>
      <w:lvlJc w:val="left"/>
      <w:pPr>
        <w:ind w:left="568" w:firstLine="0"/>
      </w:pPr>
      <w:rPr>
        <w:rFonts w:hint="default"/>
      </w:rPr>
    </w:lvl>
    <w:lvl w:ilvl="6">
      <w:start w:val="1"/>
      <w:numFmt w:val="decimal"/>
      <w:lvlText w:val="%7."/>
      <w:lvlJc w:val="left"/>
      <w:pPr>
        <w:ind w:left="568" w:firstLine="0"/>
      </w:pPr>
      <w:rPr>
        <w:rFonts w:hint="default"/>
      </w:rPr>
    </w:lvl>
    <w:lvl w:ilvl="7">
      <w:start w:val="1"/>
      <w:numFmt w:val="lowerLetter"/>
      <w:lvlText w:val="%8."/>
      <w:lvlJc w:val="left"/>
      <w:pPr>
        <w:ind w:left="568" w:firstLine="0"/>
      </w:pPr>
      <w:rPr>
        <w:rFonts w:hint="default"/>
      </w:rPr>
    </w:lvl>
    <w:lvl w:ilvl="8">
      <w:start w:val="1"/>
      <w:numFmt w:val="lowerRoman"/>
      <w:lvlText w:val="%9."/>
      <w:lvlJc w:val="left"/>
      <w:pPr>
        <w:ind w:left="568" w:firstLine="0"/>
      </w:pPr>
      <w:rPr>
        <w:rFonts w:hint="default"/>
      </w:rPr>
    </w:lvl>
  </w:abstractNum>
  <w:abstractNum w:abstractNumId="8" w15:restartNumberingAfterBreak="0">
    <w:nsid w:val="18CD306C"/>
    <w:multiLevelType w:val="hybridMultilevel"/>
    <w:tmpl w:val="B0F2A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8B00A2"/>
    <w:multiLevelType w:val="multilevel"/>
    <w:tmpl w:val="DB3C37A8"/>
    <w:name w:val="AECOM Outline numbering"/>
    <w:lvl w:ilvl="0">
      <w:start w:val="1"/>
      <w:numFmt w:val="upperLetter"/>
      <w:suff w:val="nothing"/>
      <w:lvlText w:val="Appendix %1  "/>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A566EFF"/>
    <w:multiLevelType w:val="hybridMultilevel"/>
    <w:tmpl w:val="0E74D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D763A6E"/>
    <w:multiLevelType w:val="multilevel"/>
    <w:tmpl w:val="1F72AD88"/>
    <w:lvl w:ilvl="0">
      <w:start w:val="1"/>
      <w:numFmt w:val="decimal"/>
      <w:pStyle w:val="ReportLevel1"/>
      <w:lvlText w:val="%1"/>
      <w:lvlJc w:val="left"/>
      <w:pPr>
        <w:tabs>
          <w:tab w:val="num" w:pos="1134"/>
        </w:tabs>
        <w:ind w:left="1134" w:hanging="1134"/>
      </w:pPr>
      <w:rPr>
        <w:b/>
        <w:i w:val="0"/>
        <w:color w:val="002060"/>
        <w:sz w:val="28"/>
        <w:szCs w:val="28"/>
      </w:rPr>
    </w:lvl>
    <w:lvl w:ilvl="1">
      <w:start w:val="1"/>
      <w:numFmt w:val="decimal"/>
      <w:pStyle w:val="ReportLevel2"/>
      <w:lvlText w:val="%1.%2"/>
      <w:lvlJc w:val="left"/>
      <w:pPr>
        <w:tabs>
          <w:tab w:val="num" w:pos="1134"/>
        </w:tabs>
        <w:ind w:left="1134" w:hanging="1134"/>
      </w:pPr>
      <w:rPr>
        <w:b/>
        <w:i w:val="0"/>
        <w:strike w:val="0"/>
        <w:dstrike w:val="0"/>
        <w:color w:val="002060"/>
        <w:sz w:val="28"/>
        <w:szCs w:val="20"/>
        <w:u w:val="none" w:color="008080"/>
        <w:effect w:val="none"/>
      </w:rPr>
    </w:lvl>
    <w:lvl w:ilvl="2">
      <w:start w:val="1"/>
      <w:numFmt w:val="decimal"/>
      <w:pStyle w:val="ReportText"/>
      <w:lvlText w:val="%1.%2.%3"/>
      <w:lvlJc w:val="left"/>
      <w:pPr>
        <w:tabs>
          <w:tab w:val="num" w:pos="1560"/>
        </w:tabs>
        <w:ind w:left="1560" w:hanging="1134"/>
      </w:pPr>
      <w:rPr>
        <w:b w:val="0"/>
        <w:i w:val="0"/>
        <w:color w:val="002060"/>
        <w:sz w:val="24"/>
        <w:szCs w:val="20"/>
      </w:rPr>
    </w:lvl>
    <w:lvl w:ilvl="3">
      <w:start w:val="1"/>
      <w:numFmt w:val="none"/>
      <w:pStyle w:val="ReportLevel4"/>
      <w:lvlText w:val=""/>
      <w:lvlJc w:val="left"/>
      <w:pPr>
        <w:tabs>
          <w:tab w:val="num" w:pos="1134"/>
        </w:tabs>
        <w:ind w:left="1134" w:hanging="1134"/>
      </w:pPr>
      <w:rPr>
        <w:b/>
        <w:i w:val="0"/>
        <w:color w:val="808080"/>
        <w:sz w:val="26"/>
        <w:szCs w:val="20"/>
      </w:rPr>
    </w:lvl>
    <w:lvl w:ilvl="4">
      <w:start w:val="1"/>
      <w:numFmt w:val="none"/>
      <w:pStyle w:val="ReportLevel5"/>
      <w:lvlText w:val=""/>
      <w:lvlJc w:val="left"/>
      <w:pPr>
        <w:tabs>
          <w:tab w:val="num" w:pos="1134"/>
        </w:tabs>
        <w:ind w:left="1134" w:hanging="1134"/>
      </w:pPr>
    </w:lvl>
    <w:lvl w:ilvl="5">
      <w:start w:val="1"/>
      <w:numFmt w:val="none"/>
      <w:pStyle w:val="ReportLevel6"/>
      <w:lvlText w:val=""/>
      <w:lvlJc w:val="left"/>
      <w:pPr>
        <w:tabs>
          <w:tab w:val="num" w:pos="1134"/>
        </w:tabs>
        <w:ind w:left="1134" w:hanging="1134"/>
      </w:pPr>
    </w:lvl>
    <w:lvl w:ilvl="6">
      <w:start w:val="1"/>
      <w:numFmt w:val="none"/>
      <w:pStyle w:val="ReportLevel7"/>
      <w:lvlText w:val=""/>
      <w:lvlJc w:val="left"/>
      <w:pPr>
        <w:tabs>
          <w:tab w:val="num" w:pos="1134"/>
        </w:tabs>
        <w:ind w:left="1134" w:hanging="1134"/>
      </w:pPr>
    </w:lvl>
    <w:lvl w:ilvl="7">
      <w:start w:val="1"/>
      <w:numFmt w:val="none"/>
      <w:lvlText w:val=""/>
      <w:lvlJc w:val="left"/>
      <w:pPr>
        <w:tabs>
          <w:tab w:val="num" w:pos="1134"/>
        </w:tabs>
        <w:ind w:left="1134" w:hanging="1134"/>
      </w:pPr>
    </w:lvl>
    <w:lvl w:ilvl="8">
      <w:start w:val="1"/>
      <w:numFmt w:val="none"/>
      <w:lvlText w:val=""/>
      <w:lvlJc w:val="left"/>
      <w:pPr>
        <w:tabs>
          <w:tab w:val="num" w:pos="1134"/>
        </w:tabs>
        <w:ind w:left="1134" w:hanging="1134"/>
      </w:pPr>
    </w:lvl>
  </w:abstractNum>
  <w:abstractNum w:abstractNumId="12" w15:restartNumberingAfterBreak="0">
    <w:nsid w:val="30A44071"/>
    <w:multiLevelType w:val="hybridMultilevel"/>
    <w:tmpl w:val="C6D0B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754570F"/>
    <w:multiLevelType w:val="multilevel"/>
    <w:tmpl w:val="66AC3F00"/>
    <w:name w:val="AECOM Outline numbering3"/>
    <w:lvl w:ilvl="0">
      <w:start w:val="1"/>
      <w:numFmt w:val="upperLetter"/>
      <w:pStyle w:val="Appendix"/>
      <w:suff w:val="space"/>
      <w:lvlText w:val="Appendix %1"/>
      <w:lvlJc w:val="left"/>
      <w:pPr>
        <w:ind w:left="425" w:firstLine="0"/>
      </w:pPr>
      <w:rPr>
        <w:rFonts w:hint="default"/>
      </w:rPr>
    </w:lvl>
    <w:lvl w:ilvl="1">
      <w:start w:val="1"/>
      <w:numFmt w:val="decimal"/>
      <w:pStyle w:val="Appendixheading2"/>
      <w:lvlText w:val="%1.%2"/>
      <w:lvlJc w:val="left"/>
      <w:pPr>
        <w:ind w:left="782" w:hanging="357"/>
      </w:pPr>
      <w:rPr>
        <w:rFonts w:hint="default"/>
      </w:rPr>
    </w:lvl>
    <w:lvl w:ilvl="2">
      <w:start w:val="1"/>
      <w:numFmt w:val="lowerRoman"/>
      <w:lvlText w:val="%3)"/>
      <w:lvlJc w:val="left"/>
      <w:pPr>
        <w:ind w:left="1505" w:hanging="360"/>
      </w:pPr>
      <w:rPr>
        <w:rFonts w:hint="default"/>
      </w:rPr>
    </w:lvl>
    <w:lvl w:ilvl="3">
      <w:start w:val="1"/>
      <w:numFmt w:val="decimal"/>
      <w:lvlText w:val="(%4)"/>
      <w:lvlJc w:val="left"/>
      <w:pPr>
        <w:ind w:left="1865" w:hanging="360"/>
      </w:pPr>
      <w:rPr>
        <w:rFonts w:hint="default"/>
      </w:rPr>
    </w:lvl>
    <w:lvl w:ilvl="4">
      <w:start w:val="1"/>
      <w:numFmt w:val="lowerLetter"/>
      <w:lvlText w:val="(%5)"/>
      <w:lvlJc w:val="left"/>
      <w:pPr>
        <w:ind w:left="2225" w:hanging="360"/>
      </w:pPr>
      <w:rPr>
        <w:rFonts w:hint="default"/>
      </w:rPr>
    </w:lvl>
    <w:lvl w:ilvl="5">
      <w:start w:val="1"/>
      <w:numFmt w:val="lowerRoman"/>
      <w:lvlText w:val="(%6)"/>
      <w:lvlJc w:val="left"/>
      <w:pPr>
        <w:ind w:left="2585" w:hanging="360"/>
      </w:pPr>
      <w:rPr>
        <w:rFonts w:hint="default"/>
      </w:rPr>
    </w:lvl>
    <w:lvl w:ilvl="6">
      <w:start w:val="1"/>
      <w:numFmt w:val="decimal"/>
      <w:lvlText w:val="%7."/>
      <w:lvlJc w:val="left"/>
      <w:pPr>
        <w:ind w:left="2945" w:hanging="360"/>
      </w:pPr>
      <w:rPr>
        <w:rFonts w:hint="default"/>
      </w:rPr>
    </w:lvl>
    <w:lvl w:ilvl="7">
      <w:start w:val="1"/>
      <w:numFmt w:val="lowerLetter"/>
      <w:lvlText w:val="%8."/>
      <w:lvlJc w:val="left"/>
      <w:pPr>
        <w:ind w:left="3305" w:hanging="360"/>
      </w:pPr>
      <w:rPr>
        <w:rFonts w:hint="default"/>
      </w:rPr>
    </w:lvl>
    <w:lvl w:ilvl="8">
      <w:start w:val="1"/>
      <w:numFmt w:val="lowerRoman"/>
      <w:lvlText w:val="%9."/>
      <w:lvlJc w:val="left"/>
      <w:pPr>
        <w:ind w:left="3665" w:hanging="360"/>
      </w:pPr>
      <w:rPr>
        <w:rFonts w:hint="default"/>
      </w:rPr>
    </w:lvl>
  </w:abstractNum>
  <w:abstractNum w:abstractNumId="14" w15:restartNumberingAfterBreak="0">
    <w:nsid w:val="3A383484"/>
    <w:multiLevelType w:val="multilevel"/>
    <w:tmpl w:val="60B68AA8"/>
    <w:styleLink w:val="AECOMTableNumbering"/>
    <w:lvl w:ilvl="0">
      <w:start w:val="1"/>
      <w:numFmt w:val="decimal"/>
      <w:pStyle w:val="TableListNumber"/>
      <w:lvlText w:val="%1."/>
      <w:lvlJc w:val="left"/>
      <w:pPr>
        <w:ind w:left="284" w:hanging="284"/>
      </w:pPr>
      <w:rPr>
        <w:rFonts w:hint="default"/>
      </w:rPr>
    </w:lvl>
    <w:lvl w:ilvl="1">
      <w:start w:val="1"/>
      <w:numFmt w:val="lowerLetter"/>
      <w:pStyle w:val="TableListNumber2"/>
      <w:lvlText w:val="%2."/>
      <w:lvlJc w:val="left"/>
      <w:pPr>
        <w:ind w:left="568" w:hanging="284"/>
      </w:pPr>
      <w:rPr>
        <w:rFonts w:hint="default"/>
      </w:rPr>
    </w:lvl>
    <w:lvl w:ilvl="2">
      <w:start w:val="1"/>
      <w:numFmt w:val="lowerRoman"/>
      <w:pStyle w:val="TableListNumber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5" w15:restartNumberingAfterBreak="0">
    <w:nsid w:val="3A5333BD"/>
    <w:multiLevelType w:val="multilevel"/>
    <w:tmpl w:val="9402B414"/>
    <w:name w:val="AECOM Outline numbering22"/>
    <w:lvl w:ilvl="0">
      <w:start w:val="10"/>
      <w:numFmt w:val="decimal"/>
      <w:lvlRestart w:val="0"/>
      <w:pStyle w:val="Heading1"/>
      <w:lvlText w:val="%1"/>
      <w:lvlJc w:val="left"/>
      <w:pPr>
        <w:ind w:left="850" w:hanging="850"/>
      </w:pPr>
      <w:rPr>
        <w:rFonts w:hint="default"/>
      </w:rPr>
    </w:lvl>
    <w:lvl w:ilvl="1">
      <w:start w:val="1"/>
      <w:numFmt w:val="decimal"/>
      <w:pStyle w:val="Heading2"/>
      <w:suff w:val="space"/>
      <w:lvlText w:val="%1.%2"/>
      <w:lvlJc w:val="left"/>
      <w:pPr>
        <w:ind w:left="1134" w:hanging="850"/>
      </w:pPr>
      <w:rPr>
        <w:rFonts w:hint="default"/>
      </w:rPr>
    </w:lvl>
    <w:lvl w:ilvl="2">
      <w:start w:val="1"/>
      <w:numFmt w:val="decimal"/>
      <w:pStyle w:val="Heading3"/>
      <w:lvlText w:val="%1.%2.%3"/>
      <w:lvlJc w:val="left"/>
      <w:pPr>
        <w:ind w:left="850" w:hanging="850"/>
      </w:pPr>
      <w:rPr>
        <w:rFonts w:hint="default"/>
      </w:rPr>
    </w:lvl>
    <w:lvl w:ilvl="3">
      <w:start w:val="1"/>
      <w:numFmt w:val="decimal"/>
      <w:pStyle w:val="Heading4"/>
      <w:lvlText w:val="%1.%2.%3.%4"/>
      <w:lvlJc w:val="left"/>
      <w:pPr>
        <w:ind w:left="850" w:hanging="850"/>
      </w:pPr>
      <w:rPr>
        <w:rFonts w:hint="default"/>
      </w:rPr>
    </w:lvl>
    <w:lvl w:ilvl="4">
      <w:start w:val="1"/>
      <w:numFmt w:val="none"/>
      <w:pStyle w:val="Heading5"/>
      <w:lvlText w:val=""/>
      <w:lvlJc w:val="left"/>
      <w:pPr>
        <w:ind w:left="0" w:firstLine="0"/>
      </w:pPr>
      <w:rPr>
        <w:rFonts w:hint="default"/>
      </w:rPr>
    </w:lvl>
    <w:lvl w:ilvl="5">
      <w:start w:val="1"/>
      <w:numFmt w:val="decimal"/>
      <w:pStyle w:val="Heading6"/>
      <w:lvlText w:val="%1.%2.%3.%4.%5.%6"/>
      <w:lvlJc w:val="left"/>
      <w:pPr>
        <w:ind w:left="850" w:hanging="850"/>
      </w:pPr>
      <w:rPr>
        <w:rFonts w:hint="default"/>
      </w:rPr>
    </w:lvl>
    <w:lvl w:ilvl="6">
      <w:start w:val="1"/>
      <w:numFmt w:val="none"/>
      <w:pStyle w:val="Heading7"/>
      <w:lvlText w:val=""/>
      <w:lvlJc w:val="left"/>
      <w:pPr>
        <w:ind w:left="850" w:hanging="850"/>
      </w:pPr>
      <w:rPr>
        <w:rFonts w:hint="default"/>
      </w:rPr>
    </w:lvl>
    <w:lvl w:ilvl="7">
      <w:start w:val="1"/>
      <w:numFmt w:val="lowerLetter"/>
      <w:pStyle w:val="Heading8"/>
      <w:lvlText w:val="%8."/>
      <w:lvlJc w:val="left"/>
      <w:pPr>
        <w:ind w:left="850" w:hanging="850"/>
      </w:pPr>
      <w:rPr>
        <w:rFonts w:hint="default"/>
      </w:rPr>
    </w:lvl>
    <w:lvl w:ilvl="8">
      <w:start w:val="1"/>
      <w:numFmt w:val="lowerRoman"/>
      <w:pStyle w:val="Heading9"/>
      <w:lvlText w:val="%9."/>
      <w:lvlJc w:val="left"/>
      <w:pPr>
        <w:ind w:left="850" w:hanging="850"/>
      </w:pPr>
      <w:rPr>
        <w:rFonts w:hint="default"/>
      </w:rPr>
    </w:lvl>
  </w:abstractNum>
  <w:abstractNum w:abstractNumId="16" w15:restartNumberingAfterBreak="0">
    <w:nsid w:val="3A9061AB"/>
    <w:multiLevelType w:val="hybridMultilevel"/>
    <w:tmpl w:val="3FCE5574"/>
    <w:lvl w:ilvl="0" w:tplc="BF1C1828">
      <w:start w:val="1"/>
      <w:numFmt w:val="decimal"/>
      <w:lvlText w:val="%1)"/>
      <w:lvlJc w:val="left"/>
      <w:pPr>
        <w:ind w:left="720" w:hanging="360"/>
      </w:pPr>
    </w:lvl>
    <w:lvl w:ilvl="1" w:tplc="1760412E">
      <w:start w:val="1"/>
      <w:numFmt w:val="decimal"/>
      <w:lvlText w:val="%2)"/>
      <w:lvlJc w:val="left"/>
      <w:pPr>
        <w:ind w:left="720" w:hanging="360"/>
      </w:pPr>
    </w:lvl>
    <w:lvl w:ilvl="2" w:tplc="0122C2AC">
      <w:start w:val="1"/>
      <w:numFmt w:val="decimal"/>
      <w:lvlText w:val="%3)"/>
      <w:lvlJc w:val="left"/>
      <w:pPr>
        <w:ind w:left="720" w:hanging="360"/>
      </w:pPr>
    </w:lvl>
    <w:lvl w:ilvl="3" w:tplc="E006C5C2">
      <w:start w:val="1"/>
      <w:numFmt w:val="decimal"/>
      <w:lvlText w:val="%4)"/>
      <w:lvlJc w:val="left"/>
      <w:pPr>
        <w:ind w:left="720" w:hanging="360"/>
      </w:pPr>
    </w:lvl>
    <w:lvl w:ilvl="4" w:tplc="4A7E4D46">
      <w:start w:val="1"/>
      <w:numFmt w:val="decimal"/>
      <w:lvlText w:val="%5)"/>
      <w:lvlJc w:val="left"/>
      <w:pPr>
        <w:ind w:left="720" w:hanging="360"/>
      </w:pPr>
    </w:lvl>
    <w:lvl w:ilvl="5" w:tplc="CD3E467E">
      <w:start w:val="1"/>
      <w:numFmt w:val="decimal"/>
      <w:lvlText w:val="%6)"/>
      <w:lvlJc w:val="left"/>
      <w:pPr>
        <w:ind w:left="720" w:hanging="360"/>
      </w:pPr>
    </w:lvl>
    <w:lvl w:ilvl="6" w:tplc="A3E4D10E">
      <w:start w:val="1"/>
      <w:numFmt w:val="decimal"/>
      <w:lvlText w:val="%7)"/>
      <w:lvlJc w:val="left"/>
      <w:pPr>
        <w:ind w:left="720" w:hanging="360"/>
      </w:pPr>
    </w:lvl>
    <w:lvl w:ilvl="7" w:tplc="8D069D84">
      <w:start w:val="1"/>
      <w:numFmt w:val="decimal"/>
      <w:lvlText w:val="%8)"/>
      <w:lvlJc w:val="left"/>
      <w:pPr>
        <w:ind w:left="720" w:hanging="360"/>
      </w:pPr>
    </w:lvl>
    <w:lvl w:ilvl="8" w:tplc="495CCCE8">
      <w:start w:val="1"/>
      <w:numFmt w:val="decimal"/>
      <w:lvlText w:val="%9)"/>
      <w:lvlJc w:val="left"/>
      <w:pPr>
        <w:ind w:left="720" w:hanging="360"/>
      </w:pPr>
    </w:lvl>
  </w:abstractNum>
  <w:abstractNum w:abstractNumId="17" w15:restartNumberingAfterBreak="0">
    <w:nsid w:val="4644573A"/>
    <w:multiLevelType w:val="multilevel"/>
    <w:tmpl w:val="3F9A613A"/>
    <w:styleLink w:val="AECOMAppendix"/>
    <w:lvl w:ilvl="0">
      <w:start w:val="1"/>
      <w:numFmt w:val="bullet"/>
      <w:lvlText w:val=""/>
      <w:lvlJc w:val="left"/>
      <w:pPr>
        <w:ind w:left="284" w:hanging="284"/>
      </w:pPr>
      <w:rPr>
        <w:rFonts w:ascii="Symbol" w:hAnsi="Symbol" w:hint="default"/>
        <w:color w:val="auto"/>
      </w:rPr>
    </w:lvl>
    <w:lvl w:ilvl="1">
      <w:start w:val="1"/>
      <w:numFmt w:val="bullet"/>
      <w:lvlText w:val="o"/>
      <w:lvlJc w:val="left"/>
      <w:pPr>
        <w:ind w:left="568" w:hanging="284"/>
      </w:pPr>
      <w:rPr>
        <w:rFonts w:ascii="Courier New" w:hAnsi="Courier New" w:hint="default"/>
        <w:color w:val="auto"/>
      </w:rPr>
    </w:lvl>
    <w:lvl w:ilvl="2">
      <w:start w:val="1"/>
      <w:numFmt w:val="bullet"/>
      <w:lvlText w:val="─"/>
      <w:lvlJc w:val="left"/>
      <w:pPr>
        <w:ind w:left="852" w:hanging="284"/>
      </w:pPr>
      <w:rPr>
        <w:rFonts w:ascii="Calibri" w:hAnsi="Calibri" w:hint="default"/>
        <w:color w:val="auto"/>
      </w:rPr>
    </w:lvl>
    <w:lvl w:ilvl="3">
      <w:start w:val="1"/>
      <w:numFmt w:val="bullet"/>
      <w:lvlText w:val=""/>
      <w:lvlJc w:val="left"/>
      <w:pPr>
        <w:ind w:left="1136" w:hanging="284"/>
      </w:pPr>
      <w:rPr>
        <w:rFonts w:ascii="Symbol" w:hAnsi="Symbol" w:hint="default"/>
      </w:rPr>
    </w:lvl>
    <w:lvl w:ilvl="4">
      <w:start w:val="1"/>
      <w:numFmt w:val="bullet"/>
      <w:lvlText w:val="o"/>
      <w:lvlJc w:val="left"/>
      <w:pPr>
        <w:ind w:left="1420" w:hanging="284"/>
      </w:pPr>
      <w:rPr>
        <w:rFonts w:ascii="Courier New" w:hAnsi="Courier New" w:hint="default"/>
      </w:rPr>
    </w:lvl>
    <w:lvl w:ilvl="5">
      <w:start w:val="1"/>
      <w:numFmt w:val="bullet"/>
      <w:lvlText w:val=""/>
      <w:lvlJc w:val="left"/>
      <w:pPr>
        <w:tabs>
          <w:tab w:val="num" w:pos="2346"/>
        </w:tabs>
        <w:ind w:left="1704" w:hanging="284"/>
      </w:pPr>
      <w:rPr>
        <w:rFonts w:ascii="Wingdings" w:hAnsi="Wingdings" w:hint="default"/>
      </w:rPr>
    </w:lvl>
    <w:lvl w:ilvl="6">
      <w:start w:val="1"/>
      <w:numFmt w:val="bullet"/>
      <w:lvlText w:val=""/>
      <w:lvlJc w:val="left"/>
      <w:pPr>
        <w:tabs>
          <w:tab w:val="num" w:pos="2630"/>
        </w:tabs>
        <w:ind w:left="1988" w:hanging="284"/>
      </w:pPr>
      <w:rPr>
        <w:rFonts w:ascii="Symbol" w:hAnsi="Symbol" w:hint="default"/>
      </w:rPr>
    </w:lvl>
    <w:lvl w:ilvl="7">
      <w:start w:val="1"/>
      <w:numFmt w:val="bullet"/>
      <w:lvlText w:val="o"/>
      <w:lvlJc w:val="left"/>
      <w:pPr>
        <w:tabs>
          <w:tab w:val="num" w:pos="2914"/>
        </w:tabs>
        <w:ind w:left="2272" w:hanging="284"/>
      </w:pPr>
      <w:rPr>
        <w:rFonts w:ascii="Courier New" w:hAnsi="Courier New" w:cs="Courier New" w:hint="default"/>
      </w:rPr>
    </w:lvl>
    <w:lvl w:ilvl="8">
      <w:start w:val="1"/>
      <w:numFmt w:val="bullet"/>
      <w:lvlText w:val=""/>
      <w:lvlJc w:val="left"/>
      <w:pPr>
        <w:tabs>
          <w:tab w:val="num" w:pos="3198"/>
        </w:tabs>
        <w:ind w:left="2556" w:hanging="284"/>
      </w:pPr>
      <w:rPr>
        <w:rFonts w:ascii="Wingdings" w:hAnsi="Wingdings" w:hint="default"/>
      </w:rPr>
    </w:lvl>
  </w:abstractNum>
  <w:abstractNum w:abstractNumId="18" w15:restartNumberingAfterBreak="0">
    <w:nsid w:val="4EDB5F69"/>
    <w:multiLevelType w:val="multilevel"/>
    <w:tmpl w:val="4374215A"/>
    <w:styleLink w:val="AECOMNumbering"/>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4F926A09"/>
    <w:multiLevelType w:val="multilevel"/>
    <w:tmpl w:val="99F01D82"/>
    <w:lvl w:ilvl="0">
      <w:start w:val="1"/>
      <w:numFmt w:val="bullet"/>
      <w:pStyle w:val="TableListBullet"/>
      <w:lvlText w:val=""/>
      <w:lvlJc w:val="left"/>
      <w:pPr>
        <w:ind w:left="284" w:hanging="284"/>
      </w:pPr>
      <w:rPr>
        <w:rFonts w:ascii="Symbol" w:hAnsi="Symbol" w:hint="default"/>
        <w:color w:val="auto"/>
      </w:rPr>
    </w:lvl>
    <w:lvl w:ilvl="1">
      <w:start w:val="1"/>
      <w:numFmt w:val="bullet"/>
      <w:pStyle w:val="TableListBullet2"/>
      <w:lvlText w:val="─"/>
      <w:lvlJc w:val="left"/>
      <w:pPr>
        <w:ind w:left="568" w:hanging="284"/>
      </w:pPr>
      <w:rPr>
        <w:rFonts w:ascii="Calibri" w:hAnsi="Calibri" w:hint="default"/>
        <w:color w:val="auto"/>
      </w:rPr>
    </w:lvl>
    <w:lvl w:ilvl="2">
      <w:start w:val="1"/>
      <w:numFmt w:val="bullet"/>
      <w:pStyle w:val="TableListBullet3"/>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color w:val="auto"/>
      </w:rPr>
    </w:lvl>
    <w:lvl w:ilvl="4">
      <w:start w:val="1"/>
      <w:numFmt w:val="bullet"/>
      <w:lvlText w:val="─"/>
      <w:lvlJc w:val="left"/>
      <w:pPr>
        <w:ind w:left="1420" w:hanging="284"/>
      </w:pPr>
      <w:rPr>
        <w:rFonts w:ascii="Calibri" w:hAnsi="Calibri" w:hint="default"/>
        <w:color w:val="auto"/>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Symbol" w:hAnsi="Symbol" w:hint="default"/>
        <w:color w:val="auto"/>
      </w:rPr>
    </w:lvl>
    <w:lvl w:ilvl="7">
      <w:start w:val="1"/>
      <w:numFmt w:val="bullet"/>
      <w:lvlText w:val="─"/>
      <w:lvlJc w:val="left"/>
      <w:pPr>
        <w:ind w:left="2272" w:hanging="284"/>
      </w:pPr>
      <w:rPr>
        <w:rFonts w:ascii="Calibri" w:hAnsi="Calibri" w:hint="default"/>
        <w:color w:val="auto"/>
      </w:rPr>
    </w:lvl>
    <w:lvl w:ilvl="8">
      <w:start w:val="1"/>
      <w:numFmt w:val="bullet"/>
      <w:lvlText w:val=""/>
      <w:lvlJc w:val="left"/>
      <w:pPr>
        <w:ind w:left="2556" w:hanging="284"/>
      </w:pPr>
      <w:rPr>
        <w:rFonts w:ascii="Wingdings" w:hAnsi="Wingdings" w:hint="default"/>
      </w:rPr>
    </w:lvl>
  </w:abstractNum>
  <w:abstractNum w:abstractNumId="20" w15:restartNumberingAfterBreak="0">
    <w:nsid w:val="51405DC8"/>
    <w:multiLevelType w:val="hybridMultilevel"/>
    <w:tmpl w:val="0518BB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1880F48"/>
    <w:multiLevelType w:val="multilevel"/>
    <w:tmpl w:val="5B6227C6"/>
    <w:styleLink w:val="111111"/>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ind w:left="1071" w:hanging="357"/>
      </w:pPr>
      <w:rPr>
        <w:rFonts w:hint="default"/>
      </w:rPr>
    </w:lvl>
    <w:lvl w:ilvl="3">
      <w:start w:val="1"/>
      <w:numFmt w:val="decimal"/>
      <w:lvlText w:val="%4."/>
      <w:lvlJc w:val="left"/>
      <w:pPr>
        <w:tabs>
          <w:tab w:val="num" w:pos="1431"/>
        </w:tabs>
        <w:ind w:left="1428" w:hanging="357"/>
      </w:pPr>
      <w:rPr>
        <w:rFonts w:hint="default"/>
      </w:rPr>
    </w:lvl>
    <w:lvl w:ilvl="4">
      <w:start w:val="1"/>
      <w:numFmt w:val="lowerLetter"/>
      <w:lvlText w:val="%5."/>
      <w:lvlJc w:val="left"/>
      <w:pPr>
        <w:tabs>
          <w:tab w:val="num" w:pos="1788"/>
        </w:tabs>
        <w:ind w:left="1785" w:hanging="357"/>
      </w:pPr>
      <w:rPr>
        <w:rFonts w:hint="default"/>
      </w:rPr>
    </w:lvl>
    <w:lvl w:ilvl="5">
      <w:start w:val="1"/>
      <w:numFmt w:val="lowerRoman"/>
      <w:lvlText w:val="%6."/>
      <w:lvlJc w:val="right"/>
      <w:pPr>
        <w:tabs>
          <w:tab w:val="num" w:pos="2145"/>
        </w:tabs>
        <w:ind w:left="2142" w:hanging="357"/>
      </w:pPr>
      <w:rPr>
        <w:rFonts w:hint="default"/>
      </w:rPr>
    </w:lvl>
    <w:lvl w:ilvl="6">
      <w:start w:val="1"/>
      <w:numFmt w:val="decimal"/>
      <w:lvlText w:val="%7."/>
      <w:lvlJc w:val="left"/>
      <w:pPr>
        <w:tabs>
          <w:tab w:val="num" w:pos="2502"/>
        </w:tabs>
        <w:ind w:left="2499" w:hanging="357"/>
      </w:pPr>
      <w:rPr>
        <w:rFonts w:hint="default"/>
      </w:rPr>
    </w:lvl>
    <w:lvl w:ilvl="7">
      <w:start w:val="1"/>
      <w:numFmt w:val="lowerLetter"/>
      <w:lvlText w:val="%8."/>
      <w:lvlJc w:val="left"/>
      <w:pPr>
        <w:tabs>
          <w:tab w:val="num" w:pos="2859"/>
        </w:tabs>
        <w:ind w:left="2856" w:hanging="357"/>
      </w:pPr>
      <w:rPr>
        <w:rFonts w:hint="default"/>
      </w:rPr>
    </w:lvl>
    <w:lvl w:ilvl="8">
      <w:start w:val="1"/>
      <w:numFmt w:val="lowerRoman"/>
      <w:lvlText w:val="%9."/>
      <w:lvlJc w:val="right"/>
      <w:pPr>
        <w:tabs>
          <w:tab w:val="num" w:pos="3216"/>
        </w:tabs>
        <w:ind w:left="3213" w:hanging="357"/>
      </w:pPr>
      <w:rPr>
        <w:rFonts w:hint="default"/>
      </w:rPr>
    </w:lvl>
  </w:abstractNum>
  <w:abstractNum w:abstractNumId="22" w15:restartNumberingAfterBreak="0">
    <w:nsid w:val="554F7D0D"/>
    <w:multiLevelType w:val="hybridMultilevel"/>
    <w:tmpl w:val="573C0C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571285C"/>
    <w:multiLevelType w:val="multilevel"/>
    <w:tmpl w:val="6C36E04A"/>
    <w:name w:val="AECOM Outline numbering2"/>
    <w:lvl w:ilvl="0">
      <w:start w:val="1"/>
      <w:numFmt w:val="decimal"/>
      <w:lvlRestart w:val="0"/>
      <w:lvlText w:val="%1."/>
      <w:lvlJc w:val="left"/>
      <w:pPr>
        <w:ind w:left="850" w:hanging="850"/>
      </w:pPr>
      <w:rPr>
        <w:rFonts w:hint="default"/>
      </w:rPr>
    </w:lvl>
    <w:lvl w:ilvl="1">
      <w:start w:val="1"/>
      <w:numFmt w:val="decimal"/>
      <w:lvlText w:val="%1.%2"/>
      <w:lvlJc w:val="left"/>
      <w:pPr>
        <w:ind w:left="850" w:hanging="850"/>
      </w:pPr>
      <w:rPr>
        <w:rFonts w:hint="default"/>
      </w:rPr>
    </w:lvl>
    <w:lvl w:ilvl="2">
      <w:start w:val="1"/>
      <w:numFmt w:val="decimal"/>
      <w:lvlText w:val="%1.%2.%3"/>
      <w:lvlJc w:val="left"/>
      <w:pPr>
        <w:ind w:left="850" w:hanging="850"/>
      </w:pPr>
      <w:rPr>
        <w:rFonts w:hint="default"/>
      </w:rPr>
    </w:lvl>
    <w:lvl w:ilvl="3">
      <w:start w:val="1"/>
      <w:numFmt w:val="decimal"/>
      <w:lvlText w:val="%1.%2.%3.%4"/>
      <w:lvlJc w:val="left"/>
      <w:pPr>
        <w:ind w:left="850" w:hanging="850"/>
      </w:pPr>
      <w:rPr>
        <w:rFonts w:hint="default"/>
      </w:rPr>
    </w:lvl>
    <w:lvl w:ilvl="4">
      <w:start w:val="1"/>
      <w:numFmt w:val="decimal"/>
      <w:lvlText w:val="%1.%2.%3.%4.%5"/>
      <w:lvlJc w:val="left"/>
      <w:pPr>
        <w:ind w:left="850" w:hanging="850"/>
      </w:pPr>
      <w:rPr>
        <w:rFonts w:hint="default"/>
      </w:rPr>
    </w:lvl>
    <w:lvl w:ilvl="5">
      <w:start w:val="1"/>
      <w:numFmt w:val="decimal"/>
      <w:lvlText w:val="%1.%2.%3.%4.%5.%6"/>
      <w:lvlJc w:val="left"/>
      <w:pPr>
        <w:ind w:left="850" w:hanging="850"/>
      </w:pPr>
      <w:rPr>
        <w:rFonts w:hint="default"/>
      </w:rPr>
    </w:lvl>
    <w:lvl w:ilvl="6">
      <w:start w:val="1"/>
      <w:numFmt w:val="none"/>
      <w:lvlText w:val=""/>
      <w:lvlJc w:val="left"/>
      <w:pPr>
        <w:ind w:left="850" w:hanging="850"/>
      </w:pPr>
      <w:rPr>
        <w:rFonts w:hint="default"/>
      </w:rPr>
    </w:lvl>
    <w:lvl w:ilvl="7">
      <w:start w:val="1"/>
      <w:numFmt w:val="lowerLetter"/>
      <w:lvlText w:val="%8."/>
      <w:lvlJc w:val="left"/>
      <w:pPr>
        <w:ind w:left="850" w:hanging="850"/>
      </w:pPr>
      <w:rPr>
        <w:rFonts w:hint="default"/>
      </w:rPr>
    </w:lvl>
    <w:lvl w:ilvl="8">
      <w:start w:val="1"/>
      <w:numFmt w:val="lowerRoman"/>
      <w:lvlText w:val="%9."/>
      <w:lvlJc w:val="left"/>
      <w:pPr>
        <w:ind w:left="850" w:hanging="850"/>
      </w:pPr>
      <w:rPr>
        <w:rFonts w:hint="default"/>
      </w:rPr>
    </w:lvl>
  </w:abstractNum>
  <w:abstractNum w:abstractNumId="24" w15:restartNumberingAfterBreak="0">
    <w:nsid w:val="5B0C28C9"/>
    <w:multiLevelType w:val="hybridMultilevel"/>
    <w:tmpl w:val="D43A4186"/>
    <w:lvl w:ilvl="0" w:tplc="2A52D072">
      <w:start w:val="1"/>
      <w:numFmt w:val="decimal"/>
      <w:lvlText w:val="%1)"/>
      <w:lvlJc w:val="left"/>
      <w:pPr>
        <w:ind w:left="720" w:hanging="360"/>
      </w:pPr>
    </w:lvl>
    <w:lvl w:ilvl="1" w:tplc="308A7486">
      <w:start w:val="1"/>
      <w:numFmt w:val="decimal"/>
      <w:lvlText w:val="%2)"/>
      <w:lvlJc w:val="left"/>
      <w:pPr>
        <w:ind w:left="720" w:hanging="360"/>
      </w:pPr>
    </w:lvl>
    <w:lvl w:ilvl="2" w:tplc="A8A8A660">
      <w:start w:val="1"/>
      <w:numFmt w:val="decimal"/>
      <w:lvlText w:val="%3)"/>
      <w:lvlJc w:val="left"/>
      <w:pPr>
        <w:ind w:left="720" w:hanging="360"/>
      </w:pPr>
    </w:lvl>
    <w:lvl w:ilvl="3" w:tplc="1F1E3B50">
      <w:start w:val="1"/>
      <w:numFmt w:val="decimal"/>
      <w:lvlText w:val="%4)"/>
      <w:lvlJc w:val="left"/>
      <w:pPr>
        <w:ind w:left="720" w:hanging="360"/>
      </w:pPr>
    </w:lvl>
    <w:lvl w:ilvl="4" w:tplc="C6507764">
      <w:start w:val="1"/>
      <w:numFmt w:val="decimal"/>
      <w:lvlText w:val="%5)"/>
      <w:lvlJc w:val="left"/>
      <w:pPr>
        <w:ind w:left="720" w:hanging="360"/>
      </w:pPr>
    </w:lvl>
    <w:lvl w:ilvl="5" w:tplc="9CD2A610">
      <w:start w:val="1"/>
      <w:numFmt w:val="decimal"/>
      <w:lvlText w:val="%6)"/>
      <w:lvlJc w:val="left"/>
      <w:pPr>
        <w:ind w:left="720" w:hanging="360"/>
      </w:pPr>
    </w:lvl>
    <w:lvl w:ilvl="6" w:tplc="2ECCD07E">
      <w:start w:val="1"/>
      <w:numFmt w:val="decimal"/>
      <w:lvlText w:val="%7)"/>
      <w:lvlJc w:val="left"/>
      <w:pPr>
        <w:ind w:left="720" w:hanging="360"/>
      </w:pPr>
    </w:lvl>
    <w:lvl w:ilvl="7" w:tplc="0A8ACFEC">
      <w:start w:val="1"/>
      <w:numFmt w:val="decimal"/>
      <w:lvlText w:val="%8)"/>
      <w:lvlJc w:val="left"/>
      <w:pPr>
        <w:ind w:left="720" w:hanging="360"/>
      </w:pPr>
    </w:lvl>
    <w:lvl w:ilvl="8" w:tplc="4BF67B26">
      <w:start w:val="1"/>
      <w:numFmt w:val="decimal"/>
      <w:lvlText w:val="%9)"/>
      <w:lvlJc w:val="left"/>
      <w:pPr>
        <w:ind w:left="720" w:hanging="360"/>
      </w:pPr>
    </w:lvl>
  </w:abstractNum>
  <w:abstractNum w:abstractNumId="25" w15:restartNumberingAfterBreak="0">
    <w:nsid w:val="601D098F"/>
    <w:multiLevelType w:val="hybridMultilevel"/>
    <w:tmpl w:val="E850E9EC"/>
    <w:lvl w:ilvl="0" w:tplc="A052FDCE">
      <w:start w:val="1"/>
      <w:numFmt w:val="decimal"/>
      <w:lvlText w:val="%1)"/>
      <w:lvlJc w:val="left"/>
      <w:pPr>
        <w:ind w:left="720" w:hanging="360"/>
      </w:pPr>
    </w:lvl>
    <w:lvl w:ilvl="1" w:tplc="6E703940">
      <w:start w:val="1"/>
      <w:numFmt w:val="decimal"/>
      <w:lvlText w:val="%2)"/>
      <w:lvlJc w:val="left"/>
      <w:pPr>
        <w:ind w:left="720" w:hanging="360"/>
      </w:pPr>
    </w:lvl>
    <w:lvl w:ilvl="2" w:tplc="9E68AB74">
      <w:start w:val="1"/>
      <w:numFmt w:val="decimal"/>
      <w:lvlText w:val="%3)"/>
      <w:lvlJc w:val="left"/>
      <w:pPr>
        <w:ind w:left="720" w:hanging="360"/>
      </w:pPr>
    </w:lvl>
    <w:lvl w:ilvl="3" w:tplc="006C659A">
      <w:start w:val="1"/>
      <w:numFmt w:val="decimal"/>
      <w:lvlText w:val="%4)"/>
      <w:lvlJc w:val="left"/>
      <w:pPr>
        <w:ind w:left="720" w:hanging="360"/>
      </w:pPr>
    </w:lvl>
    <w:lvl w:ilvl="4" w:tplc="4E2EC20A">
      <w:start w:val="1"/>
      <w:numFmt w:val="decimal"/>
      <w:lvlText w:val="%5)"/>
      <w:lvlJc w:val="left"/>
      <w:pPr>
        <w:ind w:left="720" w:hanging="360"/>
      </w:pPr>
    </w:lvl>
    <w:lvl w:ilvl="5" w:tplc="8800FA74">
      <w:start w:val="1"/>
      <w:numFmt w:val="decimal"/>
      <w:lvlText w:val="%6)"/>
      <w:lvlJc w:val="left"/>
      <w:pPr>
        <w:ind w:left="720" w:hanging="360"/>
      </w:pPr>
    </w:lvl>
    <w:lvl w:ilvl="6" w:tplc="E626DC4E">
      <w:start w:val="1"/>
      <w:numFmt w:val="decimal"/>
      <w:lvlText w:val="%7)"/>
      <w:lvlJc w:val="left"/>
      <w:pPr>
        <w:ind w:left="720" w:hanging="360"/>
      </w:pPr>
    </w:lvl>
    <w:lvl w:ilvl="7" w:tplc="2A988CC0">
      <w:start w:val="1"/>
      <w:numFmt w:val="decimal"/>
      <w:lvlText w:val="%8)"/>
      <w:lvlJc w:val="left"/>
      <w:pPr>
        <w:ind w:left="720" w:hanging="360"/>
      </w:pPr>
    </w:lvl>
    <w:lvl w:ilvl="8" w:tplc="36FCEE92">
      <w:start w:val="1"/>
      <w:numFmt w:val="decimal"/>
      <w:lvlText w:val="%9)"/>
      <w:lvlJc w:val="left"/>
      <w:pPr>
        <w:ind w:left="720" w:hanging="360"/>
      </w:pPr>
    </w:lvl>
  </w:abstractNum>
  <w:abstractNum w:abstractNumId="26" w15:restartNumberingAfterBreak="0">
    <w:nsid w:val="659A027C"/>
    <w:multiLevelType w:val="multilevel"/>
    <w:tmpl w:val="ACFCE65E"/>
    <w:lvl w:ilvl="0">
      <w:start w:val="1"/>
      <w:numFmt w:val="decimal"/>
      <w:pStyle w:val="ListNumber"/>
      <w:lvlText w:val="%1."/>
      <w:lvlJc w:val="left"/>
      <w:pPr>
        <w:ind w:left="425" w:hanging="425"/>
      </w:pPr>
      <w:rPr>
        <w:rFonts w:hint="default"/>
      </w:rPr>
    </w:lvl>
    <w:lvl w:ilvl="1">
      <w:start w:val="1"/>
      <w:numFmt w:val="lowerLetter"/>
      <w:pStyle w:val="ListNumber2"/>
      <w:lvlText w:val="%2."/>
      <w:lvlJc w:val="left"/>
      <w:pPr>
        <w:tabs>
          <w:tab w:val="num" w:pos="850"/>
        </w:tabs>
        <w:ind w:left="850" w:hanging="425"/>
      </w:pPr>
      <w:rPr>
        <w:rFonts w:hint="default"/>
      </w:rPr>
    </w:lvl>
    <w:lvl w:ilvl="2">
      <w:start w:val="1"/>
      <w:numFmt w:val="lowerRoman"/>
      <w:pStyle w:val="ListNumber3"/>
      <w:lvlText w:val="%3."/>
      <w:lvlJc w:val="left"/>
      <w:pPr>
        <w:tabs>
          <w:tab w:val="num" w:pos="1275"/>
        </w:tabs>
        <w:ind w:left="1275" w:hanging="425"/>
      </w:pPr>
      <w:rPr>
        <w:rFonts w:hint="default"/>
      </w:rPr>
    </w:lvl>
    <w:lvl w:ilvl="3">
      <w:start w:val="1"/>
      <w:numFmt w:val="decimal"/>
      <w:lvlText w:val="%4."/>
      <w:lvlJc w:val="left"/>
      <w:pPr>
        <w:tabs>
          <w:tab w:val="num" w:pos="1700"/>
        </w:tabs>
        <w:ind w:left="1700" w:hanging="425"/>
      </w:pPr>
      <w:rPr>
        <w:rFonts w:hint="default"/>
      </w:rPr>
    </w:lvl>
    <w:lvl w:ilvl="4">
      <w:start w:val="1"/>
      <w:numFmt w:val="lowerLetter"/>
      <w:lvlText w:val="%5."/>
      <w:lvlJc w:val="left"/>
      <w:pPr>
        <w:tabs>
          <w:tab w:val="num" w:pos="2125"/>
        </w:tabs>
        <w:ind w:left="2125" w:hanging="425"/>
      </w:pPr>
      <w:rPr>
        <w:rFonts w:hint="default"/>
      </w:rPr>
    </w:lvl>
    <w:lvl w:ilvl="5">
      <w:start w:val="1"/>
      <w:numFmt w:val="lowerRoman"/>
      <w:lvlText w:val="%6."/>
      <w:lvlJc w:val="right"/>
      <w:pPr>
        <w:tabs>
          <w:tab w:val="num" w:pos="2550"/>
        </w:tabs>
        <w:ind w:left="2550" w:hanging="425"/>
      </w:pPr>
      <w:rPr>
        <w:rFonts w:hint="default"/>
      </w:rPr>
    </w:lvl>
    <w:lvl w:ilvl="6">
      <w:start w:val="1"/>
      <w:numFmt w:val="decimal"/>
      <w:lvlText w:val="%7."/>
      <w:lvlJc w:val="left"/>
      <w:pPr>
        <w:tabs>
          <w:tab w:val="num" w:pos="2975"/>
        </w:tabs>
        <w:ind w:left="2975" w:hanging="425"/>
      </w:pPr>
      <w:rPr>
        <w:rFonts w:hint="default"/>
      </w:rPr>
    </w:lvl>
    <w:lvl w:ilvl="7">
      <w:start w:val="1"/>
      <w:numFmt w:val="lowerLetter"/>
      <w:lvlText w:val="%8."/>
      <w:lvlJc w:val="left"/>
      <w:pPr>
        <w:tabs>
          <w:tab w:val="num" w:pos="3400"/>
        </w:tabs>
        <w:ind w:left="3400" w:hanging="425"/>
      </w:pPr>
      <w:rPr>
        <w:rFonts w:hint="default"/>
      </w:rPr>
    </w:lvl>
    <w:lvl w:ilvl="8">
      <w:start w:val="1"/>
      <w:numFmt w:val="lowerRoman"/>
      <w:lvlText w:val="%9."/>
      <w:lvlJc w:val="right"/>
      <w:pPr>
        <w:tabs>
          <w:tab w:val="num" w:pos="3825"/>
        </w:tabs>
        <w:ind w:left="3825" w:hanging="425"/>
      </w:pPr>
      <w:rPr>
        <w:rFonts w:hint="default"/>
      </w:rPr>
    </w:lvl>
  </w:abstractNum>
  <w:abstractNum w:abstractNumId="27" w15:restartNumberingAfterBreak="0">
    <w:nsid w:val="687802D1"/>
    <w:multiLevelType w:val="multilevel"/>
    <w:tmpl w:val="8214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EFE498B"/>
    <w:multiLevelType w:val="multilevel"/>
    <w:tmpl w:val="D88893D6"/>
    <w:lvl w:ilvl="0">
      <w:start w:val="1"/>
      <w:numFmt w:val="bullet"/>
      <w:lvlText w:val=""/>
      <w:lvlJc w:val="left"/>
      <w:pPr>
        <w:tabs>
          <w:tab w:val="num" w:pos="425"/>
        </w:tabs>
        <w:ind w:left="425" w:hanging="425"/>
      </w:pPr>
      <w:rPr>
        <w:rFonts w:ascii="Symbol" w:hAnsi="Symbol" w:hint="default"/>
        <w:color w:val="auto"/>
      </w:rPr>
    </w:lvl>
    <w:lvl w:ilvl="1">
      <w:start w:val="1"/>
      <w:numFmt w:val="bullet"/>
      <w:pStyle w:val="ListBullet2"/>
      <w:lvlText w:val="─"/>
      <w:lvlJc w:val="left"/>
      <w:pPr>
        <w:tabs>
          <w:tab w:val="num" w:pos="851"/>
        </w:tabs>
        <w:ind w:left="850" w:hanging="425"/>
      </w:pPr>
      <w:rPr>
        <w:rFonts w:ascii="Calibri" w:hAnsi="Calibri" w:hint="default"/>
        <w:color w:val="auto"/>
      </w:rPr>
    </w:lvl>
    <w:lvl w:ilvl="2">
      <w:start w:val="1"/>
      <w:numFmt w:val="bullet"/>
      <w:pStyle w:val="ListBullet3"/>
      <w:lvlText w:val=""/>
      <w:lvlJc w:val="left"/>
      <w:pPr>
        <w:tabs>
          <w:tab w:val="num" w:pos="1276"/>
        </w:tabs>
        <w:ind w:left="1275" w:hanging="425"/>
      </w:pPr>
      <w:rPr>
        <w:rFonts w:ascii="Wingdings" w:hAnsi="Wingdings" w:hint="default"/>
        <w:color w:val="auto"/>
      </w:rPr>
    </w:lvl>
    <w:lvl w:ilvl="3">
      <w:start w:val="1"/>
      <w:numFmt w:val="bullet"/>
      <w:lvlText w:val=""/>
      <w:lvlJc w:val="left"/>
      <w:pPr>
        <w:ind w:left="1700" w:hanging="425"/>
      </w:pPr>
      <w:rPr>
        <w:rFonts w:ascii="Symbol" w:hAnsi="Symbol" w:hint="default"/>
      </w:rPr>
    </w:lvl>
    <w:lvl w:ilvl="4">
      <w:start w:val="1"/>
      <w:numFmt w:val="bullet"/>
      <w:lvlText w:val="─"/>
      <w:lvlJc w:val="left"/>
      <w:pPr>
        <w:ind w:left="2125" w:hanging="425"/>
      </w:pPr>
      <w:rPr>
        <w:rFonts w:ascii="Calibri" w:hAnsi="Calibri" w:hint="default"/>
        <w:color w:val="auto"/>
      </w:rPr>
    </w:lvl>
    <w:lvl w:ilvl="5">
      <w:start w:val="1"/>
      <w:numFmt w:val="bullet"/>
      <w:lvlText w:val=""/>
      <w:lvlJc w:val="left"/>
      <w:pPr>
        <w:tabs>
          <w:tab w:val="num" w:pos="2346"/>
        </w:tabs>
        <w:ind w:left="2550" w:hanging="425"/>
      </w:pPr>
      <w:rPr>
        <w:rFonts w:ascii="Wingdings" w:hAnsi="Wingdings" w:hint="default"/>
      </w:rPr>
    </w:lvl>
    <w:lvl w:ilvl="6">
      <w:start w:val="1"/>
      <w:numFmt w:val="bullet"/>
      <w:lvlText w:val=""/>
      <w:lvlJc w:val="left"/>
      <w:pPr>
        <w:tabs>
          <w:tab w:val="num" w:pos="2630"/>
        </w:tabs>
        <w:ind w:left="2975" w:hanging="425"/>
      </w:pPr>
      <w:rPr>
        <w:rFonts w:ascii="Symbol" w:hAnsi="Symbol" w:hint="default"/>
      </w:rPr>
    </w:lvl>
    <w:lvl w:ilvl="7">
      <w:start w:val="1"/>
      <w:numFmt w:val="bullet"/>
      <w:lvlText w:val="─"/>
      <w:lvlJc w:val="left"/>
      <w:pPr>
        <w:tabs>
          <w:tab w:val="num" w:pos="2914"/>
        </w:tabs>
        <w:ind w:left="3400" w:hanging="425"/>
      </w:pPr>
      <w:rPr>
        <w:rFonts w:ascii="Calibri" w:hAnsi="Calibri" w:hint="default"/>
        <w:color w:val="auto"/>
      </w:rPr>
    </w:lvl>
    <w:lvl w:ilvl="8">
      <w:start w:val="1"/>
      <w:numFmt w:val="bullet"/>
      <w:lvlText w:val=""/>
      <w:lvlJc w:val="left"/>
      <w:pPr>
        <w:tabs>
          <w:tab w:val="num" w:pos="3198"/>
        </w:tabs>
        <w:ind w:left="3825" w:hanging="425"/>
      </w:pPr>
      <w:rPr>
        <w:rFonts w:ascii="Wingdings" w:hAnsi="Wingdings" w:hint="default"/>
      </w:rPr>
    </w:lvl>
  </w:abstractNum>
  <w:abstractNum w:abstractNumId="29" w15:restartNumberingAfterBreak="0">
    <w:nsid w:val="73140634"/>
    <w:multiLevelType w:val="hybridMultilevel"/>
    <w:tmpl w:val="54A0E6B6"/>
    <w:lvl w:ilvl="0" w:tplc="666CD5AC">
      <w:start w:val="1"/>
      <w:numFmt w:val="decimal"/>
      <w:lvlText w:val="%1)"/>
      <w:lvlJc w:val="left"/>
      <w:pPr>
        <w:ind w:left="720" w:hanging="360"/>
      </w:pPr>
    </w:lvl>
    <w:lvl w:ilvl="1" w:tplc="CD249A72">
      <w:start w:val="1"/>
      <w:numFmt w:val="decimal"/>
      <w:lvlText w:val="%2)"/>
      <w:lvlJc w:val="left"/>
      <w:pPr>
        <w:ind w:left="720" w:hanging="360"/>
      </w:pPr>
    </w:lvl>
    <w:lvl w:ilvl="2" w:tplc="AF12F698">
      <w:start w:val="1"/>
      <w:numFmt w:val="decimal"/>
      <w:lvlText w:val="%3)"/>
      <w:lvlJc w:val="left"/>
      <w:pPr>
        <w:ind w:left="720" w:hanging="360"/>
      </w:pPr>
    </w:lvl>
    <w:lvl w:ilvl="3" w:tplc="D85CDDFC">
      <w:start w:val="1"/>
      <w:numFmt w:val="decimal"/>
      <w:lvlText w:val="%4)"/>
      <w:lvlJc w:val="left"/>
      <w:pPr>
        <w:ind w:left="720" w:hanging="360"/>
      </w:pPr>
    </w:lvl>
    <w:lvl w:ilvl="4" w:tplc="BF86174C">
      <w:start w:val="1"/>
      <w:numFmt w:val="decimal"/>
      <w:lvlText w:val="%5)"/>
      <w:lvlJc w:val="left"/>
      <w:pPr>
        <w:ind w:left="720" w:hanging="360"/>
      </w:pPr>
    </w:lvl>
    <w:lvl w:ilvl="5" w:tplc="15BAE2F6">
      <w:start w:val="1"/>
      <w:numFmt w:val="decimal"/>
      <w:lvlText w:val="%6)"/>
      <w:lvlJc w:val="left"/>
      <w:pPr>
        <w:ind w:left="720" w:hanging="360"/>
      </w:pPr>
    </w:lvl>
    <w:lvl w:ilvl="6" w:tplc="88661902">
      <w:start w:val="1"/>
      <w:numFmt w:val="decimal"/>
      <w:lvlText w:val="%7)"/>
      <w:lvlJc w:val="left"/>
      <w:pPr>
        <w:ind w:left="720" w:hanging="360"/>
      </w:pPr>
    </w:lvl>
    <w:lvl w:ilvl="7" w:tplc="E51056F2">
      <w:start w:val="1"/>
      <w:numFmt w:val="decimal"/>
      <w:lvlText w:val="%8)"/>
      <w:lvlJc w:val="left"/>
      <w:pPr>
        <w:ind w:left="720" w:hanging="360"/>
      </w:pPr>
    </w:lvl>
    <w:lvl w:ilvl="8" w:tplc="DA00C52E">
      <w:start w:val="1"/>
      <w:numFmt w:val="decimal"/>
      <w:lvlText w:val="%9)"/>
      <w:lvlJc w:val="left"/>
      <w:pPr>
        <w:ind w:left="720" w:hanging="360"/>
      </w:pPr>
    </w:lvl>
  </w:abstractNum>
  <w:abstractNum w:abstractNumId="30" w15:restartNumberingAfterBreak="0">
    <w:nsid w:val="75E63D4A"/>
    <w:multiLevelType w:val="multilevel"/>
    <w:tmpl w:val="4374215A"/>
    <w:styleLink w:val="AECOMSectionnumbering"/>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7FFD7284"/>
    <w:multiLevelType w:val="hybridMultilevel"/>
    <w:tmpl w:val="932A29D8"/>
    <w:lvl w:ilvl="0" w:tplc="9C62E140">
      <w:start w:val="1"/>
      <w:numFmt w:val="bullet"/>
      <w:pStyle w:val="BulletPoint1"/>
      <w:lvlText w:val=""/>
      <w:lvlJc w:val="left"/>
      <w:pPr>
        <w:ind w:left="1420" w:hanging="360"/>
      </w:pPr>
      <w:rPr>
        <w:rFonts w:ascii="Symbol" w:hAnsi="Symbol" w:hint="default"/>
      </w:rPr>
    </w:lvl>
    <w:lvl w:ilvl="1" w:tplc="08090003" w:tentative="1">
      <w:start w:val="1"/>
      <w:numFmt w:val="bullet"/>
      <w:lvlText w:val="o"/>
      <w:lvlJc w:val="left"/>
      <w:pPr>
        <w:ind w:left="2140" w:hanging="360"/>
      </w:pPr>
      <w:rPr>
        <w:rFonts w:ascii="Courier New" w:hAnsi="Courier New" w:cs="Courier New" w:hint="default"/>
      </w:rPr>
    </w:lvl>
    <w:lvl w:ilvl="2" w:tplc="08090005" w:tentative="1">
      <w:start w:val="1"/>
      <w:numFmt w:val="bullet"/>
      <w:lvlText w:val=""/>
      <w:lvlJc w:val="left"/>
      <w:pPr>
        <w:ind w:left="2860" w:hanging="360"/>
      </w:pPr>
      <w:rPr>
        <w:rFonts w:ascii="Wingdings" w:hAnsi="Wingdings" w:hint="default"/>
      </w:rPr>
    </w:lvl>
    <w:lvl w:ilvl="3" w:tplc="08090001" w:tentative="1">
      <w:start w:val="1"/>
      <w:numFmt w:val="bullet"/>
      <w:lvlText w:val=""/>
      <w:lvlJc w:val="left"/>
      <w:pPr>
        <w:ind w:left="3580" w:hanging="360"/>
      </w:pPr>
      <w:rPr>
        <w:rFonts w:ascii="Symbol" w:hAnsi="Symbol" w:hint="default"/>
      </w:rPr>
    </w:lvl>
    <w:lvl w:ilvl="4" w:tplc="08090003" w:tentative="1">
      <w:start w:val="1"/>
      <w:numFmt w:val="bullet"/>
      <w:lvlText w:val="o"/>
      <w:lvlJc w:val="left"/>
      <w:pPr>
        <w:ind w:left="4300" w:hanging="360"/>
      </w:pPr>
      <w:rPr>
        <w:rFonts w:ascii="Courier New" w:hAnsi="Courier New" w:cs="Courier New" w:hint="default"/>
      </w:rPr>
    </w:lvl>
    <w:lvl w:ilvl="5" w:tplc="08090005" w:tentative="1">
      <w:start w:val="1"/>
      <w:numFmt w:val="bullet"/>
      <w:lvlText w:val=""/>
      <w:lvlJc w:val="left"/>
      <w:pPr>
        <w:ind w:left="5020" w:hanging="360"/>
      </w:pPr>
      <w:rPr>
        <w:rFonts w:ascii="Wingdings" w:hAnsi="Wingdings" w:hint="default"/>
      </w:rPr>
    </w:lvl>
    <w:lvl w:ilvl="6" w:tplc="08090001" w:tentative="1">
      <w:start w:val="1"/>
      <w:numFmt w:val="bullet"/>
      <w:lvlText w:val=""/>
      <w:lvlJc w:val="left"/>
      <w:pPr>
        <w:ind w:left="5740" w:hanging="360"/>
      </w:pPr>
      <w:rPr>
        <w:rFonts w:ascii="Symbol" w:hAnsi="Symbol" w:hint="default"/>
      </w:rPr>
    </w:lvl>
    <w:lvl w:ilvl="7" w:tplc="08090003" w:tentative="1">
      <w:start w:val="1"/>
      <w:numFmt w:val="bullet"/>
      <w:lvlText w:val="o"/>
      <w:lvlJc w:val="left"/>
      <w:pPr>
        <w:ind w:left="6460" w:hanging="360"/>
      </w:pPr>
      <w:rPr>
        <w:rFonts w:ascii="Courier New" w:hAnsi="Courier New" w:cs="Courier New" w:hint="default"/>
      </w:rPr>
    </w:lvl>
    <w:lvl w:ilvl="8" w:tplc="08090005" w:tentative="1">
      <w:start w:val="1"/>
      <w:numFmt w:val="bullet"/>
      <w:lvlText w:val=""/>
      <w:lvlJc w:val="left"/>
      <w:pPr>
        <w:ind w:left="7180" w:hanging="360"/>
      </w:pPr>
      <w:rPr>
        <w:rFonts w:ascii="Wingdings" w:hAnsi="Wingdings" w:hint="default"/>
      </w:rPr>
    </w:lvl>
  </w:abstractNum>
  <w:num w:numId="1" w16cid:durableId="2135635180">
    <w:abstractNumId w:val="5"/>
  </w:num>
  <w:num w:numId="2" w16cid:durableId="387923486">
    <w:abstractNumId w:val="2"/>
  </w:num>
  <w:num w:numId="3" w16cid:durableId="1705712907">
    <w:abstractNumId w:val="18"/>
  </w:num>
  <w:num w:numId="4" w16cid:durableId="2025135039">
    <w:abstractNumId w:val="17"/>
  </w:num>
  <w:num w:numId="5" w16cid:durableId="580794723">
    <w:abstractNumId w:val="30"/>
  </w:num>
  <w:num w:numId="6" w16cid:durableId="639068601">
    <w:abstractNumId w:val="21"/>
  </w:num>
  <w:num w:numId="7" w16cid:durableId="973021422">
    <w:abstractNumId w:val="4"/>
  </w:num>
  <w:num w:numId="8" w16cid:durableId="1792550189">
    <w:abstractNumId w:val="3"/>
  </w:num>
  <w:num w:numId="9" w16cid:durableId="890069573">
    <w:abstractNumId w:val="1"/>
  </w:num>
  <w:num w:numId="10" w16cid:durableId="1665545834">
    <w:abstractNumId w:val="0"/>
  </w:num>
  <w:num w:numId="11" w16cid:durableId="1665008783">
    <w:abstractNumId w:val="7"/>
  </w:num>
  <w:num w:numId="12" w16cid:durableId="1174340146">
    <w:abstractNumId w:val="9"/>
  </w:num>
  <w:num w:numId="13" w16cid:durableId="159004624">
    <w:abstractNumId w:val="28"/>
  </w:num>
  <w:num w:numId="14" w16cid:durableId="91972502">
    <w:abstractNumId w:val="26"/>
  </w:num>
  <w:num w:numId="15" w16cid:durableId="2116359737">
    <w:abstractNumId w:val="14"/>
  </w:num>
  <w:num w:numId="16" w16cid:durableId="1826043905">
    <w:abstractNumId w:val="19"/>
  </w:num>
  <w:num w:numId="17" w16cid:durableId="2117095775">
    <w:abstractNumId w:val="13"/>
  </w:num>
  <w:num w:numId="18" w16cid:durableId="28721247">
    <w:abstractNumId w:val="15"/>
  </w:num>
  <w:num w:numId="19" w16cid:durableId="1820920233">
    <w:abstractNumId w:val="24"/>
  </w:num>
  <w:num w:numId="20" w16cid:durableId="59211129">
    <w:abstractNumId w:val="29"/>
  </w:num>
  <w:num w:numId="21" w16cid:durableId="218981434">
    <w:abstractNumId w:val="25"/>
  </w:num>
  <w:num w:numId="22" w16cid:durableId="807013509">
    <w:abstractNumId w:val="16"/>
  </w:num>
  <w:num w:numId="23" w16cid:durableId="1035541763">
    <w:abstractNumId w:val="15"/>
  </w:num>
  <w:num w:numId="24" w16cid:durableId="995105792">
    <w:abstractNumId w:val="28"/>
  </w:num>
  <w:num w:numId="25" w16cid:durableId="1151018356">
    <w:abstractNumId w:val="19"/>
  </w:num>
  <w:num w:numId="26" w16cid:durableId="1746956181">
    <w:abstractNumId w:val="31"/>
  </w:num>
  <w:num w:numId="27" w16cid:durableId="1917008938">
    <w:abstractNumId w:val="23"/>
  </w:num>
  <w:num w:numId="28" w16cid:durableId="363792774">
    <w:abstractNumId w:val="27"/>
  </w:num>
  <w:num w:numId="29" w16cid:durableId="1859349925">
    <w:abstractNumId w:val="12"/>
  </w:num>
  <w:num w:numId="30" w16cid:durableId="97885066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12297914">
    <w:abstractNumId w:val="15"/>
  </w:num>
  <w:num w:numId="32" w16cid:durableId="1061052440">
    <w:abstractNumId w:val="20"/>
  </w:num>
  <w:num w:numId="33" w16cid:durableId="985163453">
    <w:abstractNumId w:val="10"/>
  </w:num>
  <w:num w:numId="34" w16cid:durableId="951134017">
    <w:abstractNumId w:val="15"/>
  </w:num>
  <w:num w:numId="35" w16cid:durableId="772632067">
    <w:abstractNumId w:val="15"/>
  </w:num>
  <w:num w:numId="36" w16cid:durableId="1496337433">
    <w:abstractNumId w:val="15"/>
  </w:num>
  <w:num w:numId="37" w16cid:durableId="132333105">
    <w:abstractNumId w:val="8"/>
  </w:num>
  <w:num w:numId="38" w16cid:durableId="213203496">
    <w:abstractNumId w:val="22"/>
  </w:num>
  <w:num w:numId="39" w16cid:durableId="1579511113">
    <w:abstractNumId w:val="15"/>
  </w:num>
  <w:num w:numId="40" w16cid:durableId="216550633">
    <w:abstractNumId w:val="15"/>
  </w:num>
  <w:num w:numId="41" w16cid:durableId="274094089">
    <w:abstractNumId w:val="15"/>
  </w:num>
  <w:num w:numId="42" w16cid:durableId="2124613354">
    <w:abstractNumId w:val="6"/>
  </w:num>
  <w:num w:numId="43" w16cid:durableId="759570637">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drawingGridHorizontalSpacing w:val="90"/>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IVATED" w:val="1"/>
    <w:docVar w:name="CaptionHeadingNumber" w:val="0"/>
    <w:docVar w:name="cbTextLanguage_ListCount" w:val="0"/>
    <w:docVar w:name="cbTextLanguage_ListIndex" w:val="-1"/>
    <w:docVar w:name="CheckBox2" w:val="0"/>
    <w:docVar w:name="chkAccessibleFormat" w:val="0"/>
    <w:docVar w:name="chkChangeCoverImage" w:val="0"/>
    <w:docVar w:name="chkDraft" w:val="-1"/>
    <w:docVar w:name="chkFileName" w:val="0"/>
    <w:docVar w:name="chkFileNamePath" w:val="0"/>
    <w:docVar w:name="chkIncludeClientInHedaer" w:val="0"/>
    <w:docVar w:name="chkIncludeClientonCover" w:val="0"/>
    <w:docVar w:name="chkOfficeAddressBackcover" w:val="0"/>
    <w:docVar w:name="chkPrintedOnRecycledPaper" w:val="0"/>
    <w:docVar w:name="chkQITableSeal" w:val="0"/>
    <w:docVar w:name="chkSaveFooterDetails" w:val="0"/>
    <w:docVar w:name="chkSaveOfficeAddress" w:val="0"/>
    <w:docVar w:name="chkScholars" w:val="0"/>
    <w:docVar w:name="chkTagLine" w:val="-1"/>
    <w:docVar w:name="chkUKILongformLimitations" w:val="0"/>
    <w:docVar w:name="chkWhiteBorder" w:val="0"/>
    <w:docVar w:name="dv_selected_country" w:val="Ireland"/>
    <w:docVar w:name="lbANZDisclaimers_ListCount" w:val="0"/>
    <w:docVar w:name="lbANZDisclaimers_ListIndex" w:val="-1"/>
    <w:docVar w:name="lbANZLimitations_ListCount" w:val="0"/>
    <w:docVar w:name="lbANZLimitations_ListIndex" w:val="-1"/>
    <w:docVar w:name="lbAuthor_ListCount" w:val="0"/>
    <w:docVar w:name="lbAuthor_ListIndex" w:val="-1"/>
    <w:docVar w:name="lbImages_ListCount" w:val="0"/>
    <w:docVar w:name="lbImages_ListIndex" w:val="-1"/>
    <w:docVar w:name="lbProtectiveMarkings_0" w:val="None"/>
    <w:docVar w:name="lbProtectiveMarkings_0_0" w:val="None"/>
    <w:docVar w:name="lbProtectiveMarkings_1" w:val="PUBLIC"/>
    <w:docVar w:name="lbProtectiveMarkings_1_0" w:val="PUBLIC"/>
    <w:docVar w:name="lbProtectiveMarkings_2" w:val="OFFICIAL"/>
    <w:docVar w:name="lbProtectiveMarkings_2_0" w:val="OFFICIAL"/>
    <w:docVar w:name="lbProtectiveMarkings_3" w:val="COMPANY CONFIDENTIAL"/>
    <w:docVar w:name="lbProtectiveMarkings_3_0" w:val="COMPANY CONFIDENTIAL"/>
    <w:docVar w:name="lbProtectiveMarkings_4" w:val="COMMERCIAL IN CONFIDENCE"/>
    <w:docVar w:name="lbProtectiveMarkings_4_0" w:val="COMMERCIAL IN CONFIDENCE"/>
    <w:docVar w:name="lbProtectiveMarkings_5" w:val="DRAFT"/>
    <w:docVar w:name="lbProtectiveMarkings_5_0" w:val="DRAFT"/>
    <w:docVar w:name="lbProtectiveMarkings_6" w:val="Free-type ...  (use a comma to denote a new line)"/>
    <w:docVar w:name="lbProtectiveMarkings_6_0" w:val="Free-type ...  (use a comma to denote a new line)"/>
    <w:docVar w:name="lbProtectiveMarkings_ListCount" w:val="7"/>
    <w:docVar w:name="lbProtectiveMarkings_ListIndex" w:val="-1"/>
    <w:docVar w:name="optA3Landscape" w:val="0"/>
    <w:docVar w:name="optA4" w:val="-1"/>
    <w:docVar w:name="optA4Landscape" w:val="0"/>
    <w:docVar w:name="optA4Portrait" w:val="-1"/>
    <w:docVar w:name="optAA1column" w:val="-1"/>
    <w:docVar w:name="optAA2column" w:val="0"/>
    <w:docVar w:name="optAA3column" w:val="0"/>
    <w:docVar w:name="optArcColour1" w:val="0"/>
    <w:docVar w:name="optArcColour2" w:val="0"/>
    <w:docVar w:name="optArcColour3" w:val="-1"/>
    <w:docVar w:name="optArcColour4" w:val="0"/>
    <w:docVar w:name="optArcColour5" w:val="0"/>
    <w:docVar w:name="optArcDOWN" w:val="0"/>
    <w:docVar w:name="optArcUP" w:val="-1"/>
    <w:docVar w:name="optBW" w:val="0"/>
    <w:docVar w:name="optChangeFontAECOMSans" w:val="0"/>
    <w:docVar w:name="optChangeFontArial" w:val="-1"/>
    <w:docVar w:name="optCoverColour1" w:val="0"/>
    <w:docVar w:name="optCoverColour2" w:val="-1"/>
    <w:docVar w:name="optCoverColour3" w:val="0"/>
    <w:docVar w:name="optCoverColour4" w:val="0"/>
    <w:docVar w:name="optCoverColour5" w:val="0"/>
    <w:docVar w:name="optCoversheet" w:val="0"/>
    <w:docVar w:name="optDoubleSided" w:val="0"/>
    <w:docVar w:name="optFont10" w:val="0"/>
    <w:docVar w:name="optFont11" w:val="0"/>
    <w:docVar w:name="optFont12" w:val="0"/>
    <w:docVar w:name="optFont9" w:val="-1"/>
    <w:docVar w:name="optFontAccessibility" w:val="0"/>
    <w:docVar w:name="optGraphicFull" w:val="0"/>
    <w:docVar w:name="optHeading1Font18" w:val="0"/>
    <w:docVar w:name="optHeading1Font21" w:val="0"/>
    <w:docVar w:name="optHeading1Font24" w:val="-1"/>
    <w:docVar w:name="optImagesAECOM" w:val="0"/>
    <w:docVar w:name="optImagesBrowse" w:val="0"/>
    <w:docVar w:name="optLetter" w:val="0"/>
    <w:docVar w:name="optLogo" w:val="-1"/>
    <w:docVar w:name="optNoLogo" w:val="0"/>
    <w:docVar w:name="optNumberedHeadings" w:val="0"/>
    <w:docVar w:name="optNumberedHeadingsParagraphs" w:val="-1"/>
    <w:docVar w:name="optP0" w:val="0"/>
    <w:docVar w:name="optP1" w:val="0"/>
    <w:docVar w:name="optP2" w:val="0"/>
    <w:docVar w:name="optP3" w:val="0"/>
    <w:docVar w:name="optP4" w:val="0"/>
    <w:docVar w:name="optP5" w:val="0"/>
    <w:docVar w:name="optP6" w:val="0"/>
    <w:docVar w:name="optPhotoFull" w:val="0"/>
    <w:docVar w:name="optPhotoGrahicHalf" w:val="0"/>
    <w:docVar w:name="optPlainBlue" w:val="0"/>
    <w:docVar w:name="optProposal" w:val="0"/>
    <w:docVar w:name="optS0" w:val="0"/>
    <w:docVar w:name="optS1" w:val="0"/>
    <w:docVar w:name="optS2" w:val="0"/>
    <w:docVar w:name="optS3" w:val="0"/>
    <w:docVar w:name="optS4" w:val="0"/>
    <w:docVar w:name="optS5" w:val="0"/>
    <w:docVar w:name="optS6" w:val="0"/>
    <w:docVar w:name="optSingleSided" w:val="-1"/>
    <w:docVar w:name="optTechnicalReport" w:val="-1"/>
    <w:docVar w:name="optTender" w:val="0"/>
    <w:docVar w:name="optUnNumberedHeadings" w:val="0"/>
    <w:docVar w:name="optUSLetterLandscape" w:val="0"/>
    <w:docVar w:name="optUSLetterPortrait" w:val="0"/>
    <w:docVar w:name="RERUN" w:val="1"/>
    <w:docVar w:name="SelectedCountry" w:val="0"/>
    <w:docVar w:name="SelectedEntity" w:val="0"/>
    <w:docVar w:name="SelectedGeo" w:val="0"/>
    <w:docVar w:name="SelectedLanguage" w:val="0"/>
    <w:docVar w:name="SelectedOffice" w:val="1"/>
    <w:docVar w:name="SelectedPageLayout" w:val="3"/>
    <w:docVar w:name="SelectedRegion" w:val="1"/>
    <w:docVar w:name="tbClient" w:val="South Dublin County Council "/>
    <w:docVar w:name="tbDate" w:val="19 December 2025"/>
    <w:docVar w:name="tbDocumentTitle" w:val="SDCC Rathcoole Housing Development"/>
    <w:docVar w:name="tbFooterDetails" w:val="AECOM Ireland Limited registered in Ireland, company number 315981._x000d__x000a_"/>
    <w:docVar w:name="tbImage" w:val="None"/>
    <w:docVar w:name="tbOfficeAddress" w:val="AECOM Ireland Limited_x000d__x000a_4th Floor_x000d__x000a_Adelphi Plaza_x000d__x000a_Georges Street Upper_x000d__x000a_Dun Laoghaire_x000d__x000a_Co. Dublin A96 T927_x000d__x000a_Ireland_x000d__x000a__x000d__x000a_T: +353 1 696 6220_x000d__x000a_aecom.com"/>
    <w:docVar w:name="tbSubtitle" w:val="Environmental Impact Assessment Report"/>
    <w:docVar w:name="TranslateChart" w:val="Chart"/>
    <w:docVar w:name="TranslateFigure" w:val="Figure"/>
    <w:docVar w:name="TranslateTable" w:val="Table"/>
  </w:docVars>
  <w:rsids>
    <w:rsidRoot w:val="0087529F"/>
    <w:rsid w:val="0000028B"/>
    <w:rsid w:val="000005B3"/>
    <w:rsid w:val="00002D69"/>
    <w:rsid w:val="00002F83"/>
    <w:rsid w:val="000036C2"/>
    <w:rsid w:val="000036FC"/>
    <w:rsid w:val="00003937"/>
    <w:rsid w:val="00003941"/>
    <w:rsid w:val="00003A79"/>
    <w:rsid w:val="00003BAF"/>
    <w:rsid w:val="00004730"/>
    <w:rsid w:val="000048A7"/>
    <w:rsid w:val="0000495E"/>
    <w:rsid w:val="0000567F"/>
    <w:rsid w:val="00005796"/>
    <w:rsid w:val="00005898"/>
    <w:rsid w:val="000058CC"/>
    <w:rsid w:val="0000598B"/>
    <w:rsid w:val="00005AE4"/>
    <w:rsid w:val="00010D8F"/>
    <w:rsid w:val="00011023"/>
    <w:rsid w:val="0001114A"/>
    <w:rsid w:val="00011B0A"/>
    <w:rsid w:val="00012A6F"/>
    <w:rsid w:val="00012C54"/>
    <w:rsid w:val="000144E9"/>
    <w:rsid w:val="00015B14"/>
    <w:rsid w:val="00016970"/>
    <w:rsid w:val="00017010"/>
    <w:rsid w:val="0001766E"/>
    <w:rsid w:val="0001786D"/>
    <w:rsid w:val="00017928"/>
    <w:rsid w:val="00020A1B"/>
    <w:rsid w:val="00020B2C"/>
    <w:rsid w:val="00021678"/>
    <w:rsid w:val="000219C8"/>
    <w:rsid w:val="00021C73"/>
    <w:rsid w:val="00022168"/>
    <w:rsid w:val="00022579"/>
    <w:rsid w:val="00022D23"/>
    <w:rsid w:val="0002349E"/>
    <w:rsid w:val="0002353B"/>
    <w:rsid w:val="00023F39"/>
    <w:rsid w:val="00025722"/>
    <w:rsid w:val="00025E1A"/>
    <w:rsid w:val="00026F6E"/>
    <w:rsid w:val="00026FEF"/>
    <w:rsid w:val="00027303"/>
    <w:rsid w:val="000273B7"/>
    <w:rsid w:val="000275D7"/>
    <w:rsid w:val="00027996"/>
    <w:rsid w:val="00030350"/>
    <w:rsid w:val="00031322"/>
    <w:rsid w:val="0003139A"/>
    <w:rsid w:val="000314FD"/>
    <w:rsid w:val="00031529"/>
    <w:rsid w:val="00031558"/>
    <w:rsid w:val="0003173A"/>
    <w:rsid w:val="00032556"/>
    <w:rsid w:val="0003297A"/>
    <w:rsid w:val="0003342C"/>
    <w:rsid w:val="00033904"/>
    <w:rsid w:val="00034925"/>
    <w:rsid w:val="00034D15"/>
    <w:rsid w:val="000364E3"/>
    <w:rsid w:val="00037701"/>
    <w:rsid w:val="0003793C"/>
    <w:rsid w:val="00040353"/>
    <w:rsid w:val="000419CE"/>
    <w:rsid w:val="000420B1"/>
    <w:rsid w:val="00044804"/>
    <w:rsid w:val="00044F67"/>
    <w:rsid w:val="00045200"/>
    <w:rsid w:val="000457B0"/>
    <w:rsid w:val="00046206"/>
    <w:rsid w:val="00046737"/>
    <w:rsid w:val="000470DD"/>
    <w:rsid w:val="0004726B"/>
    <w:rsid w:val="00050057"/>
    <w:rsid w:val="00051049"/>
    <w:rsid w:val="0005148E"/>
    <w:rsid w:val="00051570"/>
    <w:rsid w:val="000515CB"/>
    <w:rsid w:val="000521F8"/>
    <w:rsid w:val="0005363D"/>
    <w:rsid w:val="000537D2"/>
    <w:rsid w:val="00053A78"/>
    <w:rsid w:val="00053CEA"/>
    <w:rsid w:val="00053F18"/>
    <w:rsid w:val="000549CC"/>
    <w:rsid w:val="00055E2B"/>
    <w:rsid w:val="00056392"/>
    <w:rsid w:val="00056548"/>
    <w:rsid w:val="00057317"/>
    <w:rsid w:val="0005776B"/>
    <w:rsid w:val="0005782B"/>
    <w:rsid w:val="000605E6"/>
    <w:rsid w:val="000615AA"/>
    <w:rsid w:val="00062C7F"/>
    <w:rsid w:val="00062EC2"/>
    <w:rsid w:val="00064019"/>
    <w:rsid w:val="0006480D"/>
    <w:rsid w:val="00064877"/>
    <w:rsid w:val="00064937"/>
    <w:rsid w:val="00064B97"/>
    <w:rsid w:val="00065126"/>
    <w:rsid w:val="0006526C"/>
    <w:rsid w:val="000652F7"/>
    <w:rsid w:val="00065862"/>
    <w:rsid w:val="00065A66"/>
    <w:rsid w:val="000663FA"/>
    <w:rsid w:val="000666BB"/>
    <w:rsid w:val="0006675B"/>
    <w:rsid w:val="00066A8B"/>
    <w:rsid w:val="00067457"/>
    <w:rsid w:val="000703F5"/>
    <w:rsid w:val="00070517"/>
    <w:rsid w:val="00070695"/>
    <w:rsid w:val="00070B52"/>
    <w:rsid w:val="00072F75"/>
    <w:rsid w:val="00073BDA"/>
    <w:rsid w:val="00074AE3"/>
    <w:rsid w:val="00076467"/>
    <w:rsid w:val="00076D78"/>
    <w:rsid w:val="00077042"/>
    <w:rsid w:val="000774B1"/>
    <w:rsid w:val="00077552"/>
    <w:rsid w:val="00077B77"/>
    <w:rsid w:val="00080B15"/>
    <w:rsid w:val="0008106E"/>
    <w:rsid w:val="00082023"/>
    <w:rsid w:val="00082797"/>
    <w:rsid w:val="00082A0A"/>
    <w:rsid w:val="00083354"/>
    <w:rsid w:val="00083766"/>
    <w:rsid w:val="00083E8F"/>
    <w:rsid w:val="000840C5"/>
    <w:rsid w:val="0008411A"/>
    <w:rsid w:val="00084164"/>
    <w:rsid w:val="00084C26"/>
    <w:rsid w:val="00084CA9"/>
    <w:rsid w:val="0008533E"/>
    <w:rsid w:val="000859EF"/>
    <w:rsid w:val="00086A8C"/>
    <w:rsid w:val="000872A8"/>
    <w:rsid w:val="00090A7D"/>
    <w:rsid w:val="00090F86"/>
    <w:rsid w:val="0009153B"/>
    <w:rsid w:val="0009383E"/>
    <w:rsid w:val="00093C0B"/>
    <w:rsid w:val="000940E7"/>
    <w:rsid w:val="000941FF"/>
    <w:rsid w:val="00094484"/>
    <w:rsid w:val="00094536"/>
    <w:rsid w:val="00095BA4"/>
    <w:rsid w:val="00095D14"/>
    <w:rsid w:val="00095E83"/>
    <w:rsid w:val="0009611E"/>
    <w:rsid w:val="00096676"/>
    <w:rsid w:val="00096BAD"/>
    <w:rsid w:val="00096CA2"/>
    <w:rsid w:val="000971EF"/>
    <w:rsid w:val="000A027F"/>
    <w:rsid w:val="000A04F7"/>
    <w:rsid w:val="000A085A"/>
    <w:rsid w:val="000A0E8B"/>
    <w:rsid w:val="000A14DC"/>
    <w:rsid w:val="000A2D0C"/>
    <w:rsid w:val="000A477A"/>
    <w:rsid w:val="000A4DB5"/>
    <w:rsid w:val="000A528D"/>
    <w:rsid w:val="000A542F"/>
    <w:rsid w:val="000A5E31"/>
    <w:rsid w:val="000A6A13"/>
    <w:rsid w:val="000A79D8"/>
    <w:rsid w:val="000B15C4"/>
    <w:rsid w:val="000B16BD"/>
    <w:rsid w:val="000B1FA5"/>
    <w:rsid w:val="000B20C4"/>
    <w:rsid w:val="000B2313"/>
    <w:rsid w:val="000B25FF"/>
    <w:rsid w:val="000B28E6"/>
    <w:rsid w:val="000B2E9D"/>
    <w:rsid w:val="000B2FEF"/>
    <w:rsid w:val="000B4192"/>
    <w:rsid w:val="000B458B"/>
    <w:rsid w:val="000B497E"/>
    <w:rsid w:val="000B557C"/>
    <w:rsid w:val="000B5FAE"/>
    <w:rsid w:val="000B6940"/>
    <w:rsid w:val="000B6F38"/>
    <w:rsid w:val="000B73C5"/>
    <w:rsid w:val="000C014C"/>
    <w:rsid w:val="000C0A41"/>
    <w:rsid w:val="000C0B76"/>
    <w:rsid w:val="000C0D5A"/>
    <w:rsid w:val="000C0ED0"/>
    <w:rsid w:val="000C131D"/>
    <w:rsid w:val="000C13CA"/>
    <w:rsid w:val="000C2360"/>
    <w:rsid w:val="000C334B"/>
    <w:rsid w:val="000C3706"/>
    <w:rsid w:val="000C3C1D"/>
    <w:rsid w:val="000C3C45"/>
    <w:rsid w:val="000C461E"/>
    <w:rsid w:val="000C4D24"/>
    <w:rsid w:val="000C5EF4"/>
    <w:rsid w:val="000C6165"/>
    <w:rsid w:val="000C66FE"/>
    <w:rsid w:val="000C6A68"/>
    <w:rsid w:val="000C6D3B"/>
    <w:rsid w:val="000C7097"/>
    <w:rsid w:val="000D13AF"/>
    <w:rsid w:val="000D21A9"/>
    <w:rsid w:val="000D2C51"/>
    <w:rsid w:val="000D36B8"/>
    <w:rsid w:val="000D3728"/>
    <w:rsid w:val="000D3B7E"/>
    <w:rsid w:val="000D40C1"/>
    <w:rsid w:val="000D5DCC"/>
    <w:rsid w:val="000D6995"/>
    <w:rsid w:val="000D722E"/>
    <w:rsid w:val="000D7939"/>
    <w:rsid w:val="000E00CA"/>
    <w:rsid w:val="000E0D03"/>
    <w:rsid w:val="000E10B8"/>
    <w:rsid w:val="000E179D"/>
    <w:rsid w:val="000E270E"/>
    <w:rsid w:val="000E3184"/>
    <w:rsid w:val="000E35E2"/>
    <w:rsid w:val="000E3867"/>
    <w:rsid w:val="000E4587"/>
    <w:rsid w:val="000E4F11"/>
    <w:rsid w:val="000E5A30"/>
    <w:rsid w:val="000E65D5"/>
    <w:rsid w:val="000E7BF6"/>
    <w:rsid w:val="000F0027"/>
    <w:rsid w:val="000F0C0F"/>
    <w:rsid w:val="000F0D6E"/>
    <w:rsid w:val="000F147E"/>
    <w:rsid w:val="000F22FF"/>
    <w:rsid w:val="000F2C08"/>
    <w:rsid w:val="000F3238"/>
    <w:rsid w:val="000F43ED"/>
    <w:rsid w:val="000F4805"/>
    <w:rsid w:val="000F482A"/>
    <w:rsid w:val="000F4ABC"/>
    <w:rsid w:val="000F4F26"/>
    <w:rsid w:val="000F5328"/>
    <w:rsid w:val="000F5C34"/>
    <w:rsid w:val="000F66C9"/>
    <w:rsid w:val="000F66F1"/>
    <w:rsid w:val="000F67C3"/>
    <w:rsid w:val="000F694C"/>
    <w:rsid w:val="00100471"/>
    <w:rsid w:val="00100550"/>
    <w:rsid w:val="00101CCE"/>
    <w:rsid w:val="00102B4F"/>
    <w:rsid w:val="00102F17"/>
    <w:rsid w:val="00103D70"/>
    <w:rsid w:val="00104042"/>
    <w:rsid w:val="0010409E"/>
    <w:rsid w:val="001043AA"/>
    <w:rsid w:val="00104534"/>
    <w:rsid w:val="00104AFA"/>
    <w:rsid w:val="00105513"/>
    <w:rsid w:val="00105554"/>
    <w:rsid w:val="001056F5"/>
    <w:rsid w:val="00105748"/>
    <w:rsid w:val="00110478"/>
    <w:rsid w:val="0011097B"/>
    <w:rsid w:val="001111A7"/>
    <w:rsid w:val="00111E5B"/>
    <w:rsid w:val="0011259E"/>
    <w:rsid w:val="00112827"/>
    <w:rsid w:val="00113173"/>
    <w:rsid w:val="00113896"/>
    <w:rsid w:val="001155FA"/>
    <w:rsid w:val="00115AF3"/>
    <w:rsid w:val="00115CA4"/>
    <w:rsid w:val="00115D7A"/>
    <w:rsid w:val="00120191"/>
    <w:rsid w:val="0012021A"/>
    <w:rsid w:val="001204EC"/>
    <w:rsid w:val="0012093B"/>
    <w:rsid w:val="00120D39"/>
    <w:rsid w:val="001212F4"/>
    <w:rsid w:val="00122540"/>
    <w:rsid w:val="00123249"/>
    <w:rsid w:val="001261F9"/>
    <w:rsid w:val="0012660E"/>
    <w:rsid w:val="001266F4"/>
    <w:rsid w:val="0012697D"/>
    <w:rsid w:val="00126E75"/>
    <w:rsid w:val="0012700E"/>
    <w:rsid w:val="001277DA"/>
    <w:rsid w:val="00127AF4"/>
    <w:rsid w:val="00130293"/>
    <w:rsid w:val="00130B8C"/>
    <w:rsid w:val="00130C64"/>
    <w:rsid w:val="00131100"/>
    <w:rsid w:val="001315BF"/>
    <w:rsid w:val="00131A98"/>
    <w:rsid w:val="00132860"/>
    <w:rsid w:val="00132D21"/>
    <w:rsid w:val="00132D46"/>
    <w:rsid w:val="00133853"/>
    <w:rsid w:val="00133EEF"/>
    <w:rsid w:val="0013429B"/>
    <w:rsid w:val="001343B0"/>
    <w:rsid w:val="00134992"/>
    <w:rsid w:val="00134DF1"/>
    <w:rsid w:val="00135137"/>
    <w:rsid w:val="0013532B"/>
    <w:rsid w:val="00135CE1"/>
    <w:rsid w:val="00135D79"/>
    <w:rsid w:val="00136268"/>
    <w:rsid w:val="00136AA6"/>
    <w:rsid w:val="00136C29"/>
    <w:rsid w:val="00136C34"/>
    <w:rsid w:val="00137944"/>
    <w:rsid w:val="001408A2"/>
    <w:rsid w:val="00141009"/>
    <w:rsid w:val="0014212F"/>
    <w:rsid w:val="00142136"/>
    <w:rsid w:val="0014264C"/>
    <w:rsid w:val="00142939"/>
    <w:rsid w:val="001430F2"/>
    <w:rsid w:val="00143D54"/>
    <w:rsid w:val="00144577"/>
    <w:rsid w:val="00144B71"/>
    <w:rsid w:val="001453AD"/>
    <w:rsid w:val="00145502"/>
    <w:rsid w:val="00145561"/>
    <w:rsid w:val="0014571E"/>
    <w:rsid w:val="001463F0"/>
    <w:rsid w:val="00147325"/>
    <w:rsid w:val="00147533"/>
    <w:rsid w:val="00150531"/>
    <w:rsid w:val="00150DAF"/>
    <w:rsid w:val="001535D0"/>
    <w:rsid w:val="00153F3B"/>
    <w:rsid w:val="00155FFE"/>
    <w:rsid w:val="0015674F"/>
    <w:rsid w:val="00156F5E"/>
    <w:rsid w:val="001579B2"/>
    <w:rsid w:val="00157D05"/>
    <w:rsid w:val="001600DD"/>
    <w:rsid w:val="001620D1"/>
    <w:rsid w:val="001629C5"/>
    <w:rsid w:val="00163380"/>
    <w:rsid w:val="00163A68"/>
    <w:rsid w:val="00164057"/>
    <w:rsid w:val="00164396"/>
    <w:rsid w:val="00164CB2"/>
    <w:rsid w:val="001651A3"/>
    <w:rsid w:val="00165AED"/>
    <w:rsid w:val="00165CC2"/>
    <w:rsid w:val="00166C14"/>
    <w:rsid w:val="00166D71"/>
    <w:rsid w:val="0016766B"/>
    <w:rsid w:val="0016778B"/>
    <w:rsid w:val="00170CBC"/>
    <w:rsid w:val="00171125"/>
    <w:rsid w:val="0017116A"/>
    <w:rsid w:val="001711A5"/>
    <w:rsid w:val="0017287F"/>
    <w:rsid w:val="00172F74"/>
    <w:rsid w:val="001750DB"/>
    <w:rsid w:val="0017593E"/>
    <w:rsid w:val="0017621D"/>
    <w:rsid w:val="001764FA"/>
    <w:rsid w:val="001766E5"/>
    <w:rsid w:val="00176DBF"/>
    <w:rsid w:val="00177077"/>
    <w:rsid w:val="0017718B"/>
    <w:rsid w:val="00177C13"/>
    <w:rsid w:val="00177DEA"/>
    <w:rsid w:val="00180658"/>
    <w:rsid w:val="0018100D"/>
    <w:rsid w:val="00181523"/>
    <w:rsid w:val="00181882"/>
    <w:rsid w:val="00182521"/>
    <w:rsid w:val="00182F10"/>
    <w:rsid w:val="0018305D"/>
    <w:rsid w:val="001844B3"/>
    <w:rsid w:val="001847A0"/>
    <w:rsid w:val="001855B4"/>
    <w:rsid w:val="00186090"/>
    <w:rsid w:val="00186702"/>
    <w:rsid w:val="00186BA7"/>
    <w:rsid w:val="00186E7D"/>
    <w:rsid w:val="001870A5"/>
    <w:rsid w:val="0018772B"/>
    <w:rsid w:val="0018772E"/>
    <w:rsid w:val="00187B57"/>
    <w:rsid w:val="001900B2"/>
    <w:rsid w:val="00190385"/>
    <w:rsid w:val="00190BDE"/>
    <w:rsid w:val="00190CDA"/>
    <w:rsid w:val="00190FAA"/>
    <w:rsid w:val="00191892"/>
    <w:rsid w:val="00191C71"/>
    <w:rsid w:val="001920F8"/>
    <w:rsid w:val="0019259D"/>
    <w:rsid w:val="001928AC"/>
    <w:rsid w:val="001928BC"/>
    <w:rsid w:val="00193189"/>
    <w:rsid w:val="001932B8"/>
    <w:rsid w:val="001937F2"/>
    <w:rsid w:val="00193855"/>
    <w:rsid w:val="00193A2F"/>
    <w:rsid w:val="00195A5F"/>
    <w:rsid w:val="00195CF6"/>
    <w:rsid w:val="001961B0"/>
    <w:rsid w:val="00196365"/>
    <w:rsid w:val="0019669C"/>
    <w:rsid w:val="00196E20"/>
    <w:rsid w:val="001A0753"/>
    <w:rsid w:val="001A0D02"/>
    <w:rsid w:val="001A0DF5"/>
    <w:rsid w:val="001A0F37"/>
    <w:rsid w:val="001A10A7"/>
    <w:rsid w:val="001A11B6"/>
    <w:rsid w:val="001A19B4"/>
    <w:rsid w:val="001A1F61"/>
    <w:rsid w:val="001A3EFE"/>
    <w:rsid w:val="001A4393"/>
    <w:rsid w:val="001A52A2"/>
    <w:rsid w:val="001A52C9"/>
    <w:rsid w:val="001A52DD"/>
    <w:rsid w:val="001A5651"/>
    <w:rsid w:val="001A63FE"/>
    <w:rsid w:val="001A793E"/>
    <w:rsid w:val="001B1354"/>
    <w:rsid w:val="001B143D"/>
    <w:rsid w:val="001B295C"/>
    <w:rsid w:val="001B31D4"/>
    <w:rsid w:val="001B3493"/>
    <w:rsid w:val="001B3F11"/>
    <w:rsid w:val="001B4846"/>
    <w:rsid w:val="001B4B1B"/>
    <w:rsid w:val="001B4DDD"/>
    <w:rsid w:val="001B4FB9"/>
    <w:rsid w:val="001B5ED4"/>
    <w:rsid w:val="001B68FE"/>
    <w:rsid w:val="001B6A0C"/>
    <w:rsid w:val="001B7B31"/>
    <w:rsid w:val="001C07AF"/>
    <w:rsid w:val="001C13E7"/>
    <w:rsid w:val="001C1E99"/>
    <w:rsid w:val="001C2584"/>
    <w:rsid w:val="001C27FF"/>
    <w:rsid w:val="001C2925"/>
    <w:rsid w:val="001C2BC0"/>
    <w:rsid w:val="001C2DE2"/>
    <w:rsid w:val="001C3018"/>
    <w:rsid w:val="001C3814"/>
    <w:rsid w:val="001C3DFF"/>
    <w:rsid w:val="001C4099"/>
    <w:rsid w:val="001C417F"/>
    <w:rsid w:val="001C4D9B"/>
    <w:rsid w:val="001C50E3"/>
    <w:rsid w:val="001C58A3"/>
    <w:rsid w:val="001C5F36"/>
    <w:rsid w:val="001C60EF"/>
    <w:rsid w:val="001C6706"/>
    <w:rsid w:val="001C7372"/>
    <w:rsid w:val="001C7D04"/>
    <w:rsid w:val="001C7D2F"/>
    <w:rsid w:val="001D00AE"/>
    <w:rsid w:val="001D0259"/>
    <w:rsid w:val="001D0293"/>
    <w:rsid w:val="001D0498"/>
    <w:rsid w:val="001D1299"/>
    <w:rsid w:val="001D144D"/>
    <w:rsid w:val="001D1452"/>
    <w:rsid w:val="001D150B"/>
    <w:rsid w:val="001D1850"/>
    <w:rsid w:val="001D2B39"/>
    <w:rsid w:val="001D2BFF"/>
    <w:rsid w:val="001D33BC"/>
    <w:rsid w:val="001D4967"/>
    <w:rsid w:val="001D499A"/>
    <w:rsid w:val="001D56D0"/>
    <w:rsid w:val="001D58FE"/>
    <w:rsid w:val="001D7C24"/>
    <w:rsid w:val="001E029A"/>
    <w:rsid w:val="001E0794"/>
    <w:rsid w:val="001E0FEC"/>
    <w:rsid w:val="001E148F"/>
    <w:rsid w:val="001E1717"/>
    <w:rsid w:val="001E1BB5"/>
    <w:rsid w:val="001E1DB1"/>
    <w:rsid w:val="001E2C5A"/>
    <w:rsid w:val="001E3048"/>
    <w:rsid w:val="001E48A0"/>
    <w:rsid w:val="001E4C55"/>
    <w:rsid w:val="001E562D"/>
    <w:rsid w:val="001E60EB"/>
    <w:rsid w:val="001E65CB"/>
    <w:rsid w:val="001E6EBC"/>
    <w:rsid w:val="001E750D"/>
    <w:rsid w:val="001E75F0"/>
    <w:rsid w:val="001E774A"/>
    <w:rsid w:val="001F0125"/>
    <w:rsid w:val="001F013F"/>
    <w:rsid w:val="001F0526"/>
    <w:rsid w:val="001F0DCF"/>
    <w:rsid w:val="001F142A"/>
    <w:rsid w:val="001F1634"/>
    <w:rsid w:val="001F2257"/>
    <w:rsid w:val="001F23D2"/>
    <w:rsid w:val="001F2B27"/>
    <w:rsid w:val="001F32CB"/>
    <w:rsid w:val="001F34A3"/>
    <w:rsid w:val="001F3EA5"/>
    <w:rsid w:val="001F4214"/>
    <w:rsid w:val="001F46DC"/>
    <w:rsid w:val="001F4C73"/>
    <w:rsid w:val="001F58A2"/>
    <w:rsid w:val="001F5DF5"/>
    <w:rsid w:val="001F5E46"/>
    <w:rsid w:val="001F78BF"/>
    <w:rsid w:val="001F7B0D"/>
    <w:rsid w:val="00200613"/>
    <w:rsid w:val="00201AFF"/>
    <w:rsid w:val="00201FD5"/>
    <w:rsid w:val="002024D6"/>
    <w:rsid w:val="00202D00"/>
    <w:rsid w:val="00202FBA"/>
    <w:rsid w:val="00203182"/>
    <w:rsid w:val="0020367A"/>
    <w:rsid w:val="0020399F"/>
    <w:rsid w:val="00203A4A"/>
    <w:rsid w:val="00203FDC"/>
    <w:rsid w:val="00204146"/>
    <w:rsid w:val="002062E8"/>
    <w:rsid w:val="00206496"/>
    <w:rsid w:val="0020734B"/>
    <w:rsid w:val="00207811"/>
    <w:rsid w:val="002108B3"/>
    <w:rsid w:val="00210F63"/>
    <w:rsid w:val="0021131A"/>
    <w:rsid w:val="00211CAF"/>
    <w:rsid w:val="002122AA"/>
    <w:rsid w:val="002124D1"/>
    <w:rsid w:val="0021270C"/>
    <w:rsid w:val="00213392"/>
    <w:rsid w:val="002134B0"/>
    <w:rsid w:val="00213882"/>
    <w:rsid w:val="00214171"/>
    <w:rsid w:val="002147C0"/>
    <w:rsid w:val="00214F34"/>
    <w:rsid w:val="00214F5F"/>
    <w:rsid w:val="0021541F"/>
    <w:rsid w:val="00215621"/>
    <w:rsid w:val="0021591F"/>
    <w:rsid w:val="00215A8B"/>
    <w:rsid w:val="00215FCC"/>
    <w:rsid w:val="00216157"/>
    <w:rsid w:val="002167CF"/>
    <w:rsid w:val="00216F12"/>
    <w:rsid w:val="00217635"/>
    <w:rsid w:val="00220286"/>
    <w:rsid w:val="00220B1C"/>
    <w:rsid w:val="00221A16"/>
    <w:rsid w:val="00221A7C"/>
    <w:rsid w:val="00221B56"/>
    <w:rsid w:val="002222DB"/>
    <w:rsid w:val="00222FB3"/>
    <w:rsid w:val="0022305D"/>
    <w:rsid w:val="00223524"/>
    <w:rsid w:val="00224068"/>
    <w:rsid w:val="00224561"/>
    <w:rsid w:val="0022472C"/>
    <w:rsid w:val="002247D7"/>
    <w:rsid w:val="00224BD1"/>
    <w:rsid w:val="002253D6"/>
    <w:rsid w:val="00225768"/>
    <w:rsid w:val="002261F8"/>
    <w:rsid w:val="00226C08"/>
    <w:rsid w:val="00226F2C"/>
    <w:rsid w:val="00226F96"/>
    <w:rsid w:val="00227BA7"/>
    <w:rsid w:val="00230164"/>
    <w:rsid w:val="002302AF"/>
    <w:rsid w:val="00230A71"/>
    <w:rsid w:val="00230B38"/>
    <w:rsid w:val="00230B50"/>
    <w:rsid w:val="0023116C"/>
    <w:rsid w:val="00231487"/>
    <w:rsid w:val="00231993"/>
    <w:rsid w:val="002339F3"/>
    <w:rsid w:val="002340CC"/>
    <w:rsid w:val="00234631"/>
    <w:rsid w:val="0023548F"/>
    <w:rsid w:val="00235CED"/>
    <w:rsid w:val="0023700E"/>
    <w:rsid w:val="0023749B"/>
    <w:rsid w:val="00237820"/>
    <w:rsid w:val="002379E5"/>
    <w:rsid w:val="0024015D"/>
    <w:rsid w:val="002402D4"/>
    <w:rsid w:val="00241364"/>
    <w:rsid w:val="00241587"/>
    <w:rsid w:val="00241A98"/>
    <w:rsid w:val="0024247B"/>
    <w:rsid w:val="00242515"/>
    <w:rsid w:val="00242DCE"/>
    <w:rsid w:val="0024334F"/>
    <w:rsid w:val="00243E92"/>
    <w:rsid w:val="00244809"/>
    <w:rsid w:val="00244EB8"/>
    <w:rsid w:val="00245043"/>
    <w:rsid w:val="00245426"/>
    <w:rsid w:val="00245FBE"/>
    <w:rsid w:val="002469FB"/>
    <w:rsid w:val="00246D2C"/>
    <w:rsid w:val="00247299"/>
    <w:rsid w:val="002474D8"/>
    <w:rsid w:val="002476D5"/>
    <w:rsid w:val="00247AB2"/>
    <w:rsid w:val="00251DF7"/>
    <w:rsid w:val="0025265C"/>
    <w:rsid w:val="00252957"/>
    <w:rsid w:val="00252C7F"/>
    <w:rsid w:val="00253171"/>
    <w:rsid w:val="00253605"/>
    <w:rsid w:val="002539D4"/>
    <w:rsid w:val="00253A13"/>
    <w:rsid w:val="00254EA8"/>
    <w:rsid w:val="00254EC8"/>
    <w:rsid w:val="00255930"/>
    <w:rsid w:val="00255E7B"/>
    <w:rsid w:val="0025662F"/>
    <w:rsid w:val="00256C01"/>
    <w:rsid w:val="002578E6"/>
    <w:rsid w:val="00257B6D"/>
    <w:rsid w:val="00260063"/>
    <w:rsid w:val="002603F2"/>
    <w:rsid w:val="0026078D"/>
    <w:rsid w:val="00260794"/>
    <w:rsid w:val="002609AD"/>
    <w:rsid w:val="0026122C"/>
    <w:rsid w:val="00261692"/>
    <w:rsid w:val="00261FBC"/>
    <w:rsid w:val="0026299A"/>
    <w:rsid w:val="0026359C"/>
    <w:rsid w:val="00263861"/>
    <w:rsid w:val="00263F55"/>
    <w:rsid w:val="002645F0"/>
    <w:rsid w:val="00264753"/>
    <w:rsid w:val="00264A3F"/>
    <w:rsid w:val="00264F29"/>
    <w:rsid w:val="00265370"/>
    <w:rsid w:val="00265CB5"/>
    <w:rsid w:val="00266543"/>
    <w:rsid w:val="00266989"/>
    <w:rsid w:val="00266EA7"/>
    <w:rsid w:val="00267056"/>
    <w:rsid w:val="00267DD5"/>
    <w:rsid w:val="002704CC"/>
    <w:rsid w:val="00270E14"/>
    <w:rsid w:val="00272269"/>
    <w:rsid w:val="00272781"/>
    <w:rsid w:val="00273DDC"/>
    <w:rsid w:val="00273FF7"/>
    <w:rsid w:val="002740A7"/>
    <w:rsid w:val="002741BD"/>
    <w:rsid w:val="002743AB"/>
    <w:rsid w:val="00275506"/>
    <w:rsid w:val="0027553C"/>
    <w:rsid w:val="002761F9"/>
    <w:rsid w:val="002762F6"/>
    <w:rsid w:val="00276935"/>
    <w:rsid w:val="002770A0"/>
    <w:rsid w:val="00277FF1"/>
    <w:rsid w:val="00280E31"/>
    <w:rsid w:val="0028145A"/>
    <w:rsid w:val="002819C8"/>
    <w:rsid w:val="00281AA5"/>
    <w:rsid w:val="00281B19"/>
    <w:rsid w:val="00282E5F"/>
    <w:rsid w:val="00283082"/>
    <w:rsid w:val="00283697"/>
    <w:rsid w:val="002836A0"/>
    <w:rsid w:val="00283A12"/>
    <w:rsid w:val="00284C82"/>
    <w:rsid w:val="00285824"/>
    <w:rsid w:val="002865DE"/>
    <w:rsid w:val="0028695C"/>
    <w:rsid w:val="00287246"/>
    <w:rsid w:val="00287C92"/>
    <w:rsid w:val="00287DD9"/>
    <w:rsid w:val="00287DFB"/>
    <w:rsid w:val="00290428"/>
    <w:rsid w:val="00290913"/>
    <w:rsid w:val="00291217"/>
    <w:rsid w:val="00291CA6"/>
    <w:rsid w:val="00292670"/>
    <w:rsid w:val="00292A59"/>
    <w:rsid w:val="00292BCA"/>
    <w:rsid w:val="00293772"/>
    <w:rsid w:val="00293C45"/>
    <w:rsid w:val="00294040"/>
    <w:rsid w:val="002944BE"/>
    <w:rsid w:val="00294CE1"/>
    <w:rsid w:val="00295FA7"/>
    <w:rsid w:val="002975D2"/>
    <w:rsid w:val="00297763"/>
    <w:rsid w:val="002A0717"/>
    <w:rsid w:val="002A3550"/>
    <w:rsid w:val="002A477F"/>
    <w:rsid w:val="002A5012"/>
    <w:rsid w:val="002A5B06"/>
    <w:rsid w:val="002A64B0"/>
    <w:rsid w:val="002A7B04"/>
    <w:rsid w:val="002A7CB9"/>
    <w:rsid w:val="002B122B"/>
    <w:rsid w:val="002B1CCC"/>
    <w:rsid w:val="002B1D7D"/>
    <w:rsid w:val="002B26BA"/>
    <w:rsid w:val="002B2F8D"/>
    <w:rsid w:val="002B3CC1"/>
    <w:rsid w:val="002B4677"/>
    <w:rsid w:val="002B4A66"/>
    <w:rsid w:val="002B4D98"/>
    <w:rsid w:val="002B5A8F"/>
    <w:rsid w:val="002B5EC4"/>
    <w:rsid w:val="002B6CFB"/>
    <w:rsid w:val="002B75D2"/>
    <w:rsid w:val="002C00FC"/>
    <w:rsid w:val="002C1BF6"/>
    <w:rsid w:val="002C1E80"/>
    <w:rsid w:val="002C1F0E"/>
    <w:rsid w:val="002C2D8E"/>
    <w:rsid w:val="002C3EA2"/>
    <w:rsid w:val="002C407D"/>
    <w:rsid w:val="002C40AE"/>
    <w:rsid w:val="002C4351"/>
    <w:rsid w:val="002C45B4"/>
    <w:rsid w:val="002C46D0"/>
    <w:rsid w:val="002C4B35"/>
    <w:rsid w:val="002C5016"/>
    <w:rsid w:val="002C5B28"/>
    <w:rsid w:val="002C5C6C"/>
    <w:rsid w:val="002C5FA9"/>
    <w:rsid w:val="002C60E3"/>
    <w:rsid w:val="002C646C"/>
    <w:rsid w:val="002C6C0F"/>
    <w:rsid w:val="002C7295"/>
    <w:rsid w:val="002C77CB"/>
    <w:rsid w:val="002C78EC"/>
    <w:rsid w:val="002C7E48"/>
    <w:rsid w:val="002D09E0"/>
    <w:rsid w:val="002D1696"/>
    <w:rsid w:val="002D1969"/>
    <w:rsid w:val="002D1F63"/>
    <w:rsid w:val="002D2AA8"/>
    <w:rsid w:val="002D45C8"/>
    <w:rsid w:val="002D51B3"/>
    <w:rsid w:val="002D5C55"/>
    <w:rsid w:val="002D5ECC"/>
    <w:rsid w:val="002D6FD9"/>
    <w:rsid w:val="002D79E6"/>
    <w:rsid w:val="002D7F8A"/>
    <w:rsid w:val="002E07A0"/>
    <w:rsid w:val="002E0A31"/>
    <w:rsid w:val="002E0D8C"/>
    <w:rsid w:val="002E11E6"/>
    <w:rsid w:val="002E139F"/>
    <w:rsid w:val="002E1897"/>
    <w:rsid w:val="002E1F95"/>
    <w:rsid w:val="002E2CA9"/>
    <w:rsid w:val="002E31FF"/>
    <w:rsid w:val="002E5A35"/>
    <w:rsid w:val="002E5A6B"/>
    <w:rsid w:val="002E5B76"/>
    <w:rsid w:val="002E69BE"/>
    <w:rsid w:val="002E6EF9"/>
    <w:rsid w:val="002E7275"/>
    <w:rsid w:val="002E72EA"/>
    <w:rsid w:val="002E738E"/>
    <w:rsid w:val="002E7392"/>
    <w:rsid w:val="002E7864"/>
    <w:rsid w:val="002E7AE9"/>
    <w:rsid w:val="002E7EB0"/>
    <w:rsid w:val="002F0962"/>
    <w:rsid w:val="002F11D0"/>
    <w:rsid w:val="002F27BE"/>
    <w:rsid w:val="002F2C53"/>
    <w:rsid w:val="002F3B02"/>
    <w:rsid w:val="002F49AC"/>
    <w:rsid w:val="002F50BF"/>
    <w:rsid w:val="002F6A8E"/>
    <w:rsid w:val="003008D5"/>
    <w:rsid w:val="003010FC"/>
    <w:rsid w:val="003013D2"/>
    <w:rsid w:val="00301623"/>
    <w:rsid w:val="00302A12"/>
    <w:rsid w:val="00303BAF"/>
    <w:rsid w:val="00305A9D"/>
    <w:rsid w:val="00306118"/>
    <w:rsid w:val="00306139"/>
    <w:rsid w:val="0030717C"/>
    <w:rsid w:val="003074C3"/>
    <w:rsid w:val="003077D9"/>
    <w:rsid w:val="00310447"/>
    <w:rsid w:val="00311C82"/>
    <w:rsid w:val="003124FB"/>
    <w:rsid w:val="00312994"/>
    <w:rsid w:val="00312B7C"/>
    <w:rsid w:val="00312DC3"/>
    <w:rsid w:val="003130BF"/>
    <w:rsid w:val="003130C2"/>
    <w:rsid w:val="00313887"/>
    <w:rsid w:val="00313C7B"/>
    <w:rsid w:val="0031541E"/>
    <w:rsid w:val="00315C27"/>
    <w:rsid w:val="00315FE6"/>
    <w:rsid w:val="00316199"/>
    <w:rsid w:val="00316B6B"/>
    <w:rsid w:val="00316BF4"/>
    <w:rsid w:val="00316CE6"/>
    <w:rsid w:val="00316F70"/>
    <w:rsid w:val="00320817"/>
    <w:rsid w:val="00320B00"/>
    <w:rsid w:val="00320FE3"/>
    <w:rsid w:val="003211B8"/>
    <w:rsid w:val="00321656"/>
    <w:rsid w:val="00321DE0"/>
    <w:rsid w:val="00321E66"/>
    <w:rsid w:val="00321FB9"/>
    <w:rsid w:val="00322425"/>
    <w:rsid w:val="00322C89"/>
    <w:rsid w:val="00323122"/>
    <w:rsid w:val="00323494"/>
    <w:rsid w:val="00323654"/>
    <w:rsid w:val="0032446A"/>
    <w:rsid w:val="00324595"/>
    <w:rsid w:val="003249A4"/>
    <w:rsid w:val="00324D84"/>
    <w:rsid w:val="00325CA1"/>
    <w:rsid w:val="00326B11"/>
    <w:rsid w:val="00327242"/>
    <w:rsid w:val="00327475"/>
    <w:rsid w:val="00327C15"/>
    <w:rsid w:val="00327DD0"/>
    <w:rsid w:val="00330935"/>
    <w:rsid w:val="0033096D"/>
    <w:rsid w:val="00330DC8"/>
    <w:rsid w:val="003313EF"/>
    <w:rsid w:val="00331AA4"/>
    <w:rsid w:val="00332607"/>
    <w:rsid w:val="00333123"/>
    <w:rsid w:val="00334D34"/>
    <w:rsid w:val="00336BAB"/>
    <w:rsid w:val="00336ECA"/>
    <w:rsid w:val="00337573"/>
    <w:rsid w:val="0033783B"/>
    <w:rsid w:val="003406C7"/>
    <w:rsid w:val="00340EB3"/>
    <w:rsid w:val="00342750"/>
    <w:rsid w:val="00342A65"/>
    <w:rsid w:val="00342DFC"/>
    <w:rsid w:val="00342EC0"/>
    <w:rsid w:val="00342FC4"/>
    <w:rsid w:val="00343248"/>
    <w:rsid w:val="00343909"/>
    <w:rsid w:val="003446BA"/>
    <w:rsid w:val="00344A00"/>
    <w:rsid w:val="00347538"/>
    <w:rsid w:val="003501AE"/>
    <w:rsid w:val="00350A35"/>
    <w:rsid w:val="00350D73"/>
    <w:rsid w:val="0035193F"/>
    <w:rsid w:val="00351C17"/>
    <w:rsid w:val="00351E90"/>
    <w:rsid w:val="0035244B"/>
    <w:rsid w:val="0035258F"/>
    <w:rsid w:val="003526B0"/>
    <w:rsid w:val="0035275F"/>
    <w:rsid w:val="003538D4"/>
    <w:rsid w:val="00354592"/>
    <w:rsid w:val="00355C1F"/>
    <w:rsid w:val="00356589"/>
    <w:rsid w:val="003567BC"/>
    <w:rsid w:val="003573C0"/>
    <w:rsid w:val="003605B8"/>
    <w:rsid w:val="003608F6"/>
    <w:rsid w:val="00360A59"/>
    <w:rsid w:val="00361118"/>
    <w:rsid w:val="00361303"/>
    <w:rsid w:val="00361852"/>
    <w:rsid w:val="00361FF4"/>
    <w:rsid w:val="003636AD"/>
    <w:rsid w:val="0036488B"/>
    <w:rsid w:val="00364FD7"/>
    <w:rsid w:val="00365617"/>
    <w:rsid w:val="00366C7C"/>
    <w:rsid w:val="00367596"/>
    <w:rsid w:val="00367841"/>
    <w:rsid w:val="00370C2B"/>
    <w:rsid w:val="00371DD8"/>
    <w:rsid w:val="0037236B"/>
    <w:rsid w:val="003723EF"/>
    <w:rsid w:val="003727C7"/>
    <w:rsid w:val="003732CF"/>
    <w:rsid w:val="0037348D"/>
    <w:rsid w:val="00373DC7"/>
    <w:rsid w:val="003742A0"/>
    <w:rsid w:val="00374BC6"/>
    <w:rsid w:val="00374E4D"/>
    <w:rsid w:val="003760C4"/>
    <w:rsid w:val="00376F95"/>
    <w:rsid w:val="0037743B"/>
    <w:rsid w:val="0037784E"/>
    <w:rsid w:val="00381739"/>
    <w:rsid w:val="00383735"/>
    <w:rsid w:val="00385CF3"/>
    <w:rsid w:val="00385F3D"/>
    <w:rsid w:val="00386836"/>
    <w:rsid w:val="00386ADB"/>
    <w:rsid w:val="00386E3A"/>
    <w:rsid w:val="0038778A"/>
    <w:rsid w:val="00387931"/>
    <w:rsid w:val="00387B7C"/>
    <w:rsid w:val="00387DEF"/>
    <w:rsid w:val="0039113B"/>
    <w:rsid w:val="0039114F"/>
    <w:rsid w:val="00391AA0"/>
    <w:rsid w:val="00392382"/>
    <w:rsid w:val="00392A9D"/>
    <w:rsid w:val="00392D96"/>
    <w:rsid w:val="00392E14"/>
    <w:rsid w:val="003934D8"/>
    <w:rsid w:val="003934FE"/>
    <w:rsid w:val="00394532"/>
    <w:rsid w:val="00394B2A"/>
    <w:rsid w:val="00394DE1"/>
    <w:rsid w:val="0039564C"/>
    <w:rsid w:val="00395DCE"/>
    <w:rsid w:val="003964DC"/>
    <w:rsid w:val="003964F2"/>
    <w:rsid w:val="003966D1"/>
    <w:rsid w:val="00397EC8"/>
    <w:rsid w:val="00397F85"/>
    <w:rsid w:val="003A0F81"/>
    <w:rsid w:val="003A2B8B"/>
    <w:rsid w:val="003A4827"/>
    <w:rsid w:val="003A4B3F"/>
    <w:rsid w:val="003A4F35"/>
    <w:rsid w:val="003A4F8C"/>
    <w:rsid w:val="003A64FA"/>
    <w:rsid w:val="003A68FE"/>
    <w:rsid w:val="003A69F0"/>
    <w:rsid w:val="003A7353"/>
    <w:rsid w:val="003A7385"/>
    <w:rsid w:val="003A79BB"/>
    <w:rsid w:val="003A7AA8"/>
    <w:rsid w:val="003B038F"/>
    <w:rsid w:val="003B0619"/>
    <w:rsid w:val="003B0A18"/>
    <w:rsid w:val="003B0BD4"/>
    <w:rsid w:val="003B16E4"/>
    <w:rsid w:val="003B18BF"/>
    <w:rsid w:val="003B1C75"/>
    <w:rsid w:val="003B31A5"/>
    <w:rsid w:val="003B3320"/>
    <w:rsid w:val="003B36BF"/>
    <w:rsid w:val="003B3A7C"/>
    <w:rsid w:val="003B4777"/>
    <w:rsid w:val="003B4D3F"/>
    <w:rsid w:val="003B5C92"/>
    <w:rsid w:val="003B6107"/>
    <w:rsid w:val="003B6C9A"/>
    <w:rsid w:val="003B6CA0"/>
    <w:rsid w:val="003B77AB"/>
    <w:rsid w:val="003B7F2B"/>
    <w:rsid w:val="003C00A4"/>
    <w:rsid w:val="003C10A6"/>
    <w:rsid w:val="003C11A1"/>
    <w:rsid w:val="003C19F9"/>
    <w:rsid w:val="003C1F14"/>
    <w:rsid w:val="003C20C3"/>
    <w:rsid w:val="003C2258"/>
    <w:rsid w:val="003C2E04"/>
    <w:rsid w:val="003C43E3"/>
    <w:rsid w:val="003C4A6C"/>
    <w:rsid w:val="003C5C80"/>
    <w:rsid w:val="003C6F59"/>
    <w:rsid w:val="003C70EC"/>
    <w:rsid w:val="003C7346"/>
    <w:rsid w:val="003C73A3"/>
    <w:rsid w:val="003C75FA"/>
    <w:rsid w:val="003C7A7A"/>
    <w:rsid w:val="003D08F2"/>
    <w:rsid w:val="003D1681"/>
    <w:rsid w:val="003D2760"/>
    <w:rsid w:val="003D2783"/>
    <w:rsid w:val="003D2814"/>
    <w:rsid w:val="003D3C07"/>
    <w:rsid w:val="003D43F3"/>
    <w:rsid w:val="003D4537"/>
    <w:rsid w:val="003D45A7"/>
    <w:rsid w:val="003D499C"/>
    <w:rsid w:val="003D4AB8"/>
    <w:rsid w:val="003D50EF"/>
    <w:rsid w:val="003D6618"/>
    <w:rsid w:val="003D699D"/>
    <w:rsid w:val="003D6B3C"/>
    <w:rsid w:val="003D6EF2"/>
    <w:rsid w:val="003D77B1"/>
    <w:rsid w:val="003D7EDA"/>
    <w:rsid w:val="003E04ED"/>
    <w:rsid w:val="003E0BBF"/>
    <w:rsid w:val="003E1070"/>
    <w:rsid w:val="003E19BC"/>
    <w:rsid w:val="003E1ACD"/>
    <w:rsid w:val="003E1E33"/>
    <w:rsid w:val="003E1E3D"/>
    <w:rsid w:val="003E28CA"/>
    <w:rsid w:val="003E2C1C"/>
    <w:rsid w:val="003E3DFD"/>
    <w:rsid w:val="003E420F"/>
    <w:rsid w:val="003E4403"/>
    <w:rsid w:val="003E484C"/>
    <w:rsid w:val="003E4FE3"/>
    <w:rsid w:val="003E5C28"/>
    <w:rsid w:val="003E5E12"/>
    <w:rsid w:val="003E5F39"/>
    <w:rsid w:val="003E60AF"/>
    <w:rsid w:val="003E6D81"/>
    <w:rsid w:val="003F12FF"/>
    <w:rsid w:val="003F3085"/>
    <w:rsid w:val="003F3EAB"/>
    <w:rsid w:val="003F457F"/>
    <w:rsid w:val="003F54D0"/>
    <w:rsid w:val="003F5906"/>
    <w:rsid w:val="003F5961"/>
    <w:rsid w:val="003F5B76"/>
    <w:rsid w:val="003F618A"/>
    <w:rsid w:val="003F6CD4"/>
    <w:rsid w:val="003F6F8C"/>
    <w:rsid w:val="003F711D"/>
    <w:rsid w:val="003F7459"/>
    <w:rsid w:val="003F7EA0"/>
    <w:rsid w:val="004006F8"/>
    <w:rsid w:val="00400934"/>
    <w:rsid w:val="00400AD4"/>
    <w:rsid w:val="00400AFF"/>
    <w:rsid w:val="00401451"/>
    <w:rsid w:val="00401DAE"/>
    <w:rsid w:val="00405611"/>
    <w:rsid w:val="0040569A"/>
    <w:rsid w:val="00405738"/>
    <w:rsid w:val="00405D43"/>
    <w:rsid w:val="0040621C"/>
    <w:rsid w:val="00407772"/>
    <w:rsid w:val="00407C1F"/>
    <w:rsid w:val="00410092"/>
    <w:rsid w:val="00410417"/>
    <w:rsid w:val="0041060B"/>
    <w:rsid w:val="004108F2"/>
    <w:rsid w:val="0041106D"/>
    <w:rsid w:val="004116CF"/>
    <w:rsid w:val="00411DD1"/>
    <w:rsid w:val="00413418"/>
    <w:rsid w:val="0041372D"/>
    <w:rsid w:val="00413BDE"/>
    <w:rsid w:val="00414046"/>
    <w:rsid w:val="00415158"/>
    <w:rsid w:val="00415998"/>
    <w:rsid w:val="0041646A"/>
    <w:rsid w:val="00417649"/>
    <w:rsid w:val="00420A5C"/>
    <w:rsid w:val="00420CEE"/>
    <w:rsid w:val="00420F6F"/>
    <w:rsid w:val="004217B6"/>
    <w:rsid w:val="00421A33"/>
    <w:rsid w:val="00421B8C"/>
    <w:rsid w:val="00421F7F"/>
    <w:rsid w:val="00422AE7"/>
    <w:rsid w:val="00422DA1"/>
    <w:rsid w:val="00423BAA"/>
    <w:rsid w:val="00423C50"/>
    <w:rsid w:val="00424DC5"/>
    <w:rsid w:val="00425073"/>
    <w:rsid w:val="004253D5"/>
    <w:rsid w:val="00425810"/>
    <w:rsid w:val="0042645E"/>
    <w:rsid w:val="0042668C"/>
    <w:rsid w:val="00426B8D"/>
    <w:rsid w:val="0042729E"/>
    <w:rsid w:val="00427589"/>
    <w:rsid w:val="00427EB2"/>
    <w:rsid w:val="00430BA7"/>
    <w:rsid w:val="00430DEB"/>
    <w:rsid w:val="0043135C"/>
    <w:rsid w:val="00432F71"/>
    <w:rsid w:val="0043300E"/>
    <w:rsid w:val="004344B8"/>
    <w:rsid w:val="00434A6B"/>
    <w:rsid w:val="004366CC"/>
    <w:rsid w:val="00436ED4"/>
    <w:rsid w:val="004373A4"/>
    <w:rsid w:val="00437546"/>
    <w:rsid w:val="00437DCC"/>
    <w:rsid w:val="00440011"/>
    <w:rsid w:val="0044100E"/>
    <w:rsid w:val="00441928"/>
    <w:rsid w:val="00442F1C"/>
    <w:rsid w:val="0044463C"/>
    <w:rsid w:val="00445098"/>
    <w:rsid w:val="00445F6C"/>
    <w:rsid w:val="004460FF"/>
    <w:rsid w:val="004474AD"/>
    <w:rsid w:val="00447CB7"/>
    <w:rsid w:val="00447D55"/>
    <w:rsid w:val="00450274"/>
    <w:rsid w:val="00450FE3"/>
    <w:rsid w:val="0045162F"/>
    <w:rsid w:val="00451CA2"/>
    <w:rsid w:val="00452734"/>
    <w:rsid w:val="00452A02"/>
    <w:rsid w:val="00454708"/>
    <w:rsid w:val="0045667E"/>
    <w:rsid w:val="00456F8B"/>
    <w:rsid w:val="0045710F"/>
    <w:rsid w:val="004578DE"/>
    <w:rsid w:val="00457AED"/>
    <w:rsid w:val="00457BB1"/>
    <w:rsid w:val="004604EC"/>
    <w:rsid w:val="00460D40"/>
    <w:rsid w:val="00460F70"/>
    <w:rsid w:val="00461235"/>
    <w:rsid w:val="00461E15"/>
    <w:rsid w:val="0046245D"/>
    <w:rsid w:val="0046301E"/>
    <w:rsid w:val="00463124"/>
    <w:rsid w:val="00463274"/>
    <w:rsid w:val="0046369E"/>
    <w:rsid w:val="00463B95"/>
    <w:rsid w:val="00463E02"/>
    <w:rsid w:val="00463E15"/>
    <w:rsid w:val="004641BD"/>
    <w:rsid w:val="0046475A"/>
    <w:rsid w:val="00464CD7"/>
    <w:rsid w:val="00465037"/>
    <w:rsid w:val="0046528D"/>
    <w:rsid w:val="00465D7C"/>
    <w:rsid w:val="00465D8C"/>
    <w:rsid w:val="004663CE"/>
    <w:rsid w:val="00466731"/>
    <w:rsid w:val="00466C35"/>
    <w:rsid w:val="00466D21"/>
    <w:rsid w:val="00467014"/>
    <w:rsid w:val="00467370"/>
    <w:rsid w:val="004700FF"/>
    <w:rsid w:val="00470397"/>
    <w:rsid w:val="004707A5"/>
    <w:rsid w:val="00470888"/>
    <w:rsid w:val="00470B2C"/>
    <w:rsid w:val="00471CEC"/>
    <w:rsid w:val="00471F31"/>
    <w:rsid w:val="00472275"/>
    <w:rsid w:val="0047236A"/>
    <w:rsid w:val="00472860"/>
    <w:rsid w:val="00472CB3"/>
    <w:rsid w:val="00473830"/>
    <w:rsid w:val="00473BA7"/>
    <w:rsid w:val="0047442C"/>
    <w:rsid w:val="004745EA"/>
    <w:rsid w:val="00475126"/>
    <w:rsid w:val="004754AE"/>
    <w:rsid w:val="00475C76"/>
    <w:rsid w:val="00475E85"/>
    <w:rsid w:val="00476C46"/>
    <w:rsid w:val="004774D0"/>
    <w:rsid w:val="004775A3"/>
    <w:rsid w:val="004776AD"/>
    <w:rsid w:val="004777B4"/>
    <w:rsid w:val="00477CC4"/>
    <w:rsid w:val="00477F6D"/>
    <w:rsid w:val="0048053F"/>
    <w:rsid w:val="004806A7"/>
    <w:rsid w:val="00480F13"/>
    <w:rsid w:val="00481344"/>
    <w:rsid w:val="004813B0"/>
    <w:rsid w:val="004818BC"/>
    <w:rsid w:val="00481A20"/>
    <w:rsid w:val="00481A96"/>
    <w:rsid w:val="00481BEA"/>
    <w:rsid w:val="004837CE"/>
    <w:rsid w:val="00485216"/>
    <w:rsid w:val="0048565C"/>
    <w:rsid w:val="004864E1"/>
    <w:rsid w:val="00486CF5"/>
    <w:rsid w:val="00486D5A"/>
    <w:rsid w:val="0048755A"/>
    <w:rsid w:val="004875EE"/>
    <w:rsid w:val="0048785A"/>
    <w:rsid w:val="00487B78"/>
    <w:rsid w:val="004900FC"/>
    <w:rsid w:val="00490548"/>
    <w:rsid w:val="00490643"/>
    <w:rsid w:val="0049065B"/>
    <w:rsid w:val="004908C7"/>
    <w:rsid w:val="00491D33"/>
    <w:rsid w:val="00492B01"/>
    <w:rsid w:val="0049336C"/>
    <w:rsid w:val="0049375D"/>
    <w:rsid w:val="004938C6"/>
    <w:rsid w:val="00493CF1"/>
    <w:rsid w:val="00493F74"/>
    <w:rsid w:val="00495508"/>
    <w:rsid w:val="00495AEF"/>
    <w:rsid w:val="00495BF2"/>
    <w:rsid w:val="00495E48"/>
    <w:rsid w:val="0049675E"/>
    <w:rsid w:val="004969B6"/>
    <w:rsid w:val="0049709F"/>
    <w:rsid w:val="00497387"/>
    <w:rsid w:val="00497D17"/>
    <w:rsid w:val="00497F80"/>
    <w:rsid w:val="004A019D"/>
    <w:rsid w:val="004A09B3"/>
    <w:rsid w:val="004A23C3"/>
    <w:rsid w:val="004A3B73"/>
    <w:rsid w:val="004A438B"/>
    <w:rsid w:val="004A5313"/>
    <w:rsid w:val="004A69E1"/>
    <w:rsid w:val="004A6A3D"/>
    <w:rsid w:val="004A6AB8"/>
    <w:rsid w:val="004A7221"/>
    <w:rsid w:val="004A776D"/>
    <w:rsid w:val="004A79DD"/>
    <w:rsid w:val="004B02F7"/>
    <w:rsid w:val="004B0D93"/>
    <w:rsid w:val="004B1C2E"/>
    <w:rsid w:val="004B1D19"/>
    <w:rsid w:val="004B2B36"/>
    <w:rsid w:val="004B352D"/>
    <w:rsid w:val="004B3801"/>
    <w:rsid w:val="004B4326"/>
    <w:rsid w:val="004B5928"/>
    <w:rsid w:val="004B609B"/>
    <w:rsid w:val="004B690C"/>
    <w:rsid w:val="004B7138"/>
    <w:rsid w:val="004B738A"/>
    <w:rsid w:val="004B77D4"/>
    <w:rsid w:val="004B79EB"/>
    <w:rsid w:val="004C1357"/>
    <w:rsid w:val="004C145D"/>
    <w:rsid w:val="004C172C"/>
    <w:rsid w:val="004C1991"/>
    <w:rsid w:val="004C255D"/>
    <w:rsid w:val="004C3AB3"/>
    <w:rsid w:val="004C4813"/>
    <w:rsid w:val="004C4865"/>
    <w:rsid w:val="004C5516"/>
    <w:rsid w:val="004C66CC"/>
    <w:rsid w:val="004C6E3A"/>
    <w:rsid w:val="004D04BC"/>
    <w:rsid w:val="004D09C6"/>
    <w:rsid w:val="004D1521"/>
    <w:rsid w:val="004D1548"/>
    <w:rsid w:val="004D1A29"/>
    <w:rsid w:val="004D1D41"/>
    <w:rsid w:val="004D24A3"/>
    <w:rsid w:val="004D2E19"/>
    <w:rsid w:val="004D3CE7"/>
    <w:rsid w:val="004D43BF"/>
    <w:rsid w:val="004D4675"/>
    <w:rsid w:val="004D487F"/>
    <w:rsid w:val="004D4A35"/>
    <w:rsid w:val="004D65DF"/>
    <w:rsid w:val="004D6622"/>
    <w:rsid w:val="004D6F20"/>
    <w:rsid w:val="004D7826"/>
    <w:rsid w:val="004E078D"/>
    <w:rsid w:val="004E0F82"/>
    <w:rsid w:val="004E114C"/>
    <w:rsid w:val="004E192C"/>
    <w:rsid w:val="004E1B08"/>
    <w:rsid w:val="004E25B6"/>
    <w:rsid w:val="004E271D"/>
    <w:rsid w:val="004E2EF1"/>
    <w:rsid w:val="004E37ED"/>
    <w:rsid w:val="004E40AF"/>
    <w:rsid w:val="004E43B0"/>
    <w:rsid w:val="004E473D"/>
    <w:rsid w:val="004E4C77"/>
    <w:rsid w:val="004E4EE3"/>
    <w:rsid w:val="004E58D1"/>
    <w:rsid w:val="004E6E1F"/>
    <w:rsid w:val="004E7CEB"/>
    <w:rsid w:val="004F04CB"/>
    <w:rsid w:val="004F0DC9"/>
    <w:rsid w:val="004F0E75"/>
    <w:rsid w:val="004F1ACC"/>
    <w:rsid w:val="004F20DC"/>
    <w:rsid w:val="004F278F"/>
    <w:rsid w:val="004F2A79"/>
    <w:rsid w:val="004F34A0"/>
    <w:rsid w:val="004F412B"/>
    <w:rsid w:val="004F4F52"/>
    <w:rsid w:val="004F53B2"/>
    <w:rsid w:val="004F5BDF"/>
    <w:rsid w:val="004F5C53"/>
    <w:rsid w:val="004F5EDC"/>
    <w:rsid w:val="004F6D27"/>
    <w:rsid w:val="004F6E2F"/>
    <w:rsid w:val="0050037A"/>
    <w:rsid w:val="0050077C"/>
    <w:rsid w:val="00500FA3"/>
    <w:rsid w:val="00501199"/>
    <w:rsid w:val="005018A2"/>
    <w:rsid w:val="00501CA1"/>
    <w:rsid w:val="005021E4"/>
    <w:rsid w:val="00502F67"/>
    <w:rsid w:val="00503E92"/>
    <w:rsid w:val="005049F3"/>
    <w:rsid w:val="00504F1E"/>
    <w:rsid w:val="005056EB"/>
    <w:rsid w:val="00505D6C"/>
    <w:rsid w:val="00505F5E"/>
    <w:rsid w:val="005069B7"/>
    <w:rsid w:val="0050790B"/>
    <w:rsid w:val="00510CED"/>
    <w:rsid w:val="00510D24"/>
    <w:rsid w:val="00510D91"/>
    <w:rsid w:val="00511099"/>
    <w:rsid w:val="005111F2"/>
    <w:rsid w:val="00511353"/>
    <w:rsid w:val="00511F94"/>
    <w:rsid w:val="00512280"/>
    <w:rsid w:val="00512542"/>
    <w:rsid w:val="00512B79"/>
    <w:rsid w:val="005130E5"/>
    <w:rsid w:val="00513682"/>
    <w:rsid w:val="005137B7"/>
    <w:rsid w:val="005144C9"/>
    <w:rsid w:val="005156CD"/>
    <w:rsid w:val="00516141"/>
    <w:rsid w:val="00516E72"/>
    <w:rsid w:val="00517F7D"/>
    <w:rsid w:val="00520C5D"/>
    <w:rsid w:val="00521201"/>
    <w:rsid w:val="0052258D"/>
    <w:rsid w:val="00523692"/>
    <w:rsid w:val="005244A9"/>
    <w:rsid w:val="0052539B"/>
    <w:rsid w:val="005261E6"/>
    <w:rsid w:val="00526DE4"/>
    <w:rsid w:val="00526E3D"/>
    <w:rsid w:val="00526E84"/>
    <w:rsid w:val="0052719B"/>
    <w:rsid w:val="0053186C"/>
    <w:rsid w:val="0053188B"/>
    <w:rsid w:val="00531DC5"/>
    <w:rsid w:val="00532744"/>
    <w:rsid w:val="00532BA5"/>
    <w:rsid w:val="005332AD"/>
    <w:rsid w:val="00533998"/>
    <w:rsid w:val="00533D2D"/>
    <w:rsid w:val="005343A3"/>
    <w:rsid w:val="005354C0"/>
    <w:rsid w:val="005356CA"/>
    <w:rsid w:val="00536152"/>
    <w:rsid w:val="00537728"/>
    <w:rsid w:val="00537A59"/>
    <w:rsid w:val="00537DFB"/>
    <w:rsid w:val="00537EFE"/>
    <w:rsid w:val="005400F7"/>
    <w:rsid w:val="00540EE6"/>
    <w:rsid w:val="0054111F"/>
    <w:rsid w:val="00541C44"/>
    <w:rsid w:val="00541DEC"/>
    <w:rsid w:val="00542152"/>
    <w:rsid w:val="00542F08"/>
    <w:rsid w:val="0054315A"/>
    <w:rsid w:val="005432D8"/>
    <w:rsid w:val="0054362A"/>
    <w:rsid w:val="0054374D"/>
    <w:rsid w:val="00543AAA"/>
    <w:rsid w:val="005440C0"/>
    <w:rsid w:val="00544719"/>
    <w:rsid w:val="005453AF"/>
    <w:rsid w:val="0054603D"/>
    <w:rsid w:val="00546B62"/>
    <w:rsid w:val="0055004B"/>
    <w:rsid w:val="00550141"/>
    <w:rsid w:val="00550A23"/>
    <w:rsid w:val="00550BF9"/>
    <w:rsid w:val="00550C78"/>
    <w:rsid w:val="00550F77"/>
    <w:rsid w:val="00550FEA"/>
    <w:rsid w:val="005521ED"/>
    <w:rsid w:val="005522BE"/>
    <w:rsid w:val="005522CA"/>
    <w:rsid w:val="005524E5"/>
    <w:rsid w:val="00553114"/>
    <w:rsid w:val="00553A14"/>
    <w:rsid w:val="0055469C"/>
    <w:rsid w:val="00555AFC"/>
    <w:rsid w:val="0055609F"/>
    <w:rsid w:val="0055638D"/>
    <w:rsid w:val="00556737"/>
    <w:rsid w:val="00556CD9"/>
    <w:rsid w:val="00556D91"/>
    <w:rsid w:val="00556EBF"/>
    <w:rsid w:val="00560863"/>
    <w:rsid w:val="00560DBB"/>
    <w:rsid w:val="00561D7A"/>
    <w:rsid w:val="005622AC"/>
    <w:rsid w:val="00562F2A"/>
    <w:rsid w:val="0056313A"/>
    <w:rsid w:val="00563E06"/>
    <w:rsid w:val="00564789"/>
    <w:rsid w:val="00564C9C"/>
    <w:rsid w:val="00565CC7"/>
    <w:rsid w:val="00566185"/>
    <w:rsid w:val="005667C1"/>
    <w:rsid w:val="00566993"/>
    <w:rsid w:val="00566B7C"/>
    <w:rsid w:val="00567020"/>
    <w:rsid w:val="00570BCD"/>
    <w:rsid w:val="0057194B"/>
    <w:rsid w:val="00571A8E"/>
    <w:rsid w:val="0057299C"/>
    <w:rsid w:val="005737BC"/>
    <w:rsid w:val="005737F7"/>
    <w:rsid w:val="00573E1C"/>
    <w:rsid w:val="0057463B"/>
    <w:rsid w:val="005756F4"/>
    <w:rsid w:val="00575B79"/>
    <w:rsid w:val="0057675F"/>
    <w:rsid w:val="005769FD"/>
    <w:rsid w:val="00577694"/>
    <w:rsid w:val="00577F27"/>
    <w:rsid w:val="00580102"/>
    <w:rsid w:val="0058182F"/>
    <w:rsid w:val="00582989"/>
    <w:rsid w:val="00582D2F"/>
    <w:rsid w:val="00583FA2"/>
    <w:rsid w:val="00584334"/>
    <w:rsid w:val="005846A7"/>
    <w:rsid w:val="005849F1"/>
    <w:rsid w:val="00584B43"/>
    <w:rsid w:val="00584F78"/>
    <w:rsid w:val="0058535D"/>
    <w:rsid w:val="00585A5D"/>
    <w:rsid w:val="00585B4F"/>
    <w:rsid w:val="00585D8A"/>
    <w:rsid w:val="00585FE1"/>
    <w:rsid w:val="00586070"/>
    <w:rsid w:val="00586769"/>
    <w:rsid w:val="00587AAC"/>
    <w:rsid w:val="00587E01"/>
    <w:rsid w:val="0059054E"/>
    <w:rsid w:val="00590957"/>
    <w:rsid w:val="00590A67"/>
    <w:rsid w:val="00590AFC"/>
    <w:rsid w:val="00590CE6"/>
    <w:rsid w:val="00591241"/>
    <w:rsid w:val="00591758"/>
    <w:rsid w:val="00591DB5"/>
    <w:rsid w:val="00592A2F"/>
    <w:rsid w:val="00593708"/>
    <w:rsid w:val="00593748"/>
    <w:rsid w:val="005937F3"/>
    <w:rsid w:val="00593970"/>
    <w:rsid w:val="00593E90"/>
    <w:rsid w:val="005941D1"/>
    <w:rsid w:val="0059476F"/>
    <w:rsid w:val="005947F2"/>
    <w:rsid w:val="0059499D"/>
    <w:rsid w:val="005964DE"/>
    <w:rsid w:val="00597FEF"/>
    <w:rsid w:val="005A028F"/>
    <w:rsid w:val="005A0EAB"/>
    <w:rsid w:val="005A19DC"/>
    <w:rsid w:val="005A1E1E"/>
    <w:rsid w:val="005A2369"/>
    <w:rsid w:val="005A2551"/>
    <w:rsid w:val="005A3C86"/>
    <w:rsid w:val="005A3F6E"/>
    <w:rsid w:val="005A4B9B"/>
    <w:rsid w:val="005A50CE"/>
    <w:rsid w:val="005A5FF6"/>
    <w:rsid w:val="005A76AB"/>
    <w:rsid w:val="005A7936"/>
    <w:rsid w:val="005B0062"/>
    <w:rsid w:val="005B11AA"/>
    <w:rsid w:val="005B12D8"/>
    <w:rsid w:val="005B18AD"/>
    <w:rsid w:val="005B1B3B"/>
    <w:rsid w:val="005B1C00"/>
    <w:rsid w:val="005B1F8E"/>
    <w:rsid w:val="005B2979"/>
    <w:rsid w:val="005B3E4F"/>
    <w:rsid w:val="005B3E9A"/>
    <w:rsid w:val="005B40A6"/>
    <w:rsid w:val="005B4302"/>
    <w:rsid w:val="005B4714"/>
    <w:rsid w:val="005B4F31"/>
    <w:rsid w:val="005B52C5"/>
    <w:rsid w:val="005B6455"/>
    <w:rsid w:val="005B64DE"/>
    <w:rsid w:val="005B7DD6"/>
    <w:rsid w:val="005C077A"/>
    <w:rsid w:val="005C080D"/>
    <w:rsid w:val="005C0ACE"/>
    <w:rsid w:val="005C0E4D"/>
    <w:rsid w:val="005C1281"/>
    <w:rsid w:val="005C16B5"/>
    <w:rsid w:val="005C31D4"/>
    <w:rsid w:val="005C31FE"/>
    <w:rsid w:val="005C39C3"/>
    <w:rsid w:val="005C3D0E"/>
    <w:rsid w:val="005C404C"/>
    <w:rsid w:val="005C4C2B"/>
    <w:rsid w:val="005C569E"/>
    <w:rsid w:val="005C5D71"/>
    <w:rsid w:val="005C5D9E"/>
    <w:rsid w:val="005C6539"/>
    <w:rsid w:val="005C6596"/>
    <w:rsid w:val="005C6D4B"/>
    <w:rsid w:val="005C6E5F"/>
    <w:rsid w:val="005C768C"/>
    <w:rsid w:val="005C7767"/>
    <w:rsid w:val="005C7D0B"/>
    <w:rsid w:val="005D07C8"/>
    <w:rsid w:val="005D1372"/>
    <w:rsid w:val="005D15E5"/>
    <w:rsid w:val="005D16B3"/>
    <w:rsid w:val="005D1F30"/>
    <w:rsid w:val="005D1FE4"/>
    <w:rsid w:val="005D2840"/>
    <w:rsid w:val="005D2B5F"/>
    <w:rsid w:val="005D2CFE"/>
    <w:rsid w:val="005D4F7F"/>
    <w:rsid w:val="005D6499"/>
    <w:rsid w:val="005D6A23"/>
    <w:rsid w:val="005D70D1"/>
    <w:rsid w:val="005D7F23"/>
    <w:rsid w:val="005E07F5"/>
    <w:rsid w:val="005E081B"/>
    <w:rsid w:val="005E09C6"/>
    <w:rsid w:val="005E1206"/>
    <w:rsid w:val="005E1F57"/>
    <w:rsid w:val="005E2EAC"/>
    <w:rsid w:val="005E32E8"/>
    <w:rsid w:val="005E3481"/>
    <w:rsid w:val="005E391C"/>
    <w:rsid w:val="005E408F"/>
    <w:rsid w:val="005E4697"/>
    <w:rsid w:val="005E690E"/>
    <w:rsid w:val="005E6AB5"/>
    <w:rsid w:val="005E72C4"/>
    <w:rsid w:val="005E774D"/>
    <w:rsid w:val="005E7C2C"/>
    <w:rsid w:val="005F0F49"/>
    <w:rsid w:val="005F1D28"/>
    <w:rsid w:val="005F21E9"/>
    <w:rsid w:val="005F3D43"/>
    <w:rsid w:val="005F4542"/>
    <w:rsid w:val="005F476A"/>
    <w:rsid w:val="005F52CB"/>
    <w:rsid w:val="005F5894"/>
    <w:rsid w:val="005F5CD8"/>
    <w:rsid w:val="005F626E"/>
    <w:rsid w:val="005F6FD3"/>
    <w:rsid w:val="005F7AB9"/>
    <w:rsid w:val="005F7C4F"/>
    <w:rsid w:val="0060054B"/>
    <w:rsid w:val="00600629"/>
    <w:rsid w:val="00600E2E"/>
    <w:rsid w:val="00601502"/>
    <w:rsid w:val="00601842"/>
    <w:rsid w:val="00601A59"/>
    <w:rsid w:val="00601F9F"/>
    <w:rsid w:val="006029DF"/>
    <w:rsid w:val="006036C2"/>
    <w:rsid w:val="0060476D"/>
    <w:rsid w:val="00604929"/>
    <w:rsid w:val="0060626A"/>
    <w:rsid w:val="00606621"/>
    <w:rsid w:val="0060740D"/>
    <w:rsid w:val="00607C29"/>
    <w:rsid w:val="00607DF9"/>
    <w:rsid w:val="00611499"/>
    <w:rsid w:val="00611E36"/>
    <w:rsid w:val="006120CE"/>
    <w:rsid w:val="00612817"/>
    <w:rsid w:val="00612EE1"/>
    <w:rsid w:val="00614039"/>
    <w:rsid w:val="00614BD8"/>
    <w:rsid w:val="00614D65"/>
    <w:rsid w:val="0061508A"/>
    <w:rsid w:val="00615E42"/>
    <w:rsid w:val="00616244"/>
    <w:rsid w:val="00616669"/>
    <w:rsid w:val="00616DDD"/>
    <w:rsid w:val="00616FC0"/>
    <w:rsid w:val="006172BA"/>
    <w:rsid w:val="00620A60"/>
    <w:rsid w:val="00620B19"/>
    <w:rsid w:val="006224E2"/>
    <w:rsid w:val="006229AC"/>
    <w:rsid w:val="00622D5C"/>
    <w:rsid w:val="006232FB"/>
    <w:rsid w:val="00624095"/>
    <w:rsid w:val="006247C8"/>
    <w:rsid w:val="00624CAA"/>
    <w:rsid w:val="00624E60"/>
    <w:rsid w:val="00625A5A"/>
    <w:rsid w:val="00627312"/>
    <w:rsid w:val="00631258"/>
    <w:rsid w:val="00632478"/>
    <w:rsid w:val="00632B71"/>
    <w:rsid w:val="006338F0"/>
    <w:rsid w:val="006344A4"/>
    <w:rsid w:val="006347B1"/>
    <w:rsid w:val="006354D9"/>
    <w:rsid w:val="006359D6"/>
    <w:rsid w:val="00635A5A"/>
    <w:rsid w:val="00635F91"/>
    <w:rsid w:val="0064059B"/>
    <w:rsid w:val="00640721"/>
    <w:rsid w:val="0064166E"/>
    <w:rsid w:val="0064265E"/>
    <w:rsid w:val="00643066"/>
    <w:rsid w:val="0064359C"/>
    <w:rsid w:val="00643BA6"/>
    <w:rsid w:val="00643F22"/>
    <w:rsid w:val="00644AAB"/>
    <w:rsid w:val="00644DB9"/>
    <w:rsid w:val="0064529C"/>
    <w:rsid w:val="0064576B"/>
    <w:rsid w:val="0064690E"/>
    <w:rsid w:val="00646A8B"/>
    <w:rsid w:val="00647FBD"/>
    <w:rsid w:val="00651317"/>
    <w:rsid w:val="006513E2"/>
    <w:rsid w:val="00651782"/>
    <w:rsid w:val="00652FB9"/>
    <w:rsid w:val="00653608"/>
    <w:rsid w:val="00653BF0"/>
    <w:rsid w:val="00654631"/>
    <w:rsid w:val="00655083"/>
    <w:rsid w:val="00655523"/>
    <w:rsid w:val="00655DC7"/>
    <w:rsid w:val="0065674E"/>
    <w:rsid w:val="006571D3"/>
    <w:rsid w:val="00660232"/>
    <w:rsid w:val="00660878"/>
    <w:rsid w:val="006634B7"/>
    <w:rsid w:val="00663636"/>
    <w:rsid w:val="00664261"/>
    <w:rsid w:val="00664886"/>
    <w:rsid w:val="00664C4C"/>
    <w:rsid w:val="00665688"/>
    <w:rsid w:val="00665FAF"/>
    <w:rsid w:val="006660F2"/>
    <w:rsid w:val="00666537"/>
    <w:rsid w:val="00666585"/>
    <w:rsid w:val="00666D33"/>
    <w:rsid w:val="0066783D"/>
    <w:rsid w:val="00670453"/>
    <w:rsid w:val="006704FA"/>
    <w:rsid w:val="00670DB7"/>
    <w:rsid w:val="00671D53"/>
    <w:rsid w:val="0067323F"/>
    <w:rsid w:val="00673A12"/>
    <w:rsid w:val="00674190"/>
    <w:rsid w:val="006746F2"/>
    <w:rsid w:val="0067479C"/>
    <w:rsid w:val="00675412"/>
    <w:rsid w:val="006755EE"/>
    <w:rsid w:val="00675BD8"/>
    <w:rsid w:val="00675E7E"/>
    <w:rsid w:val="006760E5"/>
    <w:rsid w:val="006761F9"/>
    <w:rsid w:val="006766FC"/>
    <w:rsid w:val="0067681A"/>
    <w:rsid w:val="00676B83"/>
    <w:rsid w:val="00676FE6"/>
    <w:rsid w:val="0067748D"/>
    <w:rsid w:val="006774A9"/>
    <w:rsid w:val="006778C8"/>
    <w:rsid w:val="00677C2D"/>
    <w:rsid w:val="00677E86"/>
    <w:rsid w:val="00677E97"/>
    <w:rsid w:val="006808DE"/>
    <w:rsid w:val="006813EA"/>
    <w:rsid w:val="0068146E"/>
    <w:rsid w:val="0068195D"/>
    <w:rsid w:val="006839B3"/>
    <w:rsid w:val="00683C46"/>
    <w:rsid w:val="00683DD2"/>
    <w:rsid w:val="00684A87"/>
    <w:rsid w:val="00684BAC"/>
    <w:rsid w:val="00684DC1"/>
    <w:rsid w:val="0068531F"/>
    <w:rsid w:val="0068595A"/>
    <w:rsid w:val="0068631C"/>
    <w:rsid w:val="0068661D"/>
    <w:rsid w:val="00687AC1"/>
    <w:rsid w:val="00690D2C"/>
    <w:rsid w:val="00690F13"/>
    <w:rsid w:val="0069121A"/>
    <w:rsid w:val="006913C2"/>
    <w:rsid w:val="00691AC1"/>
    <w:rsid w:val="006929CB"/>
    <w:rsid w:val="006937BF"/>
    <w:rsid w:val="00693D50"/>
    <w:rsid w:val="006941EF"/>
    <w:rsid w:val="0069434B"/>
    <w:rsid w:val="00694B02"/>
    <w:rsid w:val="00695FCC"/>
    <w:rsid w:val="00695FD9"/>
    <w:rsid w:val="00696199"/>
    <w:rsid w:val="00696658"/>
    <w:rsid w:val="00697A94"/>
    <w:rsid w:val="00697D38"/>
    <w:rsid w:val="006A0ABC"/>
    <w:rsid w:val="006A1681"/>
    <w:rsid w:val="006A19E5"/>
    <w:rsid w:val="006A1B93"/>
    <w:rsid w:val="006A2289"/>
    <w:rsid w:val="006A3705"/>
    <w:rsid w:val="006A3897"/>
    <w:rsid w:val="006A3F6F"/>
    <w:rsid w:val="006A44DB"/>
    <w:rsid w:val="006A4BB1"/>
    <w:rsid w:val="006A4CF9"/>
    <w:rsid w:val="006A543C"/>
    <w:rsid w:val="006A587F"/>
    <w:rsid w:val="006A5BDB"/>
    <w:rsid w:val="006A6237"/>
    <w:rsid w:val="006A6875"/>
    <w:rsid w:val="006A6DEC"/>
    <w:rsid w:val="006A6EAA"/>
    <w:rsid w:val="006A7205"/>
    <w:rsid w:val="006A73C0"/>
    <w:rsid w:val="006A7D49"/>
    <w:rsid w:val="006A7FC1"/>
    <w:rsid w:val="006B0261"/>
    <w:rsid w:val="006B0778"/>
    <w:rsid w:val="006B1753"/>
    <w:rsid w:val="006B28ED"/>
    <w:rsid w:val="006B2DD8"/>
    <w:rsid w:val="006B3160"/>
    <w:rsid w:val="006B3705"/>
    <w:rsid w:val="006B3E64"/>
    <w:rsid w:val="006B4663"/>
    <w:rsid w:val="006B467F"/>
    <w:rsid w:val="006B4F45"/>
    <w:rsid w:val="006B5D32"/>
    <w:rsid w:val="006B6036"/>
    <w:rsid w:val="006B70B1"/>
    <w:rsid w:val="006C1522"/>
    <w:rsid w:val="006C160E"/>
    <w:rsid w:val="006C1A1B"/>
    <w:rsid w:val="006C22EC"/>
    <w:rsid w:val="006C2F0A"/>
    <w:rsid w:val="006C3AE4"/>
    <w:rsid w:val="006C4218"/>
    <w:rsid w:val="006C4F04"/>
    <w:rsid w:val="006C5F12"/>
    <w:rsid w:val="006C729D"/>
    <w:rsid w:val="006C72A2"/>
    <w:rsid w:val="006C78A3"/>
    <w:rsid w:val="006D002D"/>
    <w:rsid w:val="006D0366"/>
    <w:rsid w:val="006D04CF"/>
    <w:rsid w:val="006D0905"/>
    <w:rsid w:val="006D0940"/>
    <w:rsid w:val="006D1C44"/>
    <w:rsid w:val="006D2363"/>
    <w:rsid w:val="006D250A"/>
    <w:rsid w:val="006D2CD1"/>
    <w:rsid w:val="006D35B1"/>
    <w:rsid w:val="006D3975"/>
    <w:rsid w:val="006D3E06"/>
    <w:rsid w:val="006D5317"/>
    <w:rsid w:val="006D56AD"/>
    <w:rsid w:val="006D5DA4"/>
    <w:rsid w:val="006D6200"/>
    <w:rsid w:val="006D62E3"/>
    <w:rsid w:val="006D6D04"/>
    <w:rsid w:val="006D7EBE"/>
    <w:rsid w:val="006E10C1"/>
    <w:rsid w:val="006E117C"/>
    <w:rsid w:val="006E1490"/>
    <w:rsid w:val="006E1F05"/>
    <w:rsid w:val="006E1FF6"/>
    <w:rsid w:val="006E27F5"/>
    <w:rsid w:val="006E2B9D"/>
    <w:rsid w:val="006E3D3D"/>
    <w:rsid w:val="006E473C"/>
    <w:rsid w:val="006E487F"/>
    <w:rsid w:val="006E4B0E"/>
    <w:rsid w:val="006E4DFA"/>
    <w:rsid w:val="006E4F1E"/>
    <w:rsid w:val="006E5632"/>
    <w:rsid w:val="006E73CA"/>
    <w:rsid w:val="006E796F"/>
    <w:rsid w:val="006E7E41"/>
    <w:rsid w:val="006F0DD3"/>
    <w:rsid w:val="006F0F3B"/>
    <w:rsid w:val="006F1BEA"/>
    <w:rsid w:val="006F1D36"/>
    <w:rsid w:val="006F2004"/>
    <w:rsid w:val="006F32E8"/>
    <w:rsid w:val="006F3650"/>
    <w:rsid w:val="006F4226"/>
    <w:rsid w:val="006F4997"/>
    <w:rsid w:val="006F49DF"/>
    <w:rsid w:val="006F586F"/>
    <w:rsid w:val="006F6A57"/>
    <w:rsid w:val="006F7271"/>
    <w:rsid w:val="006F7B81"/>
    <w:rsid w:val="00700437"/>
    <w:rsid w:val="00700840"/>
    <w:rsid w:val="00700B66"/>
    <w:rsid w:val="00700D0B"/>
    <w:rsid w:val="00700D30"/>
    <w:rsid w:val="007014A6"/>
    <w:rsid w:val="007024FC"/>
    <w:rsid w:val="007026CA"/>
    <w:rsid w:val="007026CB"/>
    <w:rsid w:val="00702763"/>
    <w:rsid w:val="00702CA0"/>
    <w:rsid w:val="00703825"/>
    <w:rsid w:val="007048F1"/>
    <w:rsid w:val="0070498A"/>
    <w:rsid w:val="00705CF1"/>
    <w:rsid w:val="00705D7E"/>
    <w:rsid w:val="007069C0"/>
    <w:rsid w:val="00706F2C"/>
    <w:rsid w:val="00710787"/>
    <w:rsid w:val="0071120A"/>
    <w:rsid w:val="007145BE"/>
    <w:rsid w:val="00715001"/>
    <w:rsid w:val="00715116"/>
    <w:rsid w:val="007163E1"/>
    <w:rsid w:val="00716D6E"/>
    <w:rsid w:val="007178E6"/>
    <w:rsid w:val="00717AE2"/>
    <w:rsid w:val="00720179"/>
    <w:rsid w:val="00720331"/>
    <w:rsid w:val="00720EE0"/>
    <w:rsid w:val="00721543"/>
    <w:rsid w:val="007215E2"/>
    <w:rsid w:val="00721986"/>
    <w:rsid w:val="00721D31"/>
    <w:rsid w:val="0072259A"/>
    <w:rsid w:val="00722FF6"/>
    <w:rsid w:val="007234EF"/>
    <w:rsid w:val="00723586"/>
    <w:rsid w:val="00723A16"/>
    <w:rsid w:val="00723C67"/>
    <w:rsid w:val="00724066"/>
    <w:rsid w:val="007247B9"/>
    <w:rsid w:val="007254CD"/>
    <w:rsid w:val="0072559F"/>
    <w:rsid w:val="00725883"/>
    <w:rsid w:val="00725FAB"/>
    <w:rsid w:val="00727A17"/>
    <w:rsid w:val="00727AD0"/>
    <w:rsid w:val="00727C68"/>
    <w:rsid w:val="00730543"/>
    <w:rsid w:val="0073133F"/>
    <w:rsid w:val="00732650"/>
    <w:rsid w:val="00733396"/>
    <w:rsid w:val="007339E3"/>
    <w:rsid w:val="00733DC4"/>
    <w:rsid w:val="00733E9A"/>
    <w:rsid w:val="007347B4"/>
    <w:rsid w:val="00734E20"/>
    <w:rsid w:val="0073521B"/>
    <w:rsid w:val="007353C3"/>
    <w:rsid w:val="00735635"/>
    <w:rsid w:val="007361CB"/>
    <w:rsid w:val="00736E02"/>
    <w:rsid w:val="00737061"/>
    <w:rsid w:val="007374E5"/>
    <w:rsid w:val="00740D8E"/>
    <w:rsid w:val="00740E78"/>
    <w:rsid w:val="007419DC"/>
    <w:rsid w:val="00741B5F"/>
    <w:rsid w:val="007422B0"/>
    <w:rsid w:val="007435EB"/>
    <w:rsid w:val="00743E09"/>
    <w:rsid w:val="00743E10"/>
    <w:rsid w:val="007445B8"/>
    <w:rsid w:val="00746AEE"/>
    <w:rsid w:val="007473A8"/>
    <w:rsid w:val="00747724"/>
    <w:rsid w:val="00752544"/>
    <w:rsid w:val="00752BBC"/>
    <w:rsid w:val="00752C6B"/>
    <w:rsid w:val="00752CEF"/>
    <w:rsid w:val="00753036"/>
    <w:rsid w:val="0075321A"/>
    <w:rsid w:val="0075386F"/>
    <w:rsid w:val="0075392C"/>
    <w:rsid w:val="007545F9"/>
    <w:rsid w:val="00754A06"/>
    <w:rsid w:val="00755C1F"/>
    <w:rsid w:val="00756660"/>
    <w:rsid w:val="0075696F"/>
    <w:rsid w:val="007570F6"/>
    <w:rsid w:val="0075720B"/>
    <w:rsid w:val="007577F1"/>
    <w:rsid w:val="00757D02"/>
    <w:rsid w:val="00761690"/>
    <w:rsid w:val="00762955"/>
    <w:rsid w:val="00762D5A"/>
    <w:rsid w:val="007630BE"/>
    <w:rsid w:val="00765001"/>
    <w:rsid w:val="007662B1"/>
    <w:rsid w:val="00766451"/>
    <w:rsid w:val="007669A8"/>
    <w:rsid w:val="00767372"/>
    <w:rsid w:val="00767A92"/>
    <w:rsid w:val="00767B86"/>
    <w:rsid w:val="00770285"/>
    <w:rsid w:val="0077073F"/>
    <w:rsid w:val="00771278"/>
    <w:rsid w:val="007718E2"/>
    <w:rsid w:val="00772011"/>
    <w:rsid w:val="0077232F"/>
    <w:rsid w:val="007732EB"/>
    <w:rsid w:val="007743C5"/>
    <w:rsid w:val="007752B1"/>
    <w:rsid w:val="007754CD"/>
    <w:rsid w:val="0077563D"/>
    <w:rsid w:val="00775B25"/>
    <w:rsid w:val="00775C00"/>
    <w:rsid w:val="0077606D"/>
    <w:rsid w:val="00776618"/>
    <w:rsid w:val="007769E5"/>
    <w:rsid w:val="00776C6D"/>
    <w:rsid w:val="007770FF"/>
    <w:rsid w:val="00777763"/>
    <w:rsid w:val="00777851"/>
    <w:rsid w:val="00777DA9"/>
    <w:rsid w:val="00780144"/>
    <w:rsid w:val="00780341"/>
    <w:rsid w:val="0078040F"/>
    <w:rsid w:val="00781978"/>
    <w:rsid w:val="00781C62"/>
    <w:rsid w:val="00781E9F"/>
    <w:rsid w:val="00782498"/>
    <w:rsid w:val="00782664"/>
    <w:rsid w:val="007828B7"/>
    <w:rsid w:val="007828DA"/>
    <w:rsid w:val="007833F1"/>
    <w:rsid w:val="00785A17"/>
    <w:rsid w:val="00785A24"/>
    <w:rsid w:val="007864B8"/>
    <w:rsid w:val="0078698B"/>
    <w:rsid w:val="00787733"/>
    <w:rsid w:val="0078775F"/>
    <w:rsid w:val="00787DA7"/>
    <w:rsid w:val="0079002B"/>
    <w:rsid w:val="00790710"/>
    <w:rsid w:val="007909FB"/>
    <w:rsid w:val="00790D96"/>
    <w:rsid w:val="007918DC"/>
    <w:rsid w:val="0079300F"/>
    <w:rsid w:val="007935AD"/>
    <w:rsid w:val="007939B0"/>
    <w:rsid w:val="00793C32"/>
    <w:rsid w:val="0079512B"/>
    <w:rsid w:val="00796319"/>
    <w:rsid w:val="0079679F"/>
    <w:rsid w:val="00796958"/>
    <w:rsid w:val="007979E9"/>
    <w:rsid w:val="007A086B"/>
    <w:rsid w:val="007A0DAD"/>
    <w:rsid w:val="007A1345"/>
    <w:rsid w:val="007A238A"/>
    <w:rsid w:val="007A23C3"/>
    <w:rsid w:val="007A295C"/>
    <w:rsid w:val="007A2A8F"/>
    <w:rsid w:val="007A2AD5"/>
    <w:rsid w:val="007A2D64"/>
    <w:rsid w:val="007A3A9B"/>
    <w:rsid w:val="007A4DE9"/>
    <w:rsid w:val="007A4F01"/>
    <w:rsid w:val="007A642F"/>
    <w:rsid w:val="007A6D86"/>
    <w:rsid w:val="007A755D"/>
    <w:rsid w:val="007A75F6"/>
    <w:rsid w:val="007B1076"/>
    <w:rsid w:val="007B15BC"/>
    <w:rsid w:val="007B206C"/>
    <w:rsid w:val="007B2609"/>
    <w:rsid w:val="007B276B"/>
    <w:rsid w:val="007B29E8"/>
    <w:rsid w:val="007B302E"/>
    <w:rsid w:val="007B3635"/>
    <w:rsid w:val="007B3656"/>
    <w:rsid w:val="007B3C8B"/>
    <w:rsid w:val="007B559F"/>
    <w:rsid w:val="007B577C"/>
    <w:rsid w:val="007B5E25"/>
    <w:rsid w:val="007B5F01"/>
    <w:rsid w:val="007B6F89"/>
    <w:rsid w:val="007B7542"/>
    <w:rsid w:val="007B773E"/>
    <w:rsid w:val="007B7C99"/>
    <w:rsid w:val="007C09AE"/>
    <w:rsid w:val="007C09EC"/>
    <w:rsid w:val="007C0BF5"/>
    <w:rsid w:val="007C2C12"/>
    <w:rsid w:val="007C3E3F"/>
    <w:rsid w:val="007C3F5E"/>
    <w:rsid w:val="007C3F75"/>
    <w:rsid w:val="007C5A0A"/>
    <w:rsid w:val="007C5DC6"/>
    <w:rsid w:val="007C5DCA"/>
    <w:rsid w:val="007C6056"/>
    <w:rsid w:val="007C6240"/>
    <w:rsid w:val="007C6447"/>
    <w:rsid w:val="007C7305"/>
    <w:rsid w:val="007C7605"/>
    <w:rsid w:val="007D0389"/>
    <w:rsid w:val="007D16AD"/>
    <w:rsid w:val="007D2209"/>
    <w:rsid w:val="007D3CAA"/>
    <w:rsid w:val="007D4549"/>
    <w:rsid w:val="007D46F9"/>
    <w:rsid w:val="007D4896"/>
    <w:rsid w:val="007D489D"/>
    <w:rsid w:val="007D5536"/>
    <w:rsid w:val="007D5ACD"/>
    <w:rsid w:val="007D5C05"/>
    <w:rsid w:val="007D60D8"/>
    <w:rsid w:val="007D6190"/>
    <w:rsid w:val="007D676A"/>
    <w:rsid w:val="007D6F2B"/>
    <w:rsid w:val="007D6F74"/>
    <w:rsid w:val="007D7362"/>
    <w:rsid w:val="007D7917"/>
    <w:rsid w:val="007D7B81"/>
    <w:rsid w:val="007E0F3D"/>
    <w:rsid w:val="007E23D0"/>
    <w:rsid w:val="007E287A"/>
    <w:rsid w:val="007E3082"/>
    <w:rsid w:val="007E38C9"/>
    <w:rsid w:val="007E46B7"/>
    <w:rsid w:val="007E4B77"/>
    <w:rsid w:val="007E4C95"/>
    <w:rsid w:val="007E537F"/>
    <w:rsid w:val="007E6991"/>
    <w:rsid w:val="007E6AC6"/>
    <w:rsid w:val="007E6AC7"/>
    <w:rsid w:val="007E6E89"/>
    <w:rsid w:val="007E7C23"/>
    <w:rsid w:val="007E7FF2"/>
    <w:rsid w:val="007F000C"/>
    <w:rsid w:val="007F198D"/>
    <w:rsid w:val="007F1D4A"/>
    <w:rsid w:val="007F33F3"/>
    <w:rsid w:val="007F3444"/>
    <w:rsid w:val="007F3561"/>
    <w:rsid w:val="007F39C6"/>
    <w:rsid w:val="007F3CB4"/>
    <w:rsid w:val="007F3CC5"/>
    <w:rsid w:val="007F42E8"/>
    <w:rsid w:val="007F47E6"/>
    <w:rsid w:val="007F4887"/>
    <w:rsid w:val="007F49CA"/>
    <w:rsid w:val="007F4A4C"/>
    <w:rsid w:val="007F6341"/>
    <w:rsid w:val="007F71C8"/>
    <w:rsid w:val="007F73C2"/>
    <w:rsid w:val="007F7401"/>
    <w:rsid w:val="007F76CD"/>
    <w:rsid w:val="0080040C"/>
    <w:rsid w:val="0080079A"/>
    <w:rsid w:val="008008E2"/>
    <w:rsid w:val="00800A95"/>
    <w:rsid w:val="00800B5A"/>
    <w:rsid w:val="00800E5C"/>
    <w:rsid w:val="00801711"/>
    <w:rsid w:val="00801987"/>
    <w:rsid w:val="00802E06"/>
    <w:rsid w:val="0080324C"/>
    <w:rsid w:val="008037DF"/>
    <w:rsid w:val="00803F1F"/>
    <w:rsid w:val="00803FE8"/>
    <w:rsid w:val="008040F8"/>
    <w:rsid w:val="008044EE"/>
    <w:rsid w:val="0080481C"/>
    <w:rsid w:val="00804E3C"/>
    <w:rsid w:val="00805278"/>
    <w:rsid w:val="0080554C"/>
    <w:rsid w:val="00805877"/>
    <w:rsid w:val="008059C6"/>
    <w:rsid w:val="00805DB5"/>
    <w:rsid w:val="008065D2"/>
    <w:rsid w:val="008069C7"/>
    <w:rsid w:val="00806FD6"/>
    <w:rsid w:val="00807E2A"/>
    <w:rsid w:val="00810018"/>
    <w:rsid w:val="00810DB4"/>
    <w:rsid w:val="00811217"/>
    <w:rsid w:val="0081188E"/>
    <w:rsid w:val="0081198D"/>
    <w:rsid w:val="00811A33"/>
    <w:rsid w:val="00811CEA"/>
    <w:rsid w:val="0081208F"/>
    <w:rsid w:val="008126F3"/>
    <w:rsid w:val="00813D46"/>
    <w:rsid w:val="008165AF"/>
    <w:rsid w:val="0081688E"/>
    <w:rsid w:val="00817240"/>
    <w:rsid w:val="00820647"/>
    <w:rsid w:val="008222B6"/>
    <w:rsid w:val="008222EE"/>
    <w:rsid w:val="00822364"/>
    <w:rsid w:val="00822AA5"/>
    <w:rsid w:val="00822AD6"/>
    <w:rsid w:val="00822BA1"/>
    <w:rsid w:val="00824371"/>
    <w:rsid w:val="00824A50"/>
    <w:rsid w:val="00824CFB"/>
    <w:rsid w:val="00824D22"/>
    <w:rsid w:val="008255D4"/>
    <w:rsid w:val="00825B07"/>
    <w:rsid w:val="00826148"/>
    <w:rsid w:val="00826518"/>
    <w:rsid w:val="0083103D"/>
    <w:rsid w:val="0083110E"/>
    <w:rsid w:val="00831688"/>
    <w:rsid w:val="00831727"/>
    <w:rsid w:val="00832368"/>
    <w:rsid w:val="008329B5"/>
    <w:rsid w:val="00832BB6"/>
    <w:rsid w:val="00832E1E"/>
    <w:rsid w:val="00833377"/>
    <w:rsid w:val="008336DF"/>
    <w:rsid w:val="00833B8C"/>
    <w:rsid w:val="00834477"/>
    <w:rsid w:val="008349B9"/>
    <w:rsid w:val="00834CAA"/>
    <w:rsid w:val="0083505A"/>
    <w:rsid w:val="00835307"/>
    <w:rsid w:val="00836039"/>
    <w:rsid w:val="00836C2B"/>
    <w:rsid w:val="00836DB3"/>
    <w:rsid w:val="008400D1"/>
    <w:rsid w:val="008404E9"/>
    <w:rsid w:val="00840C89"/>
    <w:rsid w:val="008412EB"/>
    <w:rsid w:val="00841804"/>
    <w:rsid w:val="00843282"/>
    <w:rsid w:val="00843845"/>
    <w:rsid w:val="00845413"/>
    <w:rsid w:val="008457D1"/>
    <w:rsid w:val="00845FAF"/>
    <w:rsid w:val="008467AE"/>
    <w:rsid w:val="00847255"/>
    <w:rsid w:val="00847F87"/>
    <w:rsid w:val="00850551"/>
    <w:rsid w:val="008518E3"/>
    <w:rsid w:val="00851B51"/>
    <w:rsid w:val="008526C9"/>
    <w:rsid w:val="008528C4"/>
    <w:rsid w:val="00852992"/>
    <w:rsid w:val="00852CB2"/>
    <w:rsid w:val="00853A59"/>
    <w:rsid w:val="00854622"/>
    <w:rsid w:val="00854BE1"/>
    <w:rsid w:val="00856846"/>
    <w:rsid w:val="008572D1"/>
    <w:rsid w:val="008577BB"/>
    <w:rsid w:val="008579F7"/>
    <w:rsid w:val="00857E88"/>
    <w:rsid w:val="00860AA6"/>
    <w:rsid w:val="008616CE"/>
    <w:rsid w:val="008621DA"/>
    <w:rsid w:val="00862DB3"/>
    <w:rsid w:val="00862F7B"/>
    <w:rsid w:val="00863296"/>
    <w:rsid w:val="00863A0D"/>
    <w:rsid w:val="00864031"/>
    <w:rsid w:val="008640BE"/>
    <w:rsid w:val="0086454E"/>
    <w:rsid w:val="00864A79"/>
    <w:rsid w:val="00864B84"/>
    <w:rsid w:val="00865B4A"/>
    <w:rsid w:val="00865D0E"/>
    <w:rsid w:val="0086668D"/>
    <w:rsid w:val="008666E4"/>
    <w:rsid w:val="00866BFC"/>
    <w:rsid w:val="00866E69"/>
    <w:rsid w:val="00867588"/>
    <w:rsid w:val="008704DD"/>
    <w:rsid w:val="00870505"/>
    <w:rsid w:val="008723CB"/>
    <w:rsid w:val="0087281E"/>
    <w:rsid w:val="008728F9"/>
    <w:rsid w:val="00872CBA"/>
    <w:rsid w:val="008732CF"/>
    <w:rsid w:val="00873343"/>
    <w:rsid w:val="0087416C"/>
    <w:rsid w:val="008741BE"/>
    <w:rsid w:val="008742B7"/>
    <w:rsid w:val="0087487B"/>
    <w:rsid w:val="0087529F"/>
    <w:rsid w:val="008754CB"/>
    <w:rsid w:val="00875E18"/>
    <w:rsid w:val="00875FF3"/>
    <w:rsid w:val="008764EC"/>
    <w:rsid w:val="008778F9"/>
    <w:rsid w:val="00877AF3"/>
    <w:rsid w:val="00877CE0"/>
    <w:rsid w:val="00880291"/>
    <w:rsid w:val="00880B3B"/>
    <w:rsid w:val="008810D8"/>
    <w:rsid w:val="008812C6"/>
    <w:rsid w:val="008814E2"/>
    <w:rsid w:val="008825F9"/>
    <w:rsid w:val="008826CC"/>
    <w:rsid w:val="00882818"/>
    <w:rsid w:val="00882AE4"/>
    <w:rsid w:val="00882F31"/>
    <w:rsid w:val="0088323B"/>
    <w:rsid w:val="00883903"/>
    <w:rsid w:val="008842C5"/>
    <w:rsid w:val="00884C97"/>
    <w:rsid w:val="00886298"/>
    <w:rsid w:val="008868B7"/>
    <w:rsid w:val="00886B21"/>
    <w:rsid w:val="008872A1"/>
    <w:rsid w:val="00890216"/>
    <w:rsid w:val="0089039A"/>
    <w:rsid w:val="00890758"/>
    <w:rsid w:val="00890ADA"/>
    <w:rsid w:val="00890EDD"/>
    <w:rsid w:val="008920A0"/>
    <w:rsid w:val="00892351"/>
    <w:rsid w:val="008928B6"/>
    <w:rsid w:val="00892B17"/>
    <w:rsid w:val="008930A0"/>
    <w:rsid w:val="00893EBA"/>
    <w:rsid w:val="00894311"/>
    <w:rsid w:val="00894B60"/>
    <w:rsid w:val="0089505B"/>
    <w:rsid w:val="008952D6"/>
    <w:rsid w:val="00895D42"/>
    <w:rsid w:val="00896800"/>
    <w:rsid w:val="00896AF9"/>
    <w:rsid w:val="0089748B"/>
    <w:rsid w:val="008976C3"/>
    <w:rsid w:val="00897BCF"/>
    <w:rsid w:val="008A088A"/>
    <w:rsid w:val="008A0C39"/>
    <w:rsid w:val="008A0E46"/>
    <w:rsid w:val="008A10CE"/>
    <w:rsid w:val="008A15C2"/>
    <w:rsid w:val="008A19FD"/>
    <w:rsid w:val="008A1D3F"/>
    <w:rsid w:val="008A231F"/>
    <w:rsid w:val="008A2DAE"/>
    <w:rsid w:val="008A2E71"/>
    <w:rsid w:val="008A2FAA"/>
    <w:rsid w:val="008A3627"/>
    <w:rsid w:val="008A369B"/>
    <w:rsid w:val="008A42B4"/>
    <w:rsid w:val="008A49D6"/>
    <w:rsid w:val="008A5CD3"/>
    <w:rsid w:val="008A5E40"/>
    <w:rsid w:val="008A619A"/>
    <w:rsid w:val="008A7806"/>
    <w:rsid w:val="008A7FD5"/>
    <w:rsid w:val="008B0D65"/>
    <w:rsid w:val="008B0EC1"/>
    <w:rsid w:val="008B0F3C"/>
    <w:rsid w:val="008B1C2B"/>
    <w:rsid w:val="008B23E1"/>
    <w:rsid w:val="008B2660"/>
    <w:rsid w:val="008B2ABE"/>
    <w:rsid w:val="008B34FE"/>
    <w:rsid w:val="008B35CE"/>
    <w:rsid w:val="008B395D"/>
    <w:rsid w:val="008B3C5E"/>
    <w:rsid w:val="008B4042"/>
    <w:rsid w:val="008B4844"/>
    <w:rsid w:val="008B5278"/>
    <w:rsid w:val="008B5622"/>
    <w:rsid w:val="008B5CB4"/>
    <w:rsid w:val="008B5CBF"/>
    <w:rsid w:val="008B5D1C"/>
    <w:rsid w:val="008B5F5A"/>
    <w:rsid w:val="008B603D"/>
    <w:rsid w:val="008B6AED"/>
    <w:rsid w:val="008B6D54"/>
    <w:rsid w:val="008B7626"/>
    <w:rsid w:val="008C01AC"/>
    <w:rsid w:val="008C0358"/>
    <w:rsid w:val="008C03CC"/>
    <w:rsid w:val="008C0685"/>
    <w:rsid w:val="008C0A74"/>
    <w:rsid w:val="008C18C8"/>
    <w:rsid w:val="008C1DA2"/>
    <w:rsid w:val="008C2E13"/>
    <w:rsid w:val="008C330A"/>
    <w:rsid w:val="008C3A8A"/>
    <w:rsid w:val="008C3E42"/>
    <w:rsid w:val="008C40CF"/>
    <w:rsid w:val="008C466D"/>
    <w:rsid w:val="008C4D97"/>
    <w:rsid w:val="008C5A5B"/>
    <w:rsid w:val="008C5A7C"/>
    <w:rsid w:val="008C5FC4"/>
    <w:rsid w:val="008D0886"/>
    <w:rsid w:val="008D0C6B"/>
    <w:rsid w:val="008D1679"/>
    <w:rsid w:val="008D2413"/>
    <w:rsid w:val="008D2672"/>
    <w:rsid w:val="008D33AA"/>
    <w:rsid w:val="008D3556"/>
    <w:rsid w:val="008D3E6D"/>
    <w:rsid w:val="008D4156"/>
    <w:rsid w:val="008D42D4"/>
    <w:rsid w:val="008D4CA8"/>
    <w:rsid w:val="008D511B"/>
    <w:rsid w:val="008D55CA"/>
    <w:rsid w:val="008D5628"/>
    <w:rsid w:val="008D6AAB"/>
    <w:rsid w:val="008D6D8E"/>
    <w:rsid w:val="008D7119"/>
    <w:rsid w:val="008D7224"/>
    <w:rsid w:val="008D7DA4"/>
    <w:rsid w:val="008D7EF0"/>
    <w:rsid w:val="008D7F04"/>
    <w:rsid w:val="008E03AA"/>
    <w:rsid w:val="008E0C55"/>
    <w:rsid w:val="008E1524"/>
    <w:rsid w:val="008E1AE1"/>
    <w:rsid w:val="008E1BBE"/>
    <w:rsid w:val="008E3090"/>
    <w:rsid w:val="008E34CA"/>
    <w:rsid w:val="008E39F1"/>
    <w:rsid w:val="008E446E"/>
    <w:rsid w:val="008E60A0"/>
    <w:rsid w:val="008E6724"/>
    <w:rsid w:val="008E744A"/>
    <w:rsid w:val="008E7FD8"/>
    <w:rsid w:val="008F00CD"/>
    <w:rsid w:val="008F037A"/>
    <w:rsid w:val="008F143D"/>
    <w:rsid w:val="008F157F"/>
    <w:rsid w:val="008F15CE"/>
    <w:rsid w:val="008F1D2F"/>
    <w:rsid w:val="008F2018"/>
    <w:rsid w:val="008F2309"/>
    <w:rsid w:val="008F2779"/>
    <w:rsid w:val="008F458A"/>
    <w:rsid w:val="008F6448"/>
    <w:rsid w:val="008F7130"/>
    <w:rsid w:val="008F7630"/>
    <w:rsid w:val="008F7635"/>
    <w:rsid w:val="008F7B47"/>
    <w:rsid w:val="00900973"/>
    <w:rsid w:val="009020EF"/>
    <w:rsid w:val="009022EC"/>
    <w:rsid w:val="00902371"/>
    <w:rsid w:val="00903766"/>
    <w:rsid w:val="009039B7"/>
    <w:rsid w:val="00903A45"/>
    <w:rsid w:val="00904014"/>
    <w:rsid w:val="00904F8E"/>
    <w:rsid w:val="00904FC0"/>
    <w:rsid w:val="009052D1"/>
    <w:rsid w:val="00905CD4"/>
    <w:rsid w:val="00905F9B"/>
    <w:rsid w:val="00906BFE"/>
    <w:rsid w:val="00907041"/>
    <w:rsid w:val="009073CE"/>
    <w:rsid w:val="0090796B"/>
    <w:rsid w:val="009104FB"/>
    <w:rsid w:val="0091063E"/>
    <w:rsid w:val="00910DF1"/>
    <w:rsid w:val="00911729"/>
    <w:rsid w:val="009127DD"/>
    <w:rsid w:val="009136D1"/>
    <w:rsid w:val="009139E7"/>
    <w:rsid w:val="00913B69"/>
    <w:rsid w:val="00914F98"/>
    <w:rsid w:val="009158DD"/>
    <w:rsid w:val="00915935"/>
    <w:rsid w:val="00915C41"/>
    <w:rsid w:val="00915D7E"/>
    <w:rsid w:val="00915FD4"/>
    <w:rsid w:val="00916074"/>
    <w:rsid w:val="009169F3"/>
    <w:rsid w:val="00917035"/>
    <w:rsid w:val="009207FA"/>
    <w:rsid w:val="00920F27"/>
    <w:rsid w:val="0092111B"/>
    <w:rsid w:val="00921796"/>
    <w:rsid w:val="00922B38"/>
    <w:rsid w:val="009234D1"/>
    <w:rsid w:val="00923CA3"/>
    <w:rsid w:val="00925431"/>
    <w:rsid w:val="009256F2"/>
    <w:rsid w:val="00925928"/>
    <w:rsid w:val="00927E35"/>
    <w:rsid w:val="00931B34"/>
    <w:rsid w:val="00933059"/>
    <w:rsid w:val="00934558"/>
    <w:rsid w:val="0093521B"/>
    <w:rsid w:val="00935FEE"/>
    <w:rsid w:val="00940615"/>
    <w:rsid w:val="00941C23"/>
    <w:rsid w:val="0094252E"/>
    <w:rsid w:val="009425B3"/>
    <w:rsid w:val="009427AD"/>
    <w:rsid w:val="0094285A"/>
    <w:rsid w:val="00942B34"/>
    <w:rsid w:val="00943105"/>
    <w:rsid w:val="00943340"/>
    <w:rsid w:val="009434C6"/>
    <w:rsid w:val="00943BB5"/>
    <w:rsid w:val="009445DC"/>
    <w:rsid w:val="00944AC3"/>
    <w:rsid w:val="00944D25"/>
    <w:rsid w:val="00945257"/>
    <w:rsid w:val="00945358"/>
    <w:rsid w:val="009456EB"/>
    <w:rsid w:val="0094579F"/>
    <w:rsid w:val="009457A8"/>
    <w:rsid w:val="0094624A"/>
    <w:rsid w:val="0094633E"/>
    <w:rsid w:val="00946641"/>
    <w:rsid w:val="00946844"/>
    <w:rsid w:val="0094740F"/>
    <w:rsid w:val="009500B0"/>
    <w:rsid w:val="00950714"/>
    <w:rsid w:val="009508E5"/>
    <w:rsid w:val="00950AE6"/>
    <w:rsid w:val="009514A3"/>
    <w:rsid w:val="00953094"/>
    <w:rsid w:val="0095327F"/>
    <w:rsid w:val="00953AC1"/>
    <w:rsid w:val="00953FA6"/>
    <w:rsid w:val="009562E1"/>
    <w:rsid w:val="00956893"/>
    <w:rsid w:val="00957FA7"/>
    <w:rsid w:val="00957FF9"/>
    <w:rsid w:val="00960BB7"/>
    <w:rsid w:val="00961688"/>
    <w:rsid w:val="00961FC8"/>
    <w:rsid w:val="00962654"/>
    <w:rsid w:val="00962D87"/>
    <w:rsid w:val="00962DDF"/>
    <w:rsid w:val="00962E6B"/>
    <w:rsid w:val="00963DBA"/>
    <w:rsid w:val="00964715"/>
    <w:rsid w:val="00964B2B"/>
    <w:rsid w:val="00965829"/>
    <w:rsid w:val="009678B0"/>
    <w:rsid w:val="009705FA"/>
    <w:rsid w:val="00970945"/>
    <w:rsid w:val="00970A30"/>
    <w:rsid w:val="00970EF1"/>
    <w:rsid w:val="00972B49"/>
    <w:rsid w:val="00973140"/>
    <w:rsid w:val="009736EB"/>
    <w:rsid w:val="00973EFC"/>
    <w:rsid w:val="00974370"/>
    <w:rsid w:val="0097459C"/>
    <w:rsid w:val="009747FF"/>
    <w:rsid w:val="00974DF8"/>
    <w:rsid w:val="00974FF4"/>
    <w:rsid w:val="009758C4"/>
    <w:rsid w:val="00975C37"/>
    <w:rsid w:val="009763EE"/>
    <w:rsid w:val="0097669D"/>
    <w:rsid w:val="00977485"/>
    <w:rsid w:val="0097786E"/>
    <w:rsid w:val="00977BA8"/>
    <w:rsid w:val="0098067F"/>
    <w:rsid w:val="009809D6"/>
    <w:rsid w:val="0098103A"/>
    <w:rsid w:val="009811E4"/>
    <w:rsid w:val="009828DC"/>
    <w:rsid w:val="009830D5"/>
    <w:rsid w:val="009841D6"/>
    <w:rsid w:val="00984672"/>
    <w:rsid w:val="00984BDC"/>
    <w:rsid w:val="00984E1F"/>
    <w:rsid w:val="0098549D"/>
    <w:rsid w:val="00985837"/>
    <w:rsid w:val="00985982"/>
    <w:rsid w:val="00986D24"/>
    <w:rsid w:val="00986F6B"/>
    <w:rsid w:val="00986FFA"/>
    <w:rsid w:val="00987558"/>
    <w:rsid w:val="00987FD0"/>
    <w:rsid w:val="00990D72"/>
    <w:rsid w:val="0099132B"/>
    <w:rsid w:val="009928E4"/>
    <w:rsid w:val="009934C9"/>
    <w:rsid w:val="00993886"/>
    <w:rsid w:val="00993F2D"/>
    <w:rsid w:val="009958E9"/>
    <w:rsid w:val="009958FE"/>
    <w:rsid w:val="00996799"/>
    <w:rsid w:val="00997338"/>
    <w:rsid w:val="00997BF8"/>
    <w:rsid w:val="009A12D4"/>
    <w:rsid w:val="009A17A0"/>
    <w:rsid w:val="009A1945"/>
    <w:rsid w:val="009A1A6D"/>
    <w:rsid w:val="009A1B55"/>
    <w:rsid w:val="009A1C06"/>
    <w:rsid w:val="009A2349"/>
    <w:rsid w:val="009A2B87"/>
    <w:rsid w:val="009A4367"/>
    <w:rsid w:val="009A4478"/>
    <w:rsid w:val="009A4752"/>
    <w:rsid w:val="009A4B40"/>
    <w:rsid w:val="009A4FFE"/>
    <w:rsid w:val="009A63A2"/>
    <w:rsid w:val="009A6A2E"/>
    <w:rsid w:val="009A7217"/>
    <w:rsid w:val="009A734E"/>
    <w:rsid w:val="009A766C"/>
    <w:rsid w:val="009A783B"/>
    <w:rsid w:val="009A7C18"/>
    <w:rsid w:val="009B029E"/>
    <w:rsid w:val="009B034C"/>
    <w:rsid w:val="009B064C"/>
    <w:rsid w:val="009B073F"/>
    <w:rsid w:val="009B0939"/>
    <w:rsid w:val="009B0C7B"/>
    <w:rsid w:val="009B1336"/>
    <w:rsid w:val="009B17FE"/>
    <w:rsid w:val="009B1B43"/>
    <w:rsid w:val="009B1FFB"/>
    <w:rsid w:val="009B276A"/>
    <w:rsid w:val="009B2A83"/>
    <w:rsid w:val="009B317F"/>
    <w:rsid w:val="009B3544"/>
    <w:rsid w:val="009B3F42"/>
    <w:rsid w:val="009B4D11"/>
    <w:rsid w:val="009B5A79"/>
    <w:rsid w:val="009B5FD0"/>
    <w:rsid w:val="009B6972"/>
    <w:rsid w:val="009B7EEB"/>
    <w:rsid w:val="009C013D"/>
    <w:rsid w:val="009C019A"/>
    <w:rsid w:val="009C113E"/>
    <w:rsid w:val="009C140B"/>
    <w:rsid w:val="009C22D5"/>
    <w:rsid w:val="009C2C63"/>
    <w:rsid w:val="009C3075"/>
    <w:rsid w:val="009C4565"/>
    <w:rsid w:val="009C4A7D"/>
    <w:rsid w:val="009C536D"/>
    <w:rsid w:val="009C590C"/>
    <w:rsid w:val="009C59BF"/>
    <w:rsid w:val="009C6037"/>
    <w:rsid w:val="009C6EA8"/>
    <w:rsid w:val="009C7425"/>
    <w:rsid w:val="009D044D"/>
    <w:rsid w:val="009D0FBE"/>
    <w:rsid w:val="009D321D"/>
    <w:rsid w:val="009D3699"/>
    <w:rsid w:val="009D3D1C"/>
    <w:rsid w:val="009D526A"/>
    <w:rsid w:val="009D5DC5"/>
    <w:rsid w:val="009D62EF"/>
    <w:rsid w:val="009D6C05"/>
    <w:rsid w:val="009D78F2"/>
    <w:rsid w:val="009E088A"/>
    <w:rsid w:val="009E08F1"/>
    <w:rsid w:val="009E0ABA"/>
    <w:rsid w:val="009E1BAF"/>
    <w:rsid w:val="009E1D20"/>
    <w:rsid w:val="009E2459"/>
    <w:rsid w:val="009E27B7"/>
    <w:rsid w:val="009E313C"/>
    <w:rsid w:val="009E3305"/>
    <w:rsid w:val="009E3C08"/>
    <w:rsid w:val="009E3CD2"/>
    <w:rsid w:val="009E4CA7"/>
    <w:rsid w:val="009E57C9"/>
    <w:rsid w:val="009E59CD"/>
    <w:rsid w:val="009E5EDC"/>
    <w:rsid w:val="009E5F87"/>
    <w:rsid w:val="009E60A9"/>
    <w:rsid w:val="009E66A1"/>
    <w:rsid w:val="009E6ED7"/>
    <w:rsid w:val="009E6FE0"/>
    <w:rsid w:val="009F01D6"/>
    <w:rsid w:val="009F0463"/>
    <w:rsid w:val="009F0E63"/>
    <w:rsid w:val="009F2973"/>
    <w:rsid w:val="009F29EA"/>
    <w:rsid w:val="009F2CA7"/>
    <w:rsid w:val="009F3975"/>
    <w:rsid w:val="009F3F76"/>
    <w:rsid w:val="009F43EB"/>
    <w:rsid w:val="009F4D29"/>
    <w:rsid w:val="009F4EF4"/>
    <w:rsid w:val="009F5821"/>
    <w:rsid w:val="009F5A8F"/>
    <w:rsid w:val="009F67A4"/>
    <w:rsid w:val="009F67F3"/>
    <w:rsid w:val="009F695A"/>
    <w:rsid w:val="009F6B65"/>
    <w:rsid w:val="009F7624"/>
    <w:rsid w:val="009F7F50"/>
    <w:rsid w:val="00A0089E"/>
    <w:rsid w:val="00A00AFD"/>
    <w:rsid w:val="00A015C7"/>
    <w:rsid w:val="00A0242E"/>
    <w:rsid w:val="00A024D2"/>
    <w:rsid w:val="00A02723"/>
    <w:rsid w:val="00A0292F"/>
    <w:rsid w:val="00A043B6"/>
    <w:rsid w:val="00A04433"/>
    <w:rsid w:val="00A0533D"/>
    <w:rsid w:val="00A056A8"/>
    <w:rsid w:val="00A05AF7"/>
    <w:rsid w:val="00A0637A"/>
    <w:rsid w:val="00A06788"/>
    <w:rsid w:val="00A06EDD"/>
    <w:rsid w:val="00A07025"/>
    <w:rsid w:val="00A0711D"/>
    <w:rsid w:val="00A0730E"/>
    <w:rsid w:val="00A074EE"/>
    <w:rsid w:val="00A07DCF"/>
    <w:rsid w:val="00A102F2"/>
    <w:rsid w:val="00A1090C"/>
    <w:rsid w:val="00A10A8A"/>
    <w:rsid w:val="00A10B0D"/>
    <w:rsid w:val="00A10D47"/>
    <w:rsid w:val="00A10DB2"/>
    <w:rsid w:val="00A11786"/>
    <w:rsid w:val="00A11EA7"/>
    <w:rsid w:val="00A121E3"/>
    <w:rsid w:val="00A125AF"/>
    <w:rsid w:val="00A12A8C"/>
    <w:rsid w:val="00A130E9"/>
    <w:rsid w:val="00A143EF"/>
    <w:rsid w:val="00A147CD"/>
    <w:rsid w:val="00A15313"/>
    <w:rsid w:val="00A155EC"/>
    <w:rsid w:val="00A1574E"/>
    <w:rsid w:val="00A15761"/>
    <w:rsid w:val="00A16793"/>
    <w:rsid w:val="00A20B4A"/>
    <w:rsid w:val="00A20F45"/>
    <w:rsid w:val="00A2111B"/>
    <w:rsid w:val="00A2143E"/>
    <w:rsid w:val="00A2161F"/>
    <w:rsid w:val="00A225EC"/>
    <w:rsid w:val="00A23E2F"/>
    <w:rsid w:val="00A24314"/>
    <w:rsid w:val="00A247F0"/>
    <w:rsid w:val="00A2561B"/>
    <w:rsid w:val="00A2562A"/>
    <w:rsid w:val="00A256BF"/>
    <w:rsid w:val="00A25CF6"/>
    <w:rsid w:val="00A25E16"/>
    <w:rsid w:val="00A26663"/>
    <w:rsid w:val="00A26A1D"/>
    <w:rsid w:val="00A26FC4"/>
    <w:rsid w:val="00A275EB"/>
    <w:rsid w:val="00A2789B"/>
    <w:rsid w:val="00A27C72"/>
    <w:rsid w:val="00A27F88"/>
    <w:rsid w:val="00A3005D"/>
    <w:rsid w:val="00A32014"/>
    <w:rsid w:val="00A32CCF"/>
    <w:rsid w:val="00A33875"/>
    <w:rsid w:val="00A3392B"/>
    <w:rsid w:val="00A3395C"/>
    <w:rsid w:val="00A34677"/>
    <w:rsid w:val="00A34EE8"/>
    <w:rsid w:val="00A353F8"/>
    <w:rsid w:val="00A375D1"/>
    <w:rsid w:val="00A3784A"/>
    <w:rsid w:val="00A37C7B"/>
    <w:rsid w:val="00A404A1"/>
    <w:rsid w:val="00A40809"/>
    <w:rsid w:val="00A40868"/>
    <w:rsid w:val="00A40CA6"/>
    <w:rsid w:val="00A41317"/>
    <w:rsid w:val="00A41E75"/>
    <w:rsid w:val="00A42E45"/>
    <w:rsid w:val="00A430BE"/>
    <w:rsid w:val="00A43DDF"/>
    <w:rsid w:val="00A446D0"/>
    <w:rsid w:val="00A44EC8"/>
    <w:rsid w:val="00A46332"/>
    <w:rsid w:val="00A50885"/>
    <w:rsid w:val="00A50C39"/>
    <w:rsid w:val="00A50E5D"/>
    <w:rsid w:val="00A50EB7"/>
    <w:rsid w:val="00A51050"/>
    <w:rsid w:val="00A511F2"/>
    <w:rsid w:val="00A52111"/>
    <w:rsid w:val="00A52EC1"/>
    <w:rsid w:val="00A54158"/>
    <w:rsid w:val="00A5446A"/>
    <w:rsid w:val="00A54E61"/>
    <w:rsid w:val="00A54F6B"/>
    <w:rsid w:val="00A555A5"/>
    <w:rsid w:val="00A55C6B"/>
    <w:rsid w:val="00A55EDE"/>
    <w:rsid w:val="00A56331"/>
    <w:rsid w:val="00A5663A"/>
    <w:rsid w:val="00A570AF"/>
    <w:rsid w:val="00A5722F"/>
    <w:rsid w:val="00A60487"/>
    <w:rsid w:val="00A608EB"/>
    <w:rsid w:val="00A609EC"/>
    <w:rsid w:val="00A613E4"/>
    <w:rsid w:val="00A61C6A"/>
    <w:rsid w:val="00A6229B"/>
    <w:rsid w:val="00A62422"/>
    <w:rsid w:val="00A631B4"/>
    <w:rsid w:val="00A64753"/>
    <w:rsid w:val="00A65301"/>
    <w:rsid w:val="00A65F00"/>
    <w:rsid w:val="00A662DE"/>
    <w:rsid w:val="00A66553"/>
    <w:rsid w:val="00A66D2F"/>
    <w:rsid w:val="00A7233C"/>
    <w:rsid w:val="00A72CAA"/>
    <w:rsid w:val="00A7414A"/>
    <w:rsid w:val="00A74C2A"/>
    <w:rsid w:val="00A74F9C"/>
    <w:rsid w:val="00A75124"/>
    <w:rsid w:val="00A75227"/>
    <w:rsid w:val="00A75BC2"/>
    <w:rsid w:val="00A75E56"/>
    <w:rsid w:val="00A76346"/>
    <w:rsid w:val="00A767FA"/>
    <w:rsid w:val="00A76993"/>
    <w:rsid w:val="00A776A4"/>
    <w:rsid w:val="00A77BD6"/>
    <w:rsid w:val="00A77E9D"/>
    <w:rsid w:val="00A80338"/>
    <w:rsid w:val="00A80A08"/>
    <w:rsid w:val="00A81174"/>
    <w:rsid w:val="00A816DD"/>
    <w:rsid w:val="00A81864"/>
    <w:rsid w:val="00A81C46"/>
    <w:rsid w:val="00A82573"/>
    <w:rsid w:val="00A83661"/>
    <w:rsid w:val="00A83919"/>
    <w:rsid w:val="00A83941"/>
    <w:rsid w:val="00A83D1C"/>
    <w:rsid w:val="00A86162"/>
    <w:rsid w:val="00A861C1"/>
    <w:rsid w:val="00A867E2"/>
    <w:rsid w:val="00A86979"/>
    <w:rsid w:val="00A87D6A"/>
    <w:rsid w:val="00A87DD1"/>
    <w:rsid w:val="00A902A8"/>
    <w:rsid w:val="00A90ACC"/>
    <w:rsid w:val="00A9157F"/>
    <w:rsid w:val="00A91B30"/>
    <w:rsid w:val="00A93595"/>
    <w:rsid w:val="00A95104"/>
    <w:rsid w:val="00A95635"/>
    <w:rsid w:val="00A956CD"/>
    <w:rsid w:val="00A957C4"/>
    <w:rsid w:val="00A95D85"/>
    <w:rsid w:val="00A95F94"/>
    <w:rsid w:val="00A9619A"/>
    <w:rsid w:val="00AA045B"/>
    <w:rsid w:val="00AA1F91"/>
    <w:rsid w:val="00AA2085"/>
    <w:rsid w:val="00AA2172"/>
    <w:rsid w:val="00AA2422"/>
    <w:rsid w:val="00AA3251"/>
    <w:rsid w:val="00AA3280"/>
    <w:rsid w:val="00AA3AE1"/>
    <w:rsid w:val="00AA3BF9"/>
    <w:rsid w:val="00AA3CA5"/>
    <w:rsid w:val="00AA3D42"/>
    <w:rsid w:val="00AA42D3"/>
    <w:rsid w:val="00AA42D9"/>
    <w:rsid w:val="00AA51FA"/>
    <w:rsid w:val="00AA5933"/>
    <w:rsid w:val="00AA5E44"/>
    <w:rsid w:val="00AA5F1C"/>
    <w:rsid w:val="00AA63A7"/>
    <w:rsid w:val="00AA75D4"/>
    <w:rsid w:val="00AB0589"/>
    <w:rsid w:val="00AB100A"/>
    <w:rsid w:val="00AB17EF"/>
    <w:rsid w:val="00AB1AEA"/>
    <w:rsid w:val="00AB1BA2"/>
    <w:rsid w:val="00AB1CBE"/>
    <w:rsid w:val="00AB1ED8"/>
    <w:rsid w:val="00AB204B"/>
    <w:rsid w:val="00AB24C4"/>
    <w:rsid w:val="00AB2DA5"/>
    <w:rsid w:val="00AB2F77"/>
    <w:rsid w:val="00AB3065"/>
    <w:rsid w:val="00AB353F"/>
    <w:rsid w:val="00AB38A0"/>
    <w:rsid w:val="00AB535C"/>
    <w:rsid w:val="00AB5445"/>
    <w:rsid w:val="00AB62A4"/>
    <w:rsid w:val="00AB700B"/>
    <w:rsid w:val="00AB710E"/>
    <w:rsid w:val="00AC0692"/>
    <w:rsid w:val="00AC08F2"/>
    <w:rsid w:val="00AC090A"/>
    <w:rsid w:val="00AC1294"/>
    <w:rsid w:val="00AC1908"/>
    <w:rsid w:val="00AC1D73"/>
    <w:rsid w:val="00AC2C2F"/>
    <w:rsid w:val="00AC3C4C"/>
    <w:rsid w:val="00AC4239"/>
    <w:rsid w:val="00AC437E"/>
    <w:rsid w:val="00AC54AA"/>
    <w:rsid w:val="00AC5909"/>
    <w:rsid w:val="00AC5D43"/>
    <w:rsid w:val="00AC6954"/>
    <w:rsid w:val="00AC6B40"/>
    <w:rsid w:val="00AC6ED5"/>
    <w:rsid w:val="00AC7CB5"/>
    <w:rsid w:val="00AD023D"/>
    <w:rsid w:val="00AD11AC"/>
    <w:rsid w:val="00AD130B"/>
    <w:rsid w:val="00AD18BB"/>
    <w:rsid w:val="00AD1E4F"/>
    <w:rsid w:val="00AD2129"/>
    <w:rsid w:val="00AD2672"/>
    <w:rsid w:val="00AD2D01"/>
    <w:rsid w:val="00AD355B"/>
    <w:rsid w:val="00AD380C"/>
    <w:rsid w:val="00AD3A44"/>
    <w:rsid w:val="00AD4387"/>
    <w:rsid w:val="00AD5A7A"/>
    <w:rsid w:val="00AD6DEB"/>
    <w:rsid w:val="00AD706B"/>
    <w:rsid w:val="00AD789B"/>
    <w:rsid w:val="00AE0A00"/>
    <w:rsid w:val="00AE1B0C"/>
    <w:rsid w:val="00AE2041"/>
    <w:rsid w:val="00AE38FD"/>
    <w:rsid w:val="00AE3AFD"/>
    <w:rsid w:val="00AE45A6"/>
    <w:rsid w:val="00AE460B"/>
    <w:rsid w:val="00AE4868"/>
    <w:rsid w:val="00AE59E3"/>
    <w:rsid w:val="00AE5D1D"/>
    <w:rsid w:val="00AE6CFB"/>
    <w:rsid w:val="00AE74E5"/>
    <w:rsid w:val="00AE7552"/>
    <w:rsid w:val="00AE76CD"/>
    <w:rsid w:val="00AF1111"/>
    <w:rsid w:val="00AF1449"/>
    <w:rsid w:val="00AF15BB"/>
    <w:rsid w:val="00AF1D61"/>
    <w:rsid w:val="00AF3B10"/>
    <w:rsid w:val="00AF3F1C"/>
    <w:rsid w:val="00AF3F5E"/>
    <w:rsid w:val="00AF47CE"/>
    <w:rsid w:val="00AF4882"/>
    <w:rsid w:val="00AF497C"/>
    <w:rsid w:val="00AF50AC"/>
    <w:rsid w:val="00AF597A"/>
    <w:rsid w:val="00AF5E19"/>
    <w:rsid w:val="00AF5FA3"/>
    <w:rsid w:val="00AF6896"/>
    <w:rsid w:val="00AF6B70"/>
    <w:rsid w:val="00AF7598"/>
    <w:rsid w:val="00B00126"/>
    <w:rsid w:val="00B01D52"/>
    <w:rsid w:val="00B03DF9"/>
    <w:rsid w:val="00B042F4"/>
    <w:rsid w:val="00B04755"/>
    <w:rsid w:val="00B066D6"/>
    <w:rsid w:val="00B06D98"/>
    <w:rsid w:val="00B07245"/>
    <w:rsid w:val="00B07FA2"/>
    <w:rsid w:val="00B112E2"/>
    <w:rsid w:val="00B11433"/>
    <w:rsid w:val="00B11AB0"/>
    <w:rsid w:val="00B12BEF"/>
    <w:rsid w:val="00B12D51"/>
    <w:rsid w:val="00B13232"/>
    <w:rsid w:val="00B15292"/>
    <w:rsid w:val="00B15358"/>
    <w:rsid w:val="00B163B6"/>
    <w:rsid w:val="00B171FE"/>
    <w:rsid w:val="00B175BD"/>
    <w:rsid w:val="00B2039C"/>
    <w:rsid w:val="00B206A5"/>
    <w:rsid w:val="00B20993"/>
    <w:rsid w:val="00B20DA2"/>
    <w:rsid w:val="00B20E15"/>
    <w:rsid w:val="00B20E71"/>
    <w:rsid w:val="00B21371"/>
    <w:rsid w:val="00B21764"/>
    <w:rsid w:val="00B21D45"/>
    <w:rsid w:val="00B222BC"/>
    <w:rsid w:val="00B226BD"/>
    <w:rsid w:val="00B23654"/>
    <w:rsid w:val="00B23900"/>
    <w:rsid w:val="00B23B45"/>
    <w:rsid w:val="00B23CA3"/>
    <w:rsid w:val="00B241C8"/>
    <w:rsid w:val="00B250A0"/>
    <w:rsid w:val="00B25368"/>
    <w:rsid w:val="00B25623"/>
    <w:rsid w:val="00B260DC"/>
    <w:rsid w:val="00B26436"/>
    <w:rsid w:val="00B26855"/>
    <w:rsid w:val="00B27145"/>
    <w:rsid w:val="00B27B1F"/>
    <w:rsid w:val="00B27B4A"/>
    <w:rsid w:val="00B30AF7"/>
    <w:rsid w:val="00B31177"/>
    <w:rsid w:val="00B31298"/>
    <w:rsid w:val="00B31316"/>
    <w:rsid w:val="00B314C0"/>
    <w:rsid w:val="00B315FF"/>
    <w:rsid w:val="00B31677"/>
    <w:rsid w:val="00B31960"/>
    <w:rsid w:val="00B32627"/>
    <w:rsid w:val="00B3288B"/>
    <w:rsid w:val="00B33CB5"/>
    <w:rsid w:val="00B347AA"/>
    <w:rsid w:val="00B34DC0"/>
    <w:rsid w:val="00B3542E"/>
    <w:rsid w:val="00B358C3"/>
    <w:rsid w:val="00B35F20"/>
    <w:rsid w:val="00B372A8"/>
    <w:rsid w:val="00B374A4"/>
    <w:rsid w:val="00B37EBB"/>
    <w:rsid w:val="00B40742"/>
    <w:rsid w:val="00B40BDA"/>
    <w:rsid w:val="00B4170F"/>
    <w:rsid w:val="00B41BEA"/>
    <w:rsid w:val="00B41FB1"/>
    <w:rsid w:val="00B425AD"/>
    <w:rsid w:val="00B425D0"/>
    <w:rsid w:val="00B42708"/>
    <w:rsid w:val="00B42889"/>
    <w:rsid w:val="00B42F7D"/>
    <w:rsid w:val="00B43503"/>
    <w:rsid w:val="00B44150"/>
    <w:rsid w:val="00B446D5"/>
    <w:rsid w:val="00B44F01"/>
    <w:rsid w:val="00B45C92"/>
    <w:rsid w:val="00B45EC6"/>
    <w:rsid w:val="00B476ED"/>
    <w:rsid w:val="00B5052A"/>
    <w:rsid w:val="00B50726"/>
    <w:rsid w:val="00B50C18"/>
    <w:rsid w:val="00B50E0F"/>
    <w:rsid w:val="00B510F4"/>
    <w:rsid w:val="00B51908"/>
    <w:rsid w:val="00B52D8D"/>
    <w:rsid w:val="00B543E2"/>
    <w:rsid w:val="00B544F1"/>
    <w:rsid w:val="00B5460C"/>
    <w:rsid w:val="00B55307"/>
    <w:rsid w:val="00B55522"/>
    <w:rsid w:val="00B559CA"/>
    <w:rsid w:val="00B561CD"/>
    <w:rsid w:val="00B57020"/>
    <w:rsid w:val="00B57291"/>
    <w:rsid w:val="00B579CB"/>
    <w:rsid w:val="00B57E65"/>
    <w:rsid w:val="00B603C6"/>
    <w:rsid w:val="00B606ED"/>
    <w:rsid w:val="00B60C87"/>
    <w:rsid w:val="00B61464"/>
    <w:rsid w:val="00B62FDB"/>
    <w:rsid w:val="00B63272"/>
    <w:rsid w:val="00B63334"/>
    <w:rsid w:val="00B6445C"/>
    <w:rsid w:val="00B64829"/>
    <w:rsid w:val="00B64CD9"/>
    <w:rsid w:val="00B64E7F"/>
    <w:rsid w:val="00B65176"/>
    <w:rsid w:val="00B65C38"/>
    <w:rsid w:val="00B65F4F"/>
    <w:rsid w:val="00B6642F"/>
    <w:rsid w:val="00B6646E"/>
    <w:rsid w:val="00B66D08"/>
    <w:rsid w:val="00B66E2E"/>
    <w:rsid w:val="00B66EFA"/>
    <w:rsid w:val="00B67AE2"/>
    <w:rsid w:val="00B70189"/>
    <w:rsid w:val="00B706DB"/>
    <w:rsid w:val="00B71EDF"/>
    <w:rsid w:val="00B72515"/>
    <w:rsid w:val="00B73210"/>
    <w:rsid w:val="00B73597"/>
    <w:rsid w:val="00B740B0"/>
    <w:rsid w:val="00B744FB"/>
    <w:rsid w:val="00B749DA"/>
    <w:rsid w:val="00B75773"/>
    <w:rsid w:val="00B77328"/>
    <w:rsid w:val="00B77413"/>
    <w:rsid w:val="00B80A42"/>
    <w:rsid w:val="00B81557"/>
    <w:rsid w:val="00B820C8"/>
    <w:rsid w:val="00B82BBF"/>
    <w:rsid w:val="00B83660"/>
    <w:rsid w:val="00B8383D"/>
    <w:rsid w:val="00B84DA6"/>
    <w:rsid w:val="00B8592F"/>
    <w:rsid w:val="00B866AC"/>
    <w:rsid w:val="00B8778A"/>
    <w:rsid w:val="00B87909"/>
    <w:rsid w:val="00B87910"/>
    <w:rsid w:val="00B87C81"/>
    <w:rsid w:val="00B90324"/>
    <w:rsid w:val="00B90992"/>
    <w:rsid w:val="00B916BB"/>
    <w:rsid w:val="00B918A8"/>
    <w:rsid w:val="00B919B4"/>
    <w:rsid w:val="00B9381D"/>
    <w:rsid w:val="00B9385C"/>
    <w:rsid w:val="00B94016"/>
    <w:rsid w:val="00B94E70"/>
    <w:rsid w:val="00B953D5"/>
    <w:rsid w:val="00B9618B"/>
    <w:rsid w:val="00B968B8"/>
    <w:rsid w:val="00B96AB5"/>
    <w:rsid w:val="00B97057"/>
    <w:rsid w:val="00B97187"/>
    <w:rsid w:val="00B97816"/>
    <w:rsid w:val="00B97E56"/>
    <w:rsid w:val="00BA01EF"/>
    <w:rsid w:val="00BA05BE"/>
    <w:rsid w:val="00BA0607"/>
    <w:rsid w:val="00BA08AB"/>
    <w:rsid w:val="00BA08E0"/>
    <w:rsid w:val="00BA1205"/>
    <w:rsid w:val="00BA146B"/>
    <w:rsid w:val="00BA14A3"/>
    <w:rsid w:val="00BA1591"/>
    <w:rsid w:val="00BA24D5"/>
    <w:rsid w:val="00BA265B"/>
    <w:rsid w:val="00BA2CB9"/>
    <w:rsid w:val="00BA343D"/>
    <w:rsid w:val="00BA39DC"/>
    <w:rsid w:val="00BA3D61"/>
    <w:rsid w:val="00BA44B9"/>
    <w:rsid w:val="00BA46E8"/>
    <w:rsid w:val="00BA470F"/>
    <w:rsid w:val="00BA4724"/>
    <w:rsid w:val="00BA47CD"/>
    <w:rsid w:val="00BA4E7A"/>
    <w:rsid w:val="00BA5047"/>
    <w:rsid w:val="00BA514E"/>
    <w:rsid w:val="00BA68AA"/>
    <w:rsid w:val="00BA7E0F"/>
    <w:rsid w:val="00BA7F9B"/>
    <w:rsid w:val="00BB05CC"/>
    <w:rsid w:val="00BB05CD"/>
    <w:rsid w:val="00BB0D18"/>
    <w:rsid w:val="00BB10B3"/>
    <w:rsid w:val="00BB275E"/>
    <w:rsid w:val="00BB3A10"/>
    <w:rsid w:val="00BB3FC6"/>
    <w:rsid w:val="00BB422B"/>
    <w:rsid w:val="00BB4782"/>
    <w:rsid w:val="00BB4EA0"/>
    <w:rsid w:val="00BB4ECE"/>
    <w:rsid w:val="00BB589D"/>
    <w:rsid w:val="00BB62AB"/>
    <w:rsid w:val="00BB6891"/>
    <w:rsid w:val="00BC17C8"/>
    <w:rsid w:val="00BC2062"/>
    <w:rsid w:val="00BC23F3"/>
    <w:rsid w:val="00BC2AEE"/>
    <w:rsid w:val="00BC2FBF"/>
    <w:rsid w:val="00BC34C3"/>
    <w:rsid w:val="00BC37B5"/>
    <w:rsid w:val="00BC38A2"/>
    <w:rsid w:val="00BC3929"/>
    <w:rsid w:val="00BC3A5D"/>
    <w:rsid w:val="00BC46DE"/>
    <w:rsid w:val="00BC47D1"/>
    <w:rsid w:val="00BC5CE1"/>
    <w:rsid w:val="00BC67CC"/>
    <w:rsid w:val="00BC6971"/>
    <w:rsid w:val="00BC77D8"/>
    <w:rsid w:val="00BC7A44"/>
    <w:rsid w:val="00BC7E13"/>
    <w:rsid w:val="00BD0B79"/>
    <w:rsid w:val="00BD0EA5"/>
    <w:rsid w:val="00BD17DF"/>
    <w:rsid w:val="00BD34B8"/>
    <w:rsid w:val="00BD39D5"/>
    <w:rsid w:val="00BD42AB"/>
    <w:rsid w:val="00BD4B7E"/>
    <w:rsid w:val="00BD4B7F"/>
    <w:rsid w:val="00BD4E91"/>
    <w:rsid w:val="00BD54C4"/>
    <w:rsid w:val="00BD5C1E"/>
    <w:rsid w:val="00BD64B7"/>
    <w:rsid w:val="00BD6B35"/>
    <w:rsid w:val="00BD7718"/>
    <w:rsid w:val="00BD78F6"/>
    <w:rsid w:val="00BD7A69"/>
    <w:rsid w:val="00BE07D8"/>
    <w:rsid w:val="00BE0E0B"/>
    <w:rsid w:val="00BE1320"/>
    <w:rsid w:val="00BE1369"/>
    <w:rsid w:val="00BE178A"/>
    <w:rsid w:val="00BE1C50"/>
    <w:rsid w:val="00BE1FF7"/>
    <w:rsid w:val="00BE32D0"/>
    <w:rsid w:val="00BE3910"/>
    <w:rsid w:val="00BE391D"/>
    <w:rsid w:val="00BE3C6A"/>
    <w:rsid w:val="00BE43A0"/>
    <w:rsid w:val="00BE5583"/>
    <w:rsid w:val="00BE5D4D"/>
    <w:rsid w:val="00BE6E33"/>
    <w:rsid w:val="00BE6F3B"/>
    <w:rsid w:val="00BF01E0"/>
    <w:rsid w:val="00BF02AC"/>
    <w:rsid w:val="00BF062D"/>
    <w:rsid w:val="00BF06A2"/>
    <w:rsid w:val="00BF0E26"/>
    <w:rsid w:val="00BF15AD"/>
    <w:rsid w:val="00BF19B4"/>
    <w:rsid w:val="00BF2806"/>
    <w:rsid w:val="00BF2D48"/>
    <w:rsid w:val="00BF30C7"/>
    <w:rsid w:val="00BF3319"/>
    <w:rsid w:val="00BF3396"/>
    <w:rsid w:val="00BF3B14"/>
    <w:rsid w:val="00BF3D98"/>
    <w:rsid w:val="00BF3E93"/>
    <w:rsid w:val="00BF3FDA"/>
    <w:rsid w:val="00BF451F"/>
    <w:rsid w:val="00BF4763"/>
    <w:rsid w:val="00BF4AFB"/>
    <w:rsid w:val="00BF4E64"/>
    <w:rsid w:val="00BF53A6"/>
    <w:rsid w:val="00BF6D3A"/>
    <w:rsid w:val="00BF6D98"/>
    <w:rsid w:val="00BF6E12"/>
    <w:rsid w:val="00BF71AA"/>
    <w:rsid w:val="00BF757D"/>
    <w:rsid w:val="00BF7F90"/>
    <w:rsid w:val="00C00DC7"/>
    <w:rsid w:val="00C01601"/>
    <w:rsid w:val="00C019BF"/>
    <w:rsid w:val="00C02816"/>
    <w:rsid w:val="00C03758"/>
    <w:rsid w:val="00C04D20"/>
    <w:rsid w:val="00C0556F"/>
    <w:rsid w:val="00C06017"/>
    <w:rsid w:val="00C0644E"/>
    <w:rsid w:val="00C06E79"/>
    <w:rsid w:val="00C077C2"/>
    <w:rsid w:val="00C078B2"/>
    <w:rsid w:val="00C079F0"/>
    <w:rsid w:val="00C10246"/>
    <w:rsid w:val="00C115FB"/>
    <w:rsid w:val="00C122B3"/>
    <w:rsid w:val="00C12812"/>
    <w:rsid w:val="00C1331A"/>
    <w:rsid w:val="00C136F8"/>
    <w:rsid w:val="00C1515D"/>
    <w:rsid w:val="00C17762"/>
    <w:rsid w:val="00C178BC"/>
    <w:rsid w:val="00C21130"/>
    <w:rsid w:val="00C2143D"/>
    <w:rsid w:val="00C22B3B"/>
    <w:rsid w:val="00C22FF6"/>
    <w:rsid w:val="00C2310C"/>
    <w:rsid w:val="00C23545"/>
    <w:rsid w:val="00C2358D"/>
    <w:rsid w:val="00C23BF5"/>
    <w:rsid w:val="00C23CD8"/>
    <w:rsid w:val="00C23E1F"/>
    <w:rsid w:val="00C247FF"/>
    <w:rsid w:val="00C2509A"/>
    <w:rsid w:val="00C25923"/>
    <w:rsid w:val="00C25EF3"/>
    <w:rsid w:val="00C263AB"/>
    <w:rsid w:val="00C265A7"/>
    <w:rsid w:val="00C26F13"/>
    <w:rsid w:val="00C27C59"/>
    <w:rsid w:val="00C27D3B"/>
    <w:rsid w:val="00C3001C"/>
    <w:rsid w:val="00C307A0"/>
    <w:rsid w:val="00C308D0"/>
    <w:rsid w:val="00C309F5"/>
    <w:rsid w:val="00C30C20"/>
    <w:rsid w:val="00C30F49"/>
    <w:rsid w:val="00C314D3"/>
    <w:rsid w:val="00C322A4"/>
    <w:rsid w:val="00C32687"/>
    <w:rsid w:val="00C32CD7"/>
    <w:rsid w:val="00C32E05"/>
    <w:rsid w:val="00C33565"/>
    <w:rsid w:val="00C34885"/>
    <w:rsid w:val="00C348F3"/>
    <w:rsid w:val="00C34D9C"/>
    <w:rsid w:val="00C351C5"/>
    <w:rsid w:val="00C35932"/>
    <w:rsid w:val="00C35973"/>
    <w:rsid w:val="00C3626C"/>
    <w:rsid w:val="00C36979"/>
    <w:rsid w:val="00C36EAA"/>
    <w:rsid w:val="00C37724"/>
    <w:rsid w:val="00C37A9F"/>
    <w:rsid w:val="00C37B03"/>
    <w:rsid w:val="00C405F8"/>
    <w:rsid w:val="00C40986"/>
    <w:rsid w:val="00C40B38"/>
    <w:rsid w:val="00C40CB7"/>
    <w:rsid w:val="00C41975"/>
    <w:rsid w:val="00C4199E"/>
    <w:rsid w:val="00C42354"/>
    <w:rsid w:val="00C42C0F"/>
    <w:rsid w:val="00C4356A"/>
    <w:rsid w:val="00C435DD"/>
    <w:rsid w:val="00C437CB"/>
    <w:rsid w:val="00C4395B"/>
    <w:rsid w:val="00C44447"/>
    <w:rsid w:val="00C46E97"/>
    <w:rsid w:val="00C4787C"/>
    <w:rsid w:val="00C47946"/>
    <w:rsid w:val="00C47EF8"/>
    <w:rsid w:val="00C501B0"/>
    <w:rsid w:val="00C501EB"/>
    <w:rsid w:val="00C50780"/>
    <w:rsid w:val="00C50D3E"/>
    <w:rsid w:val="00C5251F"/>
    <w:rsid w:val="00C5260E"/>
    <w:rsid w:val="00C52EB3"/>
    <w:rsid w:val="00C539D5"/>
    <w:rsid w:val="00C54D47"/>
    <w:rsid w:val="00C55045"/>
    <w:rsid w:val="00C55079"/>
    <w:rsid w:val="00C554DF"/>
    <w:rsid w:val="00C56163"/>
    <w:rsid w:val="00C60056"/>
    <w:rsid w:val="00C618D7"/>
    <w:rsid w:val="00C61941"/>
    <w:rsid w:val="00C62D66"/>
    <w:rsid w:val="00C62D82"/>
    <w:rsid w:val="00C630DB"/>
    <w:rsid w:val="00C63396"/>
    <w:rsid w:val="00C63B34"/>
    <w:rsid w:val="00C63CAE"/>
    <w:rsid w:val="00C64374"/>
    <w:rsid w:val="00C648ED"/>
    <w:rsid w:val="00C64C58"/>
    <w:rsid w:val="00C64F5A"/>
    <w:rsid w:val="00C650C3"/>
    <w:rsid w:val="00C65461"/>
    <w:rsid w:val="00C65500"/>
    <w:rsid w:val="00C665C7"/>
    <w:rsid w:val="00C675DB"/>
    <w:rsid w:val="00C67A54"/>
    <w:rsid w:val="00C67D8B"/>
    <w:rsid w:val="00C701C2"/>
    <w:rsid w:val="00C70A62"/>
    <w:rsid w:val="00C70C84"/>
    <w:rsid w:val="00C70F33"/>
    <w:rsid w:val="00C71274"/>
    <w:rsid w:val="00C7190A"/>
    <w:rsid w:val="00C71F0A"/>
    <w:rsid w:val="00C71FBB"/>
    <w:rsid w:val="00C725C8"/>
    <w:rsid w:val="00C7370B"/>
    <w:rsid w:val="00C737E0"/>
    <w:rsid w:val="00C73A7C"/>
    <w:rsid w:val="00C744A4"/>
    <w:rsid w:val="00C75E3A"/>
    <w:rsid w:val="00C761DE"/>
    <w:rsid w:val="00C76466"/>
    <w:rsid w:val="00C77DC7"/>
    <w:rsid w:val="00C80152"/>
    <w:rsid w:val="00C811BD"/>
    <w:rsid w:val="00C813BD"/>
    <w:rsid w:val="00C814FA"/>
    <w:rsid w:val="00C81F97"/>
    <w:rsid w:val="00C829B6"/>
    <w:rsid w:val="00C829E6"/>
    <w:rsid w:val="00C82EE5"/>
    <w:rsid w:val="00C83327"/>
    <w:rsid w:val="00C83D20"/>
    <w:rsid w:val="00C83FA8"/>
    <w:rsid w:val="00C84212"/>
    <w:rsid w:val="00C8522F"/>
    <w:rsid w:val="00C8544F"/>
    <w:rsid w:val="00C85753"/>
    <w:rsid w:val="00C86409"/>
    <w:rsid w:val="00C8718D"/>
    <w:rsid w:val="00C87377"/>
    <w:rsid w:val="00C87A06"/>
    <w:rsid w:val="00C87F00"/>
    <w:rsid w:val="00C87FA6"/>
    <w:rsid w:val="00C9014F"/>
    <w:rsid w:val="00C90A1A"/>
    <w:rsid w:val="00C90D89"/>
    <w:rsid w:val="00C91832"/>
    <w:rsid w:val="00C919BC"/>
    <w:rsid w:val="00C924A8"/>
    <w:rsid w:val="00C92A09"/>
    <w:rsid w:val="00C932BA"/>
    <w:rsid w:val="00C935BC"/>
    <w:rsid w:val="00C93B25"/>
    <w:rsid w:val="00C93BC3"/>
    <w:rsid w:val="00C942BD"/>
    <w:rsid w:val="00C94E82"/>
    <w:rsid w:val="00C95F4D"/>
    <w:rsid w:val="00C964C6"/>
    <w:rsid w:val="00C96E3E"/>
    <w:rsid w:val="00C97D8A"/>
    <w:rsid w:val="00CA072F"/>
    <w:rsid w:val="00CA0FF0"/>
    <w:rsid w:val="00CA11C7"/>
    <w:rsid w:val="00CA14AE"/>
    <w:rsid w:val="00CA152B"/>
    <w:rsid w:val="00CA18C8"/>
    <w:rsid w:val="00CA1D76"/>
    <w:rsid w:val="00CA3398"/>
    <w:rsid w:val="00CA37F6"/>
    <w:rsid w:val="00CA436F"/>
    <w:rsid w:val="00CA47EA"/>
    <w:rsid w:val="00CA4C97"/>
    <w:rsid w:val="00CA5C8B"/>
    <w:rsid w:val="00CA680C"/>
    <w:rsid w:val="00CA6CF0"/>
    <w:rsid w:val="00CB0604"/>
    <w:rsid w:val="00CB0755"/>
    <w:rsid w:val="00CB0933"/>
    <w:rsid w:val="00CB0CE3"/>
    <w:rsid w:val="00CB4CA8"/>
    <w:rsid w:val="00CB547E"/>
    <w:rsid w:val="00CB5590"/>
    <w:rsid w:val="00CB604C"/>
    <w:rsid w:val="00CB6C5D"/>
    <w:rsid w:val="00CB7C2C"/>
    <w:rsid w:val="00CC03D8"/>
    <w:rsid w:val="00CC0425"/>
    <w:rsid w:val="00CC0B1D"/>
    <w:rsid w:val="00CC0C01"/>
    <w:rsid w:val="00CC1034"/>
    <w:rsid w:val="00CC1747"/>
    <w:rsid w:val="00CC1794"/>
    <w:rsid w:val="00CC2C0E"/>
    <w:rsid w:val="00CC2D00"/>
    <w:rsid w:val="00CC30F0"/>
    <w:rsid w:val="00CC3BD8"/>
    <w:rsid w:val="00CC3F40"/>
    <w:rsid w:val="00CC56EE"/>
    <w:rsid w:val="00CC5783"/>
    <w:rsid w:val="00CC6BF1"/>
    <w:rsid w:val="00CC7E3A"/>
    <w:rsid w:val="00CD0090"/>
    <w:rsid w:val="00CD0F63"/>
    <w:rsid w:val="00CD1398"/>
    <w:rsid w:val="00CD1EA1"/>
    <w:rsid w:val="00CD2656"/>
    <w:rsid w:val="00CD2902"/>
    <w:rsid w:val="00CD2EF6"/>
    <w:rsid w:val="00CD397B"/>
    <w:rsid w:val="00CD4C3A"/>
    <w:rsid w:val="00CD5684"/>
    <w:rsid w:val="00CD58F0"/>
    <w:rsid w:val="00CD5D22"/>
    <w:rsid w:val="00CD5EC5"/>
    <w:rsid w:val="00CD62AB"/>
    <w:rsid w:val="00CD62E2"/>
    <w:rsid w:val="00CD67AC"/>
    <w:rsid w:val="00CD7278"/>
    <w:rsid w:val="00CD73DD"/>
    <w:rsid w:val="00CD7ABF"/>
    <w:rsid w:val="00CE1017"/>
    <w:rsid w:val="00CE12FF"/>
    <w:rsid w:val="00CE196A"/>
    <w:rsid w:val="00CE20C7"/>
    <w:rsid w:val="00CE362C"/>
    <w:rsid w:val="00CE36A9"/>
    <w:rsid w:val="00CE4F43"/>
    <w:rsid w:val="00CE57D2"/>
    <w:rsid w:val="00CE57F1"/>
    <w:rsid w:val="00CE64D4"/>
    <w:rsid w:val="00CE675F"/>
    <w:rsid w:val="00CE70E2"/>
    <w:rsid w:val="00CE759A"/>
    <w:rsid w:val="00CE7829"/>
    <w:rsid w:val="00CE7FDC"/>
    <w:rsid w:val="00CF0666"/>
    <w:rsid w:val="00CF0DE2"/>
    <w:rsid w:val="00CF13A9"/>
    <w:rsid w:val="00CF1434"/>
    <w:rsid w:val="00CF1968"/>
    <w:rsid w:val="00CF207D"/>
    <w:rsid w:val="00CF2194"/>
    <w:rsid w:val="00CF237B"/>
    <w:rsid w:val="00CF2863"/>
    <w:rsid w:val="00CF289D"/>
    <w:rsid w:val="00CF35CE"/>
    <w:rsid w:val="00CF40E4"/>
    <w:rsid w:val="00CF41EF"/>
    <w:rsid w:val="00CF42AA"/>
    <w:rsid w:val="00CF5604"/>
    <w:rsid w:val="00CF5DC2"/>
    <w:rsid w:val="00CF6611"/>
    <w:rsid w:val="00CF6878"/>
    <w:rsid w:val="00CF706E"/>
    <w:rsid w:val="00CF764C"/>
    <w:rsid w:val="00D002CA"/>
    <w:rsid w:val="00D00829"/>
    <w:rsid w:val="00D00F2E"/>
    <w:rsid w:val="00D00FAE"/>
    <w:rsid w:val="00D0101E"/>
    <w:rsid w:val="00D01881"/>
    <w:rsid w:val="00D01DB4"/>
    <w:rsid w:val="00D022CA"/>
    <w:rsid w:val="00D02370"/>
    <w:rsid w:val="00D029CA"/>
    <w:rsid w:val="00D02FD4"/>
    <w:rsid w:val="00D03962"/>
    <w:rsid w:val="00D04719"/>
    <w:rsid w:val="00D04DC7"/>
    <w:rsid w:val="00D052CF"/>
    <w:rsid w:val="00D052E7"/>
    <w:rsid w:val="00D05970"/>
    <w:rsid w:val="00D05BC7"/>
    <w:rsid w:val="00D0708E"/>
    <w:rsid w:val="00D10139"/>
    <w:rsid w:val="00D105B1"/>
    <w:rsid w:val="00D119A7"/>
    <w:rsid w:val="00D11C92"/>
    <w:rsid w:val="00D11FEC"/>
    <w:rsid w:val="00D12275"/>
    <w:rsid w:val="00D12339"/>
    <w:rsid w:val="00D123B9"/>
    <w:rsid w:val="00D129FA"/>
    <w:rsid w:val="00D12AE8"/>
    <w:rsid w:val="00D12CAD"/>
    <w:rsid w:val="00D133D2"/>
    <w:rsid w:val="00D13860"/>
    <w:rsid w:val="00D13C61"/>
    <w:rsid w:val="00D146AE"/>
    <w:rsid w:val="00D1496B"/>
    <w:rsid w:val="00D14E26"/>
    <w:rsid w:val="00D157D8"/>
    <w:rsid w:val="00D15E5E"/>
    <w:rsid w:val="00D16445"/>
    <w:rsid w:val="00D17178"/>
    <w:rsid w:val="00D17794"/>
    <w:rsid w:val="00D17998"/>
    <w:rsid w:val="00D17E31"/>
    <w:rsid w:val="00D2143B"/>
    <w:rsid w:val="00D21586"/>
    <w:rsid w:val="00D21A1B"/>
    <w:rsid w:val="00D224B8"/>
    <w:rsid w:val="00D2290C"/>
    <w:rsid w:val="00D231F6"/>
    <w:rsid w:val="00D23877"/>
    <w:rsid w:val="00D238F1"/>
    <w:rsid w:val="00D2427F"/>
    <w:rsid w:val="00D2612B"/>
    <w:rsid w:val="00D26520"/>
    <w:rsid w:val="00D272AF"/>
    <w:rsid w:val="00D2784D"/>
    <w:rsid w:val="00D2797C"/>
    <w:rsid w:val="00D300F3"/>
    <w:rsid w:val="00D30DA2"/>
    <w:rsid w:val="00D31293"/>
    <w:rsid w:val="00D31930"/>
    <w:rsid w:val="00D31B0A"/>
    <w:rsid w:val="00D31EB1"/>
    <w:rsid w:val="00D336A3"/>
    <w:rsid w:val="00D3448A"/>
    <w:rsid w:val="00D346D9"/>
    <w:rsid w:val="00D35133"/>
    <w:rsid w:val="00D356BF"/>
    <w:rsid w:val="00D35B24"/>
    <w:rsid w:val="00D35C56"/>
    <w:rsid w:val="00D36C4A"/>
    <w:rsid w:val="00D3773D"/>
    <w:rsid w:val="00D40085"/>
    <w:rsid w:val="00D4031F"/>
    <w:rsid w:val="00D40505"/>
    <w:rsid w:val="00D40898"/>
    <w:rsid w:val="00D40FCD"/>
    <w:rsid w:val="00D411F9"/>
    <w:rsid w:val="00D414FD"/>
    <w:rsid w:val="00D41635"/>
    <w:rsid w:val="00D42B2A"/>
    <w:rsid w:val="00D4320E"/>
    <w:rsid w:val="00D43799"/>
    <w:rsid w:val="00D44D1E"/>
    <w:rsid w:val="00D452DB"/>
    <w:rsid w:val="00D4562C"/>
    <w:rsid w:val="00D45AA4"/>
    <w:rsid w:val="00D46010"/>
    <w:rsid w:val="00D46636"/>
    <w:rsid w:val="00D46A8E"/>
    <w:rsid w:val="00D47FD1"/>
    <w:rsid w:val="00D50026"/>
    <w:rsid w:val="00D50A18"/>
    <w:rsid w:val="00D50B91"/>
    <w:rsid w:val="00D50E1B"/>
    <w:rsid w:val="00D52F2C"/>
    <w:rsid w:val="00D54666"/>
    <w:rsid w:val="00D566AB"/>
    <w:rsid w:val="00D56DC7"/>
    <w:rsid w:val="00D57A0D"/>
    <w:rsid w:val="00D57FDC"/>
    <w:rsid w:val="00D60BD6"/>
    <w:rsid w:val="00D613CA"/>
    <w:rsid w:val="00D6145D"/>
    <w:rsid w:val="00D637CC"/>
    <w:rsid w:val="00D63991"/>
    <w:rsid w:val="00D63F79"/>
    <w:rsid w:val="00D64394"/>
    <w:rsid w:val="00D64A6A"/>
    <w:rsid w:val="00D64A71"/>
    <w:rsid w:val="00D64F24"/>
    <w:rsid w:val="00D667A3"/>
    <w:rsid w:val="00D677CF"/>
    <w:rsid w:val="00D67AAB"/>
    <w:rsid w:val="00D700A6"/>
    <w:rsid w:val="00D70C23"/>
    <w:rsid w:val="00D720A5"/>
    <w:rsid w:val="00D72BFB"/>
    <w:rsid w:val="00D73053"/>
    <w:rsid w:val="00D76A33"/>
    <w:rsid w:val="00D774E8"/>
    <w:rsid w:val="00D775D3"/>
    <w:rsid w:val="00D77B37"/>
    <w:rsid w:val="00D80120"/>
    <w:rsid w:val="00D80165"/>
    <w:rsid w:val="00D80220"/>
    <w:rsid w:val="00D809F9"/>
    <w:rsid w:val="00D8116C"/>
    <w:rsid w:val="00D81F1B"/>
    <w:rsid w:val="00D82A65"/>
    <w:rsid w:val="00D82FB8"/>
    <w:rsid w:val="00D83C6F"/>
    <w:rsid w:val="00D83EE6"/>
    <w:rsid w:val="00D844FB"/>
    <w:rsid w:val="00D84F42"/>
    <w:rsid w:val="00D8567F"/>
    <w:rsid w:val="00D860DD"/>
    <w:rsid w:val="00D86501"/>
    <w:rsid w:val="00D8657A"/>
    <w:rsid w:val="00D86BE7"/>
    <w:rsid w:val="00D8720D"/>
    <w:rsid w:val="00D87644"/>
    <w:rsid w:val="00D8769E"/>
    <w:rsid w:val="00D87F0F"/>
    <w:rsid w:val="00D903E2"/>
    <w:rsid w:val="00D907AD"/>
    <w:rsid w:val="00D90ED1"/>
    <w:rsid w:val="00D91749"/>
    <w:rsid w:val="00D918A0"/>
    <w:rsid w:val="00D91C61"/>
    <w:rsid w:val="00D92DB5"/>
    <w:rsid w:val="00D932CD"/>
    <w:rsid w:val="00D9339A"/>
    <w:rsid w:val="00D93474"/>
    <w:rsid w:val="00D93888"/>
    <w:rsid w:val="00D94EC8"/>
    <w:rsid w:val="00D95264"/>
    <w:rsid w:val="00D955D8"/>
    <w:rsid w:val="00D965C1"/>
    <w:rsid w:val="00D97FF0"/>
    <w:rsid w:val="00DA0655"/>
    <w:rsid w:val="00DA0BE1"/>
    <w:rsid w:val="00DA13A1"/>
    <w:rsid w:val="00DA14FC"/>
    <w:rsid w:val="00DA177A"/>
    <w:rsid w:val="00DA2A15"/>
    <w:rsid w:val="00DA2A3A"/>
    <w:rsid w:val="00DA33D7"/>
    <w:rsid w:val="00DA37F7"/>
    <w:rsid w:val="00DA3BDD"/>
    <w:rsid w:val="00DA4AE6"/>
    <w:rsid w:val="00DA4B14"/>
    <w:rsid w:val="00DA4F00"/>
    <w:rsid w:val="00DA581D"/>
    <w:rsid w:val="00DA6A06"/>
    <w:rsid w:val="00DA6AFE"/>
    <w:rsid w:val="00DA7090"/>
    <w:rsid w:val="00DA79BC"/>
    <w:rsid w:val="00DB2F35"/>
    <w:rsid w:val="00DB3A0A"/>
    <w:rsid w:val="00DB46C9"/>
    <w:rsid w:val="00DB480F"/>
    <w:rsid w:val="00DB5933"/>
    <w:rsid w:val="00DB5AE8"/>
    <w:rsid w:val="00DB5EAD"/>
    <w:rsid w:val="00DB6314"/>
    <w:rsid w:val="00DB6CA9"/>
    <w:rsid w:val="00DB6F2B"/>
    <w:rsid w:val="00DC0341"/>
    <w:rsid w:val="00DC0543"/>
    <w:rsid w:val="00DC0A21"/>
    <w:rsid w:val="00DC0DEB"/>
    <w:rsid w:val="00DC11E7"/>
    <w:rsid w:val="00DC18A9"/>
    <w:rsid w:val="00DC1C41"/>
    <w:rsid w:val="00DC1D57"/>
    <w:rsid w:val="00DC3551"/>
    <w:rsid w:val="00DC37A3"/>
    <w:rsid w:val="00DC4869"/>
    <w:rsid w:val="00DC5B53"/>
    <w:rsid w:val="00DC6536"/>
    <w:rsid w:val="00DC66D1"/>
    <w:rsid w:val="00DC7080"/>
    <w:rsid w:val="00DC765D"/>
    <w:rsid w:val="00DC7936"/>
    <w:rsid w:val="00DD0205"/>
    <w:rsid w:val="00DD06FA"/>
    <w:rsid w:val="00DD0941"/>
    <w:rsid w:val="00DD0F02"/>
    <w:rsid w:val="00DD1FD5"/>
    <w:rsid w:val="00DD205C"/>
    <w:rsid w:val="00DD2283"/>
    <w:rsid w:val="00DD31FF"/>
    <w:rsid w:val="00DD3356"/>
    <w:rsid w:val="00DD3C2D"/>
    <w:rsid w:val="00DD3E1C"/>
    <w:rsid w:val="00DD3E83"/>
    <w:rsid w:val="00DD5843"/>
    <w:rsid w:val="00DD5E3F"/>
    <w:rsid w:val="00DD621C"/>
    <w:rsid w:val="00DD689C"/>
    <w:rsid w:val="00DD6913"/>
    <w:rsid w:val="00DD6BCE"/>
    <w:rsid w:val="00DD724F"/>
    <w:rsid w:val="00DD76F4"/>
    <w:rsid w:val="00DE0E92"/>
    <w:rsid w:val="00DE11D8"/>
    <w:rsid w:val="00DE12F6"/>
    <w:rsid w:val="00DE1626"/>
    <w:rsid w:val="00DE17E0"/>
    <w:rsid w:val="00DE18EB"/>
    <w:rsid w:val="00DE1DC6"/>
    <w:rsid w:val="00DE20F0"/>
    <w:rsid w:val="00DE2581"/>
    <w:rsid w:val="00DE3755"/>
    <w:rsid w:val="00DE3A5B"/>
    <w:rsid w:val="00DE5BDE"/>
    <w:rsid w:val="00DE617D"/>
    <w:rsid w:val="00DE6456"/>
    <w:rsid w:val="00DE7525"/>
    <w:rsid w:val="00DE780E"/>
    <w:rsid w:val="00DF052E"/>
    <w:rsid w:val="00DF058C"/>
    <w:rsid w:val="00DF0AAC"/>
    <w:rsid w:val="00DF15E9"/>
    <w:rsid w:val="00DF166C"/>
    <w:rsid w:val="00DF17B4"/>
    <w:rsid w:val="00DF288D"/>
    <w:rsid w:val="00DF3C40"/>
    <w:rsid w:val="00DF3F37"/>
    <w:rsid w:val="00DF4C92"/>
    <w:rsid w:val="00DF4ECF"/>
    <w:rsid w:val="00DF5533"/>
    <w:rsid w:val="00DF55E7"/>
    <w:rsid w:val="00DF5CC3"/>
    <w:rsid w:val="00DF68D8"/>
    <w:rsid w:val="00DF720D"/>
    <w:rsid w:val="00E0009C"/>
    <w:rsid w:val="00E007C5"/>
    <w:rsid w:val="00E00EF3"/>
    <w:rsid w:val="00E01030"/>
    <w:rsid w:val="00E02A49"/>
    <w:rsid w:val="00E03661"/>
    <w:rsid w:val="00E0369E"/>
    <w:rsid w:val="00E04E62"/>
    <w:rsid w:val="00E05BDE"/>
    <w:rsid w:val="00E05C59"/>
    <w:rsid w:val="00E06247"/>
    <w:rsid w:val="00E066A3"/>
    <w:rsid w:val="00E06906"/>
    <w:rsid w:val="00E076D2"/>
    <w:rsid w:val="00E07A39"/>
    <w:rsid w:val="00E07DD7"/>
    <w:rsid w:val="00E11111"/>
    <w:rsid w:val="00E11707"/>
    <w:rsid w:val="00E13900"/>
    <w:rsid w:val="00E13A5A"/>
    <w:rsid w:val="00E150D3"/>
    <w:rsid w:val="00E153F0"/>
    <w:rsid w:val="00E1550D"/>
    <w:rsid w:val="00E1575C"/>
    <w:rsid w:val="00E15FE7"/>
    <w:rsid w:val="00E173C7"/>
    <w:rsid w:val="00E17FB4"/>
    <w:rsid w:val="00E2027A"/>
    <w:rsid w:val="00E2064E"/>
    <w:rsid w:val="00E206ED"/>
    <w:rsid w:val="00E208A4"/>
    <w:rsid w:val="00E2279C"/>
    <w:rsid w:val="00E22A06"/>
    <w:rsid w:val="00E22D32"/>
    <w:rsid w:val="00E231E9"/>
    <w:rsid w:val="00E25243"/>
    <w:rsid w:val="00E2570C"/>
    <w:rsid w:val="00E25C32"/>
    <w:rsid w:val="00E25EEC"/>
    <w:rsid w:val="00E2634F"/>
    <w:rsid w:val="00E27294"/>
    <w:rsid w:val="00E300B6"/>
    <w:rsid w:val="00E305F2"/>
    <w:rsid w:val="00E30D7F"/>
    <w:rsid w:val="00E30E9A"/>
    <w:rsid w:val="00E31743"/>
    <w:rsid w:val="00E3190F"/>
    <w:rsid w:val="00E31B92"/>
    <w:rsid w:val="00E31EFC"/>
    <w:rsid w:val="00E32F3A"/>
    <w:rsid w:val="00E32F77"/>
    <w:rsid w:val="00E330AA"/>
    <w:rsid w:val="00E330CF"/>
    <w:rsid w:val="00E338CB"/>
    <w:rsid w:val="00E33DA1"/>
    <w:rsid w:val="00E33F7F"/>
    <w:rsid w:val="00E3458C"/>
    <w:rsid w:val="00E349E9"/>
    <w:rsid w:val="00E353D4"/>
    <w:rsid w:val="00E35B11"/>
    <w:rsid w:val="00E35ECE"/>
    <w:rsid w:val="00E36625"/>
    <w:rsid w:val="00E37615"/>
    <w:rsid w:val="00E40338"/>
    <w:rsid w:val="00E404CB"/>
    <w:rsid w:val="00E40573"/>
    <w:rsid w:val="00E40B3B"/>
    <w:rsid w:val="00E40FA5"/>
    <w:rsid w:val="00E4151D"/>
    <w:rsid w:val="00E41A5E"/>
    <w:rsid w:val="00E41A67"/>
    <w:rsid w:val="00E42B8F"/>
    <w:rsid w:val="00E43316"/>
    <w:rsid w:val="00E43A04"/>
    <w:rsid w:val="00E44246"/>
    <w:rsid w:val="00E456C6"/>
    <w:rsid w:val="00E45AB2"/>
    <w:rsid w:val="00E461DF"/>
    <w:rsid w:val="00E46A29"/>
    <w:rsid w:val="00E46A58"/>
    <w:rsid w:val="00E47943"/>
    <w:rsid w:val="00E500E6"/>
    <w:rsid w:val="00E506C8"/>
    <w:rsid w:val="00E50E5E"/>
    <w:rsid w:val="00E511A8"/>
    <w:rsid w:val="00E514C8"/>
    <w:rsid w:val="00E52634"/>
    <w:rsid w:val="00E54552"/>
    <w:rsid w:val="00E55846"/>
    <w:rsid w:val="00E55C91"/>
    <w:rsid w:val="00E57474"/>
    <w:rsid w:val="00E574FA"/>
    <w:rsid w:val="00E600DC"/>
    <w:rsid w:val="00E60505"/>
    <w:rsid w:val="00E608BF"/>
    <w:rsid w:val="00E60F76"/>
    <w:rsid w:val="00E60FB0"/>
    <w:rsid w:val="00E62270"/>
    <w:rsid w:val="00E624FF"/>
    <w:rsid w:val="00E6258F"/>
    <w:rsid w:val="00E62DB1"/>
    <w:rsid w:val="00E648EF"/>
    <w:rsid w:val="00E650BF"/>
    <w:rsid w:val="00E6512A"/>
    <w:rsid w:val="00E657E0"/>
    <w:rsid w:val="00E6592F"/>
    <w:rsid w:val="00E66010"/>
    <w:rsid w:val="00E66BD3"/>
    <w:rsid w:val="00E67B8D"/>
    <w:rsid w:val="00E67E7A"/>
    <w:rsid w:val="00E707E3"/>
    <w:rsid w:val="00E70980"/>
    <w:rsid w:val="00E70B3F"/>
    <w:rsid w:val="00E71211"/>
    <w:rsid w:val="00E71D3A"/>
    <w:rsid w:val="00E725B9"/>
    <w:rsid w:val="00E72E60"/>
    <w:rsid w:val="00E73D99"/>
    <w:rsid w:val="00E7436A"/>
    <w:rsid w:val="00E7472F"/>
    <w:rsid w:val="00E74D7E"/>
    <w:rsid w:val="00E75AAF"/>
    <w:rsid w:val="00E76240"/>
    <w:rsid w:val="00E763E3"/>
    <w:rsid w:val="00E765B1"/>
    <w:rsid w:val="00E7679A"/>
    <w:rsid w:val="00E76DF9"/>
    <w:rsid w:val="00E76FDC"/>
    <w:rsid w:val="00E772F5"/>
    <w:rsid w:val="00E77BFC"/>
    <w:rsid w:val="00E800E1"/>
    <w:rsid w:val="00E805D6"/>
    <w:rsid w:val="00E806A7"/>
    <w:rsid w:val="00E80AB3"/>
    <w:rsid w:val="00E80AD9"/>
    <w:rsid w:val="00E80FBA"/>
    <w:rsid w:val="00E82210"/>
    <w:rsid w:val="00E8253B"/>
    <w:rsid w:val="00E828B7"/>
    <w:rsid w:val="00E836AB"/>
    <w:rsid w:val="00E83CE1"/>
    <w:rsid w:val="00E83CEF"/>
    <w:rsid w:val="00E83EEB"/>
    <w:rsid w:val="00E8470E"/>
    <w:rsid w:val="00E848E3"/>
    <w:rsid w:val="00E84D8F"/>
    <w:rsid w:val="00E85634"/>
    <w:rsid w:val="00E862C0"/>
    <w:rsid w:val="00E873E3"/>
    <w:rsid w:val="00E874A8"/>
    <w:rsid w:val="00E87CB9"/>
    <w:rsid w:val="00E87DCC"/>
    <w:rsid w:val="00E90948"/>
    <w:rsid w:val="00E9204D"/>
    <w:rsid w:val="00E92207"/>
    <w:rsid w:val="00E92449"/>
    <w:rsid w:val="00E92C4A"/>
    <w:rsid w:val="00E935AC"/>
    <w:rsid w:val="00E9366A"/>
    <w:rsid w:val="00E9412A"/>
    <w:rsid w:val="00E951E9"/>
    <w:rsid w:val="00E95340"/>
    <w:rsid w:val="00E9576A"/>
    <w:rsid w:val="00E957FA"/>
    <w:rsid w:val="00E95F32"/>
    <w:rsid w:val="00E95FDD"/>
    <w:rsid w:val="00E97EC8"/>
    <w:rsid w:val="00E97F6E"/>
    <w:rsid w:val="00EA0C97"/>
    <w:rsid w:val="00EA0E14"/>
    <w:rsid w:val="00EA10A7"/>
    <w:rsid w:val="00EA2991"/>
    <w:rsid w:val="00EA3449"/>
    <w:rsid w:val="00EA3D0A"/>
    <w:rsid w:val="00EA4AAD"/>
    <w:rsid w:val="00EA6868"/>
    <w:rsid w:val="00EA74D3"/>
    <w:rsid w:val="00EA7548"/>
    <w:rsid w:val="00EA76D8"/>
    <w:rsid w:val="00EB0479"/>
    <w:rsid w:val="00EB0B94"/>
    <w:rsid w:val="00EB1E56"/>
    <w:rsid w:val="00EB2A50"/>
    <w:rsid w:val="00EB2A60"/>
    <w:rsid w:val="00EB30CF"/>
    <w:rsid w:val="00EB311A"/>
    <w:rsid w:val="00EB39E4"/>
    <w:rsid w:val="00EB3D7E"/>
    <w:rsid w:val="00EB4532"/>
    <w:rsid w:val="00EB4559"/>
    <w:rsid w:val="00EB458D"/>
    <w:rsid w:val="00EB46A5"/>
    <w:rsid w:val="00EB4F0F"/>
    <w:rsid w:val="00EB50B7"/>
    <w:rsid w:val="00EB525B"/>
    <w:rsid w:val="00EB5393"/>
    <w:rsid w:val="00EB57D9"/>
    <w:rsid w:val="00EB5F08"/>
    <w:rsid w:val="00EB6660"/>
    <w:rsid w:val="00EB68AD"/>
    <w:rsid w:val="00EB6A96"/>
    <w:rsid w:val="00EB6C62"/>
    <w:rsid w:val="00EB6D52"/>
    <w:rsid w:val="00EB7268"/>
    <w:rsid w:val="00EB7ED1"/>
    <w:rsid w:val="00EC08AD"/>
    <w:rsid w:val="00EC1B1B"/>
    <w:rsid w:val="00EC215C"/>
    <w:rsid w:val="00EC26DD"/>
    <w:rsid w:val="00EC2B24"/>
    <w:rsid w:val="00EC2E2C"/>
    <w:rsid w:val="00EC3DFA"/>
    <w:rsid w:val="00EC4649"/>
    <w:rsid w:val="00EC573C"/>
    <w:rsid w:val="00EC5C6D"/>
    <w:rsid w:val="00EC6AF0"/>
    <w:rsid w:val="00EC6B8F"/>
    <w:rsid w:val="00EC6EBE"/>
    <w:rsid w:val="00EC7434"/>
    <w:rsid w:val="00EC7767"/>
    <w:rsid w:val="00ED0E2F"/>
    <w:rsid w:val="00ED1958"/>
    <w:rsid w:val="00ED1DE2"/>
    <w:rsid w:val="00ED2316"/>
    <w:rsid w:val="00ED342B"/>
    <w:rsid w:val="00ED3F59"/>
    <w:rsid w:val="00ED3F62"/>
    <w:rsid w:val="00ED4240"/>
    <w:rsid w:val="00ED43B9"/>
    <w:rsid w:val="00ED43EC"/>
    <w:rsid w:val="00ED46F8"/>
    <w:rsid w:val="00ED536C"/>
    <w:rsid w:val="00ED5439"/>
    <w:rsid w:val="00ED55CD"/>
    <w:rsid w:val="00ED58CD"/>
    <w:rsid w:val="00ED5B8B"/>
    <w:rsid w:val="00ED6507"/>
    <w:rsid w:val="00ED658A"/>
    <w:rsid w:val="00ED6765"/>
    <w:rsid w:val="00ED75DF"/>
    <w:rsid w:val="00ED7E40"/>
    <w:rsid w:val="00EE0677"/>
    <w:rsid w:val="00EE1735"/>
    <w:rsid w:val="00EE1746"/>
    <w:rsid w:val="00EE190F"/>
    <w:rsid w:val="00EE1F59"/>
    <w:rsid w:val="00EE235D"/>
    <w:rsid w:val="00EE31CF"/>
    <w:rsid w:val="00EE3604"/>
    <w:rsid w:val="00EE360B"/>
    <w:rsid w:val="00EE428A"/>
    <w:rsid w:val="00EE4560"/>
    <w:rsid w:val="00EE5B75"/>
    <w:rsid w:val="00EE7377"/>
    <w:rsid w:val="00EE78CA"/>
    <w:rsid w:val="00EE7922"/>
    <w:rsid w:val="00EE7B3B"/>
    <w:rsid w:val="00EF02CF"/>
    <w:rsid w:val="00EF0B1A"/>
    <w:rsid w:val="00EF12EB"/>
    <w:rsid w:val="00EF19AC"/>
    <w:rsid w:val="00EF1AF7"/>
    <w:rsid w:val="00EF1C80"/>
    <w:rsid w:val="00EF2652"/>
    <w:rsid w:val="00EF306B"/>
    <w:rsid w:val="00EF3CA3"/>
    <w:rsid w:val="00EF3FC0"/>
    <w:rsid w:val="00EF3FD3"/>
    <w:rsid w:val="00EF4B7B"/>
    <w:rsid w:val="00EF5E85"/>
    <w:rsid w:val="00EF62EF"/>
    <w:rsid w:val="00EF6757"/>
    <w:rsid w:val="00EF75E7"/>
    <w:rsid w:val="00EF766A"/>
    <w:rsid w:val="00EF7B85"/>
    <w:rsid w:val="00F01F8B"/>
    <w:rsid w:val="00F0223C"/>
    <w:rsid w:val="00F02EDB"/>
    <w:rsid w:val="00F0342B"/>
    <w:rsid w:val="00F044DD"/>
    <w:rsid w:val="00F056A6"/>
    <w:rsid w:val="00F05F9F"/>
    <w:rsid w:val="00F074F4"/>
    <w:rsid w:val="00F07B98"/>
    <w:rsid w:val="00F10480"/>
    <w:rsid w:val="00F109AC"/>
    <w:rsid w:val="00F109B3"/>
    <w:rsid w:val="00F10D8F"/>
    <w:rsid w:val="00F10E9B"/>
    <w:rsid w:val="00F11001"/>
    <w:rsid w:val="00F1230C"/>
    <w:rsid w:val="00F12D26"/>
    <w:rsid w:val="00F12DD7"/>
    <w:rsid w:val="00F12FBD"/>
    <w:rsid w:val="00F1427E"/>
    <w:rsid w:val="00F158FA"/>
    <w:rsid w:val="00F15F1A"/>
    <w:rsid w:val="00F15F51"/>
    <w:rsid w:val="00F16D2B"/>
    <w:rsid w:val="00F1705D"/>
    <w:rsid w:val="00F1708F"/>
    <w:rsid w:val="00F175B4"/>
    <w:rsid w:val="00F201C9"/>
    <w:rsid w:val="00F21C59"/>
    <w:rsid w:val="00F22CC7"/>
    <w:rsid w:val="00F23593"/>
    <w:rsid w:val="00F242C9"/>
    <w:rsid w:val="00F247D7"/>
    <w:rsid w:val="00F253CA"/>
    <w:rsid w:val="00F25F00"/>
    <w:rsid w:val="00F2630D"/>
    <w:rsid w:val="00F276CF"/>
    <w:rsid w:val="00F27D72"/>
    <w:rsid w:val="00F27E4A"/>
    <w:rsid w:val="00F3143E"/>
    <w:rsid w:val="00F31609"/>
    <w:rsid w:val="00F31E62"/>
    <w:rsid w:val="00F31E65"/>
    <w:rsid w:val="00F34330"/>
    <w:rsid w:val="00F344C6"/>
    <w:rsid w:val="00F347ED"/>
    <w:rsid w:val="00F348F6"/>
    <w:rsid w:val="00F352C7"/>
    <w:rsid w:val="00F35459"/>
    <w:rsid w:val="00F359E6"/>
    <w:rsid w:val="00F36D40"/>
    <w:rsid w:val="00F37B39"/>
    <w:rsid w:val="00F37E44"/>
    <w:rsid w:val="00F4121E"/>
    <w:rsid w:val="00F41782"/>
    <w:rsid w:val="00F425BB"/>
    <w:rsid w:val="00F432FA"/>
    <w:rsid w:val="00F4332F"/>
    <w:rsid w:val="00F434EE"/>
    <w:rsid w:val="00F434FC"/>
    <w:rsid w:val="00F4375B"/>
    <w:rsid w:val="00F43B98"/>
    <w:rsid w:val="00F449C0"/>
    <w:rsid w:val="00F4510C"/>
    <w:rsid w:val="00F451E6"/>
    <w:rsid w:val="00F46E7D"/>
    <w:rsid w:val="00F476C2"/>
    <w:rsid w:val="00F47E25"/>
    <w:rsid w:val="00F506D6"/>
    <w:rsid w:val="00F50A4A"/>
    <w:rsid w:val="00F5112A"/>
    <w:rsid w:val="00F5143D"/>
    <w:rsid w:val="00F51885"/>
    <w:rsid w:val="00F51EEA"/>
    <w:rsid w:val="00F52180"/>
    <w:rsid w:val="00F52A78"/>
    <w:rsid w:val="00F531F3"/>
    <w:rsid w:val="00F53532"/>
    <w:rsid w:val="00F53BB8"/>
    <w:rsid w:val="00F53BE6"/>
    <w:rsid w:val="00F548CD"/>
    <w:rsid w:val="00F548DA"/>
    <w:rsid w:val="00F54CB6"/>
    <w:rsid w:val="00F55562"/>
    <w:rsid w:val="00F56AF2"/>
    <w:rsid w:val="00F5708D"/>
    <w:rsid w:val="00F5797E"/>
    <w:rsid w:val="00F60EBC"/>
    <w:rsid w:val="00F61F05"/>
    <w:rsid w:val="00F633FD"/>
    <w:rsid w:val="00F63F5E"/>
    <w:rsid w:val="00F6457E"/>
    <w:rsid w:val="00F64B24"/>
    <w:rsid w:val="00F665D9"/>
    <w:rsid w:val="00F6679B"/>
    <w:rsid w:val="00F66A91"/>
    <w:rsid w:val="00F66BDD"/>
    <w:rsid w:val="00F678A1"/>
    <w:rsid w:val="00F67E6F"/>
    <w:rsid w:val="00F67EAD"/>
    <w:rsid w:val="00F70FEB"/>
    <w:rsid w:val="00F710FF"/>
    <w:rsid w:val="00F71F26"/>
    <w:rsid w:val="00F73133"/>
    <w:rsid w:val="00F74319"/>
    <w:rsid w:val="00F74AA4"/>
    <w:rsid w:val="00F74F3F"/>
    <w:rsid w:val="00F751E8"/>
    <w:rsid w:val="00F7542F"/>
    <w:rsid w:val="00F763F5"/>
    <w:rsid w:val="00F77578"/>
    <w:rsid w:val="00F77A3B"/>
    <w:rsid w:val="00F77EA3"/>
    <w:rsid w:val="00F80FBD"/>
    <w:rsid w:val="00F81139"/>
    <w:rsid w:val="00F819DA"/>
    <w:rsid w:val="00F81E15"/>
    <w:rsid w:val="00F81E97"/>
    <w:rsid w:val="00F823E4"/>
    <w:rsid w:val="00F83749"/>
    <w:rsid w:val="00F83B68"/>
    <w:rsid w:val="00F8402A"/>
    <w:rsid w:val="00F8470E"/>
    <w:rsid w:val="00F84B05"/>
    <w:rsid w:val="00F85385"/>
    <w:rsid w:val="00F85A17"/>
    <w:rsid w:val="00F85C26"/>
    <w:rsid w:val="00F86C3A"/>
    <w:rsid w:val="00F86D80"/>
    <w:rsid w:val="00F8744A"/>
    <w:rsid w:val="00F903C5"/>
    <w:rsid w:val="00F913E2"/>
    <w:rsid w:val="00F9195E"/>
    <w:rsid w:val="00F9218B"/>
    <w:rsid w:val="00F93525"/>
    <w:rsid w:val="00F935D5"/>
    <w:rsid w:val="00F93B33"/>
    <w:rsid w:val="00F93BE5"/>
    <w:rsid w:val="00F93C7A"/>
    <w:rsid w:val="00F94200"/>
    <w:rsid w:val="00F94220"/>
    <w:rsid w:val="00F94376"/>
    <w:rsid w:val="00F946E8"/>
    <w:rsid w:val="00F94EDE"/>
    <w:rsid w:val="00F95B66"/>
    <w:rsid w:val="00F975B8"/>
    <w:rsid w:val="00F9766D"/>
    <w:rsid w:val="00F97D16"/>
    <w:rsid w:val="00F97FCB"/>
    <w:rsid w:val="00FA0097"/>
    <w:rsid w:val="00FA0A28"/>
    <w:rsid w:val="00FA0AD3"/>
    <w:rsid w:val="00FA1061"/>
    <w:rsid w:val="00FA14EA"/>
    <w:rsid w:val="00FA1787"/>
    <w:rsid w:val="00FA1C33"/>
    <w:rsid w:val="00FA1E4E"/>
    <w:rsid w:val="00FA24D0"/>
    <w:rsid w:val="00FA2912"/>
    <w:rsid w:val="00FA2A2A"/>
    <w:rsid w:val="00FA2EC8"/>
    <w:rsid w:val="00FA3151"/>
    <w:rsid w:val="00FA36CA"/>
    <w:rsid w:val="00FA594B"/>
    <w:rsid w:val="00FA647E"/>
    <w:rsid w:val="00FA68BC"/>
    <w:rsid w:val="00FA6EF7"/>
    <w:rsid w:val="00FA76C5"/>
    <w:rsid w:val="00FA7C7A"/>
    <w:rsid w:val="00FA7FC1"/>
    <w:rsid w:val="00FB026D"/>
    <w:rsid w:val="00FB1EF8"/>
    <w:rsid w:val="00FB20B9"/>
    <w:rsid w:val="00FB2718"/>
    <w:rsid w:val="00FB305A"/>
    <w:rsid w:val="00FB311E"/>
    <w:rsid w:val="00FB3328"/>
    <w:rsid w:val="00FB463A"/>
    <w:rsid w:val="00FB53A2"/>
    <w:rsid w:val="00FB5593"/>
    <w:rsid w:val="00FB654D"/>
    <w:rsid w:val="00FB6799"/>
    <w:rsid w:val="00FB71F9"/>
    <w:rsid w:val="00FB7AD5"/>
    <w:rsid w:val="00FB7C59"/>
    <w:rsid w:val="00FC0A51"/>
    <w:rsid w:val="00FC0DCE"/>
    <w:rsid w:val="00FC0E79"/>
    <w:rsid w:val="00FC10ED"/>
    <w:rsid w:val="00FC2616"/>
    <w:rsid w:val="00FC2C98"/>
    <w:rsid w:val="00FC3303"/>
    <w:rsid w:val="00FC39FA"/>
    <w:rsid w:val="00FC3C9A"/>
    <w:rsid w:val="00FC3F16"/>
    <w:rsid w:val="00FC4540"/>
    <w:rsid w:val="00FC4624"/>
    <w:rsid w:val="00FC6904"/>
    <w:rsid w:val="00FC6C3D"/>
    <w:rsid w:val="00FC6D87"/>
    <w:rsid w:val="00FC70F8"/>
    <w:rsid w:val="00FC7156"/>
    <w:rsid w:val="00FC7714"/>
    <w:rsid w:val="00FC7E94"/>
    <w:rsid w:val="00FD0235"/>
    <w:rsid w:val="00FD0C4A"/>
    <w:rsid w:val="00FD1A0F"/>
    <w:rsid w:val="00FD1D4A"/>
    <w:rsid w:val="00FD1ED8"/>
    <w:rsid w:val="00FD1F69"/>
    <w:rsid w:val="00FD205C"/>
    <w:rsid w:val="00FD2703"/>
    <w:rsid w:val="00FD31E0"/>
    <w:rsid w:val="00FD338E"/>
    <w:rsid w:val="00FD3D4D"/>
    <w:rsid w:val="00FD3DB4"/>
    <w:rsid w:val="00FD4E66"/>
    <w:rsid w:val="00FD6093"/>
    <w:rsid w:val="00FD609E"/>
    <w:rsid w:val="00FD6E5F"/>
    <w:rsid w:val="00FD7D5F"/>
    <w:rsid w:val="00FE02F2"/>
    <w:rsid w:val="00FE083B"/>
    <w:rsid w:val="00FE0CF6"/>
    <w:rsid w:val="00FE1D9D"/>
    <w:rsid w:val="00FE1E4A"/>
    <w:rsid w:val="00FE2D36"/>
    <w:rsid w:val="00FE2E6F"/>
    <w:rsid w:val="00FE44D6"/>
    <w:rsid w:val="00FE45CD"/>
    <w:rsid w:val="00FE554B"/>
    <w:rsid w:val="00FE5934"/>
    <w:rsid w:val="00FE5A21"/>
    <w:rsid w:val="00FE5E54"/>
    <w:rsid w:val="00FE659C"/>
    <w:rsid w:val="00FE69F9"/>
    <w:rsid w:val="00FE6CE1"/>
    <w:rsid w:val="00FF093C"/>
    <w:rsid w:val="00FF0C34"/>
    <w:rsid w:val="00FF14CD"/>
    <w:rsid w:val="00FF186F"/>
    <w:rsid w:val="00FF208A"/>
    <w:rsid w:val="00FF22EB"/>
    <w:rsid w:val="00FF317A"/>
    <w:rsid w:val="00FF37A8"/>
    <w:rsid w:val="00FF4EF7"/>
    <w:rsid w:val="00FF587A"/>
    <w:rsid w:val="00FF61E8"/>
    <w:rsid w:val="00FF6346"/>
    <w:rsid w:val="00FF6F68"/>
    <w:rsid w:val="00FF7243"/>
    <w:rsid w:val="00FF76A5"/>
    <w:rsid w:val="00FF7A5C"/>
    <w:rsid w:val="0C062870"/>
    <w:rsid w:val="0D256FDA"/>
    <w:rsid w:val="13F86E48"/>
    <w:rsid w:val="14E67A48"/>
    <w:rsid w:val="1C9F8D44"/>
    <w:rsid w:val="2801372F"/>
    <w:rsid w:val="51642F51"/>
    <w:rsid w:val="574D9B8A"/>
    <w:rsid w:val="663C093A"/>
    <w:rsid w:val="711BCF44"/>
    <w:rsid w:val="737D6FBA"/>
    <w:rsid w:val="741342C2"/>
    <w:rsid w:val="7B76C8B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F7748A"/>
  <w15:docId w15:val="{DDE41F16-029F-4E34-986A-422D553C7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en-GB"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qFormat="1"/>
    <w:lsdException w:name="heading 3" w:semiHidden="1" w:uiPriority="5" w:qFormat="1"/>
    <w:lsdException w:name="heading 4" w:semiHidden="1" w:uiPriority="6"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qFormat="1"/>
    <w:lsdException w:name="List Number" w:semiHidden="1" w:uiPriority="12"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0" w:qFormat="1"/>
    <w:lsdException w:name="List Bullet 3" w:semiHidden="1" w:uiPriority="11" w:qFormat="1"/>
    <w:lsdException w:name="List Bullet 4" w:semiHidden="1" w:unhideWhenUsed="1"/>
    <w:lsdException w:name="List Bullet 5" w:semiHidden="1" w:unhideWhenUsed="1"/>
    <w:lsdException w:name="List Number 2" w:semiHidden="1" w:uiPriority="13" w:qFormat="1"/>
    <w:lsdException w:name="List Number 3" w:semiHidden="1" w:uiPriority="14" w:qFormat="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qFormat="1"/>
    <w:lsdException w:name="FollowedHyperlink" w:semiHidden="1" w:uiPriority="28" w:qFormat="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2"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unhideWhenUsed="1"/>
    <w:lsdException w:name="Intense Reference" w:uiPriority="32" w:unhideWhenUsed="1"/>
    <w:lsdException w:name="Book Title" w:uiPriority="33" w:unhideWhenUsed="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E57D2"/>
    <w:pPr>
      <w:tabs>
        <w:tab w:val="left" w:pos="284"/>
      </w:tabs>
      <w:spacing w:line="240" w:lineRule="atLeast"/>
      <w:jc w:val="both"/>
    </w:pPr>
    <w:rPr>
      <w:kern w:val="18"/>
      <w:sz w:val="20"/>
    </w:rPr>
  </w:style>
  <w:style w:type="paragraph" w:styleId="Heading1">
    <w:name w:val="heading 1"/>
    <w:aliases w:val="CNG Heading 1,Section Heading,Head1,Quod Heading 1,Chapter,Chapter1,Chapter2,Chapter3,Chapter4,Chapter Heading,H1,WYG Heading 1,Chapter head,L1,CH,. (1.0),Do Not Use,Outline1,Heading 1 - chapter,H11,H12,Heading 1 Char Char,Chapter Hdg,HE1,#,g"/>
    <w:basedOn w:val="Normal"/>
    <w:next w:val="BodyText"/>
    <w:link w:val="Heading1Char"/>
    <w:uiPriority w:val="9"/>
    <w:qFormat/>
    <w:rsid w:val="00872CBA"/>
    <w:pPr>
      <w:keepNext/>
      <w:keepLines/>
      <w:pageBreakBefore/>
      <w:numPr>
        <w:numId w:val="18"/>
      </w:numPr>
      <w:tabs>
        <w:tab w:val="clear" w:pos="284"/>
      </w:tabs>
      <w:spacing w:before="480" w:after="240" w:line="240" w:lineRule="auto"/>
      <w:outlineLvl w:val="0"/>
    </w:pPr>
    <w:rPr>
      <w:rFonts w:asciiTheme="majorHAnsi" w:eastAsiaTheme="majorEastAsia" w:hAnsiTheme="majorHAnsi" w:cstheme="majorBidi"/>
      <w:b/>
      <w:bCs/>
      <w:color w:val="008768" w:themeColor="accent1"/>
      <w:sz w:val="48"/>
      <w:szCs w:val="28"/>
    </w:rPr>
  </w:style>
  <w:style w:type="paragraph" w:styleId="Heading2">
    <w:name w:val="heading 2"/>
    <w:aliases w:val="CNG Heading 2,Head2,M42 Lvl 2 Heading,HE2,*,Section,Section1,Section2,Section3,Section11,Section21,Section4,Section12,Section22,Section31,Section111,Section211,Section5,Section13,Section23,Section32,Section112,Section212,Section6,Section14,h2"/>
    <w:basedOn w:val="Normal"/>
    <w:next w:val="BodyText"/>
    <w:link w:val="Heading2Char"/>
    <w:autoRedefine/>
    <w:uiPriority w:val="9"/>
    <w:qFormat/>
    <w:rsid w:val="00FC39FA"/>
    <w:pPr>
      <w:keepNext/>
      <w:keepLines/>
      <w:numPr>
        <w:ilvl w:val="1"/>
        <w:numId w:val="18"/>
      </w:numPr>
      <w:tabs>
        <w:tab w:val="clear" w:pos="284"/>
      </w:tabs>
      <w:spacing w:before="240" w:after="120" w:line="240" w:lineRule="auto"/>
      <w:ind w:left="851" w:hanging="851"/>
      <w:outlineLvl w:val="1"/>
    </w:pPr>
    <w:rPr>
      <w:rFonts w:asciiTheme="majorHAnsi" w:eastAsiaTheme="majorEastAsia" w:hAnsiTheme="majorHAnsi" w:cstheme="majorBidi"/>
      <w:b/>
      <w:bCs/>
      <w:color w:val="008768" w:themeColor="accent1"/>
      <w:sz w:val="36"/>
      <w:szCs w:val="26"/>
    </w:rPr>
  </w:style>
  <w:style w:type="paragraph" w:styleId="Heading3">
    <w:name w:val="heading 3"/>
    <w:basedOn w:val="Normal"/>
    <w:next w:val="BodyText"/>
    <w:link w:val="Heading3Char"/>
    <w:autoRedefine/>
    <w:uiPriority w:val="5"/>
    <w:qFormat/>
    <w:rsid w:val="009958FE"/>
    <w:pPr>
      <w:keepNext/>
      <w:keepLines/>
      <w:numPr>
        <w:ilvl w:val="2"/>
        <w:numId w:val="18"/>
      </w:numPr>
      <w:tabs>
        <w:tab w:val="clear" w:pos="284"/>
      </w:tabs>
      <w:spacing w:before="240" w:after="120" w:line="240" w:lineRule="auto"/>
      <w:outlineLvl w:val="2"/>
    </w:pPr>
    <w:rPr>
      <w:rFonts w:asciiTheme="majorHAnsi" w:eastAsiaTheme="majorEastAsia" w:hAnsiTheme="majorHAnsi" w:cstheme="majorBidi"/>
      <w:b/>
      <w:bCs/>
      <w:color w:val="008768" w:themeColor="accent1"/>
      <w:sz w:val="30"/>
    </w:rPr>
  </w:style>
  <w:style w:type="paragraph" w:styleId="Heading4">
    <w:name w:val="heading 4"/>
    <w:basedOn w:val="Normal"/>
    <w:next w:val="BodyText"/>
    <w:link w:val="Heading4Char"/>
    <w:autoRedefine/>
    <w:uiPriority w:val="6"/>
    <w:qFormat/>
    <w:rsid w:val="008C5A7C"/>
    <w:pPr>
      <w:keepNext/>
      <w:keepLines/>
      <w:numPr>
        <w:ilvl w:val="3"/>
        <w:numId w:val="18"/>
      </w:numPr>
      <w:tabs>
        <w:tab w:val="clear" w:pos="284"/>
      </w:tabs>
      <w:spacing w:after="240" w:line="240" w:lineRule="auto"/>
      <w:outlineLvl w:val="3"/>
    </w:pPr>
    <w:rPr>
      <w:rFonts w:asciiTheme="majorHAnsi" w:eastAsiaTheme="majorEastAsia" w:hAnsiTheme="majorHAnsi" w:cstheme="majorBidi"/>
      <w:b/>
      <w:bCs/>
      <w:iCs/>
      <w:color w:val="008768" w:themeColor="accent1"/>
      <w:sz w:val="24"/>
    </w:rPr>
  </w:style>
  <w:style w:type="paragraph" w:styleId="Heading5">
    <w:name w:val="heading 5"/>
    <w:basedOn w:val="Normal"/>
    <w:next w:val="BodyText"/>
    <w:link w:val="Heading5Char"/>
    <w:uiPriority w:val="9"/>
    <w:unhideWhenUsed/>
    <w:qFormat/>
    <w:rsid w:val="005769FD"/>
    <w:pPr>
      <w:keepNext/>
      <w:keepLines/>
      <w:numPr>
        <w:ilvl w:val="4"/>
        <w:numId w:val="18"/>
      </w:numPr>
      <w:spacing w:before="60" w:after="60"/>
      <w:outlineLvl w:val="4"/>
    </w:pPr>
    <w:rPr>
      <w:rFonts w:asciiTheme="majorHAnsi" w:eastAsiaTheme="majorEastAsia" w:hAnsiTheme="majorHAnsi" w:cstheme="majorBidi"/>
      <w:b/>
      <w:color w:val="008768" w:themeColor="accent1"/>
    </w:rPr>
  </w:style>
  <w:style w:type="paragraph" w:styleId="Heading6">
    <w:name w:val="heading 6"/>
    <w:basedOn w:val="Normal"/>
    <w:next w:val="Normal"/>
    <w:link w:val="Heading6Char"/>
    <w:uiPriority w:val="9"/>
    <w:semiHidden/>
    <w:unhideWhenUsed/>
    <w:rsid w:val="00582989"/>
    <w:pPr>
      <w:keepNext/>
      <w:keepLines/>
      <w:numPr>
        <w:ilvl w:val="5"/>
        <w:numId w:val="18"/>
      </w:numPr>
      <w:spacing w:before="200"/>
      <w:outlineLvl w:val="5"/>
    </w:pPr>
    <w:rPr>
      <w:rFonts w:asciiTheme="majorHAnsi" w:eastAsiaTheme="majorEastAsia" w:hAnsiTheme="majorHAnsi" w:cstheme="majorBidi"/>
      <w:i/>
      <w:iCs/>
      <w:color w:val="004333" w:themeColor="accent1" w:themeShade="7F"/>
    </w:rPr>
  </w:style>
  <w:style w:type="paragraph" w:styleId="Heading7">
    <w:name w:val="heading 7"/>
    <w:basedOn w:val="Normal"/>
    <w:next w:val="Normal"/>
    <w:link w:val="Heading7Char"/>
    <w:uiPriority w:val="9"/>
    <w:semiHidden/>
    <w:unhideWhenUsed/>
    <w:rsid w:val="00582989"/>
    <w:pPr>
      <w:keepNext/>
      <w:keepLines/>
      <w:numPr>
        <w:ilvl w:val="6"/>
        <w:numId w:val="18"/>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rsid w:val="00582989"/>
    <w:pPr>
      <w:keepNext/>
      <w:keepLines/>
      <w:numPr>
        <w:ilvl w:val="7"/>
        <w:numId w:val="18"/>
      </w:numPr>
      <w:spacing w:before="20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unhideWhenUsed/>
    <w:rsid w:val="00582989"/>
    <w:pPr>
      <w:keepNext/>
      <w:keepLines/>
      <w:numPr>
        <w:ilvl w:val="8"/>
        <w:numId w:val="18"/>
      </w:numPr>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NG Heading 1 Char,Section Heading Char,Head1 Char,Quod Heading 1 Char,Chapter Char,Chapter1 Char,Chapter2 Char,Chapter3 Char,Chapter4 Char,Chapter Heading Char,H1 Char,WYG Heading 1 Char,Chapter head Char,L1 Char,CH Char,. (1.0) Char"/>
    <w:basedOn w:val="DefaultParagraphFont"/>
    <w:link w:val="Heading1"/>
    <w:uiPriority w:val="3"/>
    <w:rsid w:val="00872CBA"/>
    <w:rPr>
      <w:rFonts w:asciiTheme="majorHAnsi" w:eastAsiaTheme="majorEastAsia" w:hAnsiTheme="majorHAnsi" w:cstheme="majorBidi"/>
      <w:b/>
      <w:bCs/>
      <w:color w:val="008768" w:themeColor="accent1"/>
      <w:kern w:val="18"/>
      <w:sz w:val="48"/>
      <w:szCs w:val="28"/>
    </w:rPr>
  </w:style>
  <w:style w:type="character" w:customStyle="1" w:styleId="Heading2Char">
    <w:name w:val="Heading 2 Char"/>
    <w:aliases w:val="CNG Heading 2 Char,Head2 Char,M42 Lvl 2 Heading Char,HE2 Char,* Char,Section Char,Section1 Char,Section2 Char,Section3 Char,Section11 Char,Section21 Char,Section4 Char,Section12 Char,Section22 Char,Section31 Char,Section111 Char,h2 Char"/>
    <w:basedOn w:val="DefaultParagraphFont"/>
    <w:link w:val="Heading2"/>
    <w:uiPriority w:val="4"/>
    <w:rsid w:val="00FC39FA"/>
    <w:rPr>
      <w:rFonts w:asciiTheme="majorHAnsi" w:eastAsiaTheme="majorEastAsia" w:hAnsiTheme="majorHAnsi" w:cstheme="majorBidi"/>
      <w:b/>
      <w:bCs/>
      <w:color w:val="008768" w:themeColor="accent1"/>
      <w:kern w:val="18"/>
      <w:sz w:val="36"/>
      <w:szCs w:val="26"/>
    </w:rPr>
  </w:style>
  <w:style w:type="character" w:customStyle="1" w:styleId="Heading3Char">
    <w:name w:val="Heading 3 Char"/>
    <w:basedOn w:val="DefaultParagraphFont"/>
    <w:link w:val="Heading3"/>
    <w:uiPriority w:val="5"/>
    <w:rsid w:val="009958FE"/>
    <w:rPr>
      <w:rFonts w:asciiTheme="majorHAnsi" w:eastAsiaTheme="majorEastAsia" w:hAnsiTheme="majorHAnsi" w:cstheme="majorBidi"/>
      <w:b/>
      <w:bCs/>
      <w:color w:val="008768" w:themeColor="accent1"/>
      <w:kern w:val="18"/>
      <w:sz w:val="30"/>
    </w:rPr>
  </w:style>
  <w:style w:type="paragraph" w:styleId="ListNumber">
    <w:name w:val="List Number"/>
    <w:basedOn w:val="Normal"/>
    <w:uiPriority w:val="12"/>
    <w:qFormat/>
    <w:rsid w:val="00790710"/>
    <w:pPr>
      <w:numPr>
        <w:numId w:val="14"/>
      </w:numPr>
      <w:tabs>
        <w:tab w:val="clear" w:pos="284"/>
      </w:tabs>
      <w:spacing w:after="120"/>
    </w:pPr>
  </w:style>
  <w:style w:type="paragraph" w:styleId="ListNumber2">
    <w:name w:val="List Number 2"/>
    <w:basedOn w:val="Normal"/>
    <w:uiPriority w:val="13"/>
    <w:qFormat/>
    <w:rsid w:val="00790710"/>
    <w:pPr>
      <w:numPr>
        <w:ilvl w:val="1"/>
        <w:numId w:val="14"/>
      </w:numPr>
      <w:tabs>
        <w:tab w:val="clear" w:pos="284"/>
      </w:tabs>
      <w:spacing w:after="120"/>
    </w:pPr>
  </w:style>
  <w:style w:type="paragraph" w:styleId="ListNumber3">
    <w:name w:val="List Number 3"/>
    <w:basedOn w:val="Normal"/>
    <w:uiPriority w:val="14"/>
    <w:qFormat/>
    <w:rsid w:val="00790710"/>
    <w:pPr>
      <w:numPr>
        <w:ilvl w:val="2"/>
        <w:numId w:val="14"/>
      </w:numPr>
      <w:tabs>
        <w:tab w:val="clear" w:pos="284"/>
      </w:tabs>
      <w:spacing w:after="120"/>
    </w:pPr>
  </w:style>
  <w:style w:type="paragraph" w:styleId="ListBullet">
    <w:name w:val="List Bullet"/>
    <w:basedOn w:val="Normal"/>
    <w:uiPriority w:val="9"/>
    <w:qFormat/>
    <w:rsid w:val="00790710"/>
    <w:pPr>
      <w:tabs>
        <w:tab w:val="clear" w:pos="284"/>
        <w:tab w:val="num" w:pos="425"/>
      </w:tabs>
      <w:spacing w:after="120"/>
      <w:ind w:left="425" w:hanging="425"/>
    </w:pPr>
  </w:style>
  <w:style w:type="paragraph" w:styleId="ListBullet2">
    <w:name w:val="List Bullet 2"/>
    <w:basedOn w:val="Normal"/>
    <w:uiPriority w:val="10"/>
    <w:qFormat/>
    <w:rsid w:val="00790710"/>
    <w:pPr>
      <w:numPr>
        <w:ilvl w:val="1"/>
        <w:numId w:val="24"/>
      </w:numPr>
      <w:tabs>
        <w:tab w:val="clear" w:pos="284"/>
        <w:tab w:val="clear" w:pos="851"/>
        <w:tab w:val="num" w:pos="1209"/>
      </w:tabs>
      <w:spacing w:after="120"/>
    </w:pPr>
  </w:style>
  <w:style w:type="paragraph" w:styleId="ListBullet3">
    <w:name w:val="List Bullet 3"/>
    <w:basedOn w:val="Normal"/>
    <w:uiPriority w:val="11"/>
    <w:qFormat/>
    <w:rsid w:val="00790710"/>
    <w:pPr>
      <w:numPr>
        <w:ilvl w:val="2"/>
        <w:numId w:val="24"/>
      </w:numPr>
      <w:tabs>
        <w:tab w:val="clear" w:pos="284"/>
        <w:tab w:val="clear" w:pos="1276"/>
        <w:tab w:val="num" w:pos="1209"/>
      </w:tabs>
      <w:spacing w:after="120"/>
    </w:pPr>
  </w:style>
  <w:style w:type="character" w:customStyle="1" w:styleId="Heading4Char">
    <w:name w:val="Heading 4 Char"/>
    <w:basedOn w:val="DefaultParagraphFont"/>
    <w:link w:val="Heading4"/>
    <w:uiPriority w:val="6"/>
    <w:rsid w:val="008C5A7C"/>
    <w:rPr>
      <w:rFonts w:asciiTheme="majorHAnsi" w:eastAsiaTheme="majorEastAsia" w:hAnsiTheme="majorHAnsi" w:cstheme="majorBidi"/>
      <w:b/>
      <w:bCs/>
      <w:iCs/>
      <w:color w:val="008768" w:themeColor="accent1"/>
      <w:kern w:val="18"/>
      <w:sz w:val="24"/>
    </w:rPr>
  </w:style>
  <w:style w:type="numbering" w:customStyle="1" w:styleId="AECOMBullets">
    <w:name w:val="AECOM_Bullets"/>
    <w:basedOn w:val="NoList"/>
    <w:uiPriority w:val="99"/>
    <w:semiHidden/>
    <w:unhideWhenUsed/>
    <w:rsid w:val="00C86409"/>
    <w:pPr>
      <w:numPr>
        <w:numId w:val="1"/>
      </w:numPr>
    </w:pPr>
  </w:style>
  <w:style w:type="character" w:customStyle="1" w:styleId="Heading5Char">
    <w:name w:val="Heading 5 Char"/>
    <w:basedOn w:val="DefaultParagraphFont"/>
    <w:link w:val="Heading5"/>
    <w:uiPriority w:val="9"/>
    <w:rsid w:val="005769FD"/>
    <w:rPr>
      <w:rFonts w:asciiTheme="majorHAnsi" w:eastAsiaTheme="majorEastAsia" w:hAnsiTheme="majorHAnsi" w:cstheme="majorBidi"/>
      <w:b/>
      <w:color w:val="008768" w:themeColor="accent1"/>
      <w:kern w:val="18"/>
      <w:sz w:val="20"/>
    </w:rPr>
  </w:style>
  <w:style w:type="paragraph" w:styleId="BodyText">
    <w:name w:val="Body Text"/>
    <w:basedOn w:val="Normal"/>
    <w:link w:val="BodyTextChar"/>
    <w:qFormat/>
    <w:rsid w:val="00CC1747"/>
    <w:pPr>
      <w:tabs>
        <w:tab w:val="clear" w:pos="284"/>
      </w:tabs>
      <w:spacing w:after="180"/>
    </w:pPr>
  </w:style>
  <w:style w:type="numbering" w:customStyle="1" w:styleId="AECOMList">
    <w:name w:val="AECOM_List"/>
    <w:basedOn w:val="NoList"/>
    <w:uiPriority w:val="99"/>
    <w:semiHidden/>
    <w:unhideWhenUsed/>
    <w:rsid w:val="00323654"/>
    <w:pPr>
      <w:numPr>
        <w:numId w:val="2"/>
      </w:numPr>
    </w:pPr>
  </w:style>
  <w:style w:type="character" w:customStyle="1" w:styleId="BodyTextChar">
    <w:name w:val="Body Text Char"/>
    <w:basedOn w:val="DefaultParagraphFont"/>
    <w:link w:val="BodyText"/>
    <w:rsid w:val="00CC1747"/>
    <w:rPr>
      <w:kern w:val="18"/>
    </w:rPr>
  </w:style>
  <w:style w:type="paragraph" w:customStyle="1" w:styleId="CoverTitle">
    <w:name w:val="Cover Title"/>
    <w:basedOn w:val="Normal"/>
    <w:next w:val="BodyText"/>
    <w:semiHidden/>
    <w:unhideWhenUsed/>
    <w:rsid w:val="00DD3356"/>
    <w:pPr>
      <w:spacing w:before="360" w:after="360" w:line="900" w:lineRule="atLeast"/>
    </w:pPr>
    <w:rPr>
      <w:rFonts w:asciiTheme="majorHAnsi" w:hAnsiTheme="majorHAnsi"/>
      <w:b/>
      <w:color w:val="008768" w:themeColor="accent1"/>
      <w:sz w:val="80"/>
    </w:rPr>
  </w:style>
  <w:style w:type="paragraph" w:customStyle="1" w:styleId="SectionTitle">
    <w:name w:val="Section Title"/>
    <w:basedOn w:val="BodyText"/>
    <w:next w:val="BodyText"/>
    <w:semiHidden/>
    <w:unhideWhenUsed/>
    <w:rsid w:val="00D129FA"/>
    <w:pPr>
      <w:spacing w:before="360" w:after="360" w:line="660" w:lineRule="atLeast"/>
      <w:jc w:val="right"/>
    </w:pPr>
    <w:rPr>
      <w:rFonts w:asciiTheme="majorHAnsi" w:hAnsiTheme="majorHAnsi"/>
      <w:color w:val="FFFFFF" w:themeColor="background1"/>
      <w:sz w:val="60"/>
    </w:rPr>
  </w:style>
  <w:style w:type="paragraph" w:customStyle="1" w:styleId="DividerSectionNumber">
    <w:name w:val="Divider Section Number"/>
    <w:basedOn w:val="BodyText"/>
    <w:next w:val="BodyText"/>
    <w:semiHidden/>
    <w:unhideWhenUsed/>
    <w:rsid w:val="00B55307"/>
    <w:pPr>
      <w:spacing w:before="360" w:after="360" w:line="2400" w:lineRule="atLeast"/>
      <w:jc w:val="right"/>
    </w:pPr>
    <w:rPr>
      <w:rFonts w:asciiTheme="majorHAnsi" w:hAnsiTheme="majorHAnsi"/>
      <w:color w:val="FFFFFF" w:themeColor="background1"/>
      <w:sz w:val="200"/>
    </w:rPr>
  </w:style>
  <w:style w:type="paragraph" w:customStyle="1" w:styleId="DividerSectionNumberSmall">
    <w:name w:val="Divider Section Number (Small)"/>
    <w:basedOn w:val="Normal"/>
    <w:next w:val="BodyText"/>
    <w:semiHidden/>
    <w:unhideWhenUsed/>
    <w:rsid w:val="00DD3356"/>
    <w:pPr>
      <w:spacing w:before="360" w:after="360" w:line="1440" w:lineRule="atLeast"/>
      <w:jc w:val="right"/>
    </w:pPr>
    <w:rPr>
      <w:rFonts w:asciiTheme="majorHAnsi" w:hAnsiTheme="majorHAnsi"/>
      <w:b/>
      <w:color w:val="008768" w:themeColor="accent1"/>
      <w:sz w:val="120"/>
    </w:rPr>
  </w:style>
  <w:style w:type="table" w:styleId="TableGrid">
    <w:name w:val="Table Grid"/>
    <w:basedOn w:val="TableNormal"/>
    <w:semiHidden/>
    <w:unhideWhenUsed/>
    <w:rsid w:val="00364FD7"/>
    <w:rPr>
      <w:sz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blStylePr w:type="firstRow">
      <w:rPr>
        <w:rFonts w:asciiTheme="majorHAnsi" w:hAnsiTheme="majorHAnsi"/>
        <w:b w:val="0"/>
      </w:rPr>
    </w:tblStylePr>
  </w:style>
  <w:style w:type="table" w:customStyle="1" w:styleId="AECOMtable">
    <w:name w:val="AECOM table"/>
    <w:basedOn w:val="TableNormal"/>
    <w:uiPriority w:val="99"/>
    <w:unhideWhenUsed/>
    <w:rsid w:val="00840C89"/>
    <w:tblPr>
      <w:tblBorders>
        <w:insideH w:val="single" w:sz="4" w:space="0" w:color="auto"/>
      </w:tblBorders>
      <w:tblCellMar>
        <w:top w:w="28" w:type="dxa"/>
        <w:left w:w="0" w:type="dxa"/>
        <w:bottom w:w="28" w:type="dxa"/>
        <w:right w:w="113" w:type="dxa"/>
      </w:tblCellMar>
    </w:tblPr>
    <w:tblStylePr w:type="firstRow">
      <w:rPr>
        <w:rFonts w:asciiTheme="majorHAnsi" w:hAnsiTheme="majorHAnsi"/>
        <w:b/>
        <w:color w:val="008768" w:themeColor="accent1"/>
        <w:sz w:val="16"/>
      </w:rPr>
      <w:tblPr/>
      <w:tcPr>
        <w:tcBorders>
          <w:top w:val="nil"/>
          <w:left w:val="nil"/>
          <w:bottom w:val="single" w:sz="12" w:space="0" w:color="008768" w:themeColor="accent1"/>
          <w:right w:val="nil"/>
          <w:insideH w:val="nil"/>
          <w:insideV w:val="nil"/>
          <w:tl2br w:val="nil"/>
          <w:tr2bl w:val="nil"/>
        </w:tcBorders>
      </w:tcPr>
    </w:tblStylePr>
  </w:style>
  <w:style w:type="paragraph" w:styleId="Caption">
    <w:name w:val="caption"/>
    <w:basedOn w:val="Normal"/>
    <w:next w:val="BodyText"/>
    <w:link w:val="CaptionChar"/>
    <w:qFormat/>
    <w:rsid w:val="005756F4"/>
    <w:pPr>
      <w:keepNext/>
      <w:spacing w:after="120"/>
    </w:pPr>
    <w:rPr>
      <w:rFonts w:asciiTheme="majorHAnsi" w:hAnsiTheme="majorHAnsi"/>
      <w:b/>
      <w:bCs/>
      <w:color w:val="008768" w:themeColor="accent1"/>
    </w:rPr>
  </w:style>
  <w:style w:type="paragraph" w:customStyle="1" w:styleId="Source">
    <w:name w:val="Source"/>
    <w:basedOn w:val="Normal"/>
    <w:qFormat/>
    <w:rsid w:val="00F4332F"/>
    <w:pPr>
      <w:spacing w:after="120"/>
    </w:pPr>
    <w:rPr>
      <w:i/>
      <w:sz w:val="16"/>
    </w:rPr>
  </w:style>
  <w:style w:type="paragraph" w:styleId="FootnoteText">
    <w:name w:val="footnote text"/>
    <w:aliases w:val="RSK-FT,RSK-FT1,RSK-FT2,Footnote Text Char Char,Footnote Text Char Char Char Char,Harestanes Ref,Char Char Char1,~Footnote,AQC Footnote,Char Char1,Footnote Text (EKOS),Footnote (EKOS),Char1,RSK-FT3,RSK-FT11,RSK-FT21,RSK-FT4,RSK-FT12,o,F-"/>
    <w:basedOn w:val="Normal"/>
    <w:link w:val="FootnoteTextChar"/>
    <w:unhideWhenUsed/>
    <w:qFormat/>
    <w:rsid w:val="00253171"/>
    <w:pPr>
      <w:spacing w:line="240" w:lineRule="auto"/>
    </w:pPr>
    <w:rPr>
      <w:sz w:val="16"/>
      <w:szCs w:val="20"/>
    </w:rPr>
  </w:style>
  <w:style w:type="character" w:customStyle="1" w:styleId="FootnoteTextChar">
    <w:name w:val="Footnote Text Char"/>
    <w:aliases w:val="RSK-FT Char,RSK-FT1 Char,RSK-FT2 Char,Footnote Text Char Char Char,Footnote Text Char Char Char Char Char,Harestanes Ref Char,Char Char Char1 Char,~Footnote Char,AQC Footnote Char,Char Char1 Char,Footnote Text (EKOS) Char,Char1 Char"/>
    <w:basedOn w:val="DefaultParagraphFont"/>
    <w:link w:val="FootnoteText"/>
    <w:rsid w:val="00F66A91"/>
    <w:rPr>
      <w:kern w:val="18"/>
      <w:sz w:val="16"/>
      <w:szCs w:val="20"/>
    </w:rPr>
  </w:style>
  <w:style w:type="character" w:styleId="FootnoteReference">
    <w:name w:val="footnote reference"/>
    <w:aliases w:val="EN Footnote Reference,SUPERS,FN Number,Footnote symbol,Voetnootverwijzing,Times 10 Point,Exposant 3 Point,Appel note de bas de p,Footnote Reference Superscript,Footnote Reference text,footnote ref,FR,Fuﬂnotenzeichen diss neu,number,fr"/>
    <w:basedOn w:val="DefaultParagraphFont"/>
    <w:unhideWhenUsed/>
    <w:qFormat/>
    <w:rsid w:val="00F27E4A"/>
    <w:rPr>
      <w:rFonts w:asciiTheme="majorHAnsi" w:hAnsiTheme="majorHAnsi"/>
      <w:color w:val="auto"/>
      <w:vertAlign w:val="superscript"/>
    </w:rPr>
  </w:style>
  <w:style w:type="paragraph" w:customStyle="1" w:styleId="Appendix">
    <w:name w:val="Appendix"/>
    <w:basedOn w:val="Heading1"/>
    <w:next w:val="BodyText"/>
    <w:uiPriority w:val="7"/>
    <w:qFormat/>
    <w:rsid w:val="006A3705"/>
    <w:pPr>
      <w:numPr>
        <w:numId w:val="17"/>
      </w:numPr>
    </w:pPr>
  </w:style>
  <w:style w:type="character" w:styleId="Hyperlink">
    <w:name w:val="Hyperlink"/>
    <w:basedOn w:val="DefaultParagraphFont"/>
    <w:uiPriority w:val="99"/>
    <w:qFormat/>
    <w:rsid w:val="00F15F1A"/>
    <w:rPr>
      <w:color w:val="008768" w:themeColor="accent1"/>
      <w:u w:val="single"/>
    </w:rPr>
  </w:style>
  <w:style w:type="character" w:styleId="FollowedHyperlink">
    <w:name w:val="FollowedHyperlink"/>
    <w:basedOn w:val="DefaultParagraphFont"/>
    <w:uiPriority w:val="28"/>
    <w:qFormat/>
    <w:rsid w:val="00F15F1A"/>
    <w:rPr>
      <w:color w:val="00353E" w:themeColor="accent2"/>
      <w:u w:val="single"/>
    </w:rPr>
  </w:style>
  <w:style w:type="table" w:styleId="ColourfulGrid">
    <w:name w:val="Colorful Grid"/>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B4FFED" w:themeFill="accent1" w:themeFillTint="33"/>
    </w:tcPr>
    <w:tblStylePr w:type="firstRow">
      <w:rPr>
        <w:b/>
        <w:bCs/>
      </w:rPr>
      <w:tblPr/>
      <w:tcPr>
        <w:shd w:val="clear" w:color="auto" w:fill="69FFDC" w:themeFill="accent1" w:themeFillTint="66"/>
      </w:tcPr>
    </w:tblStylePr>
    <w:tblStylePr w:type="lastRow">
      <w:rPr>
        <w:b/>
        <w:bCs/>
        <w:color w:val="000000" w:themeColor="text1"/>
      </w:rPr>
      <w:tblPr/>
      <w:tcPr>
        <w:shd w:val="clear" w:color="auto" w:fill="69FFDC" w:themeFill="accent1" w:themeFillTint="66"/>
      </w:tcPr>
    </w:tblStylePr>
    <w:tblStylePr w:type="firstCol">
      <w:rPr>
        <w:color w:val="FFFFFF" w:themeColor="background1"/>
      </w:rPr>
      <w:tblPr/>
      <w:tcPr>
        <w:shd w:val="clear" w:color="auto" w:fill="00654D" w:themeFill="accent1" w:themeFillShade="BF"/>
      </w:tcPr>
    </w:tblStylePr>
    <w:tblStylePr w:type="lastCol">
      <w:rPr>
        <w:color w:val="FFFFFF" w:themeColor="background1"/>
      </w:rPr>
      <w:tblPr/>
      <w:tcPr>
        <w:shd w:val="clear" w:color="auto" w:fill="00654D" w:themeFill="accent1" w:themeFillShade="BF"/>
      </w:tcPr>
    </w:tblStylePr>
    <w:tblStylePr w:type="band1Vert">
      <w:tblPr/>
      <w:tcPr>
        <w:shd w:val="clear" w:color="auto" w:fill="44FFD3" w:themeFill="accent1" w:themeFillTint="7F"/>
      </w:tcPr>
    </w:tblStylePr>
    <w:tblStylePr w:type="band1Horz">
      <w:tblPr/>
      <w:tcPr>
        <w:shd w:val="clear" w:color="auto" w:fill="44FFD3" w:themeFill="accent1" w:themeFillTint="7F"/>
      </w:tcPr>
    </w:tblStylePr>
  </w:style>
  <w:style w:type="table" w:styleId="ColourfulGridAccent2">
    <w:name w:val="Colorful Grid Accent 2"/>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A5F1FF" w:themeFill="accent2" w:themeFillTint="33"/>
    </w:tcPr>
    <w:tblStylePr w:type="firstRow">
      <w:rPr>
        <w:b/>
        <w:bCs/>
      </w:rPr>
      <w:tblPr/>
      <w:tcPr>
        <w:shd w:val="clear" w:color="auto" w:fill="4BE4FF" w:themeFill="accent2" w:themeFillTint="66"/>
      </w:tcPr>
    </w:tblStylePr>
    <w:tblStylePr w:type="lastRow">
      <w:rPr>
        <w:b/>
        <w:bCs/>
        <w:color w:val="000000" w:themeColor="text1"/>
      </w:rPr>
      <w:tblPr/>
      <w:tcPr>
        <w:shd w:val="clear" w:color="auto" w:fill="4BE4FF" w:themeFill="accent2" w:themeFillTint="66"/>
      </w:tcPr>
    </w:tblStylePr>
    <w:tblStylePr w:type="firstCol">
      <w:rPr>
        <w:color w:val="FFFFFF" w:themeColor="background1"/>
      </w:rPr>
      <w:tblPr/>
      <w:tcPr>
        <w:shd w:val="clear" w:color="auto" w:fill="00272E" w:themeFill="accent2" w:themeFillShade="BF"/>
      </w:tcPr>
    </w:tblStylePr>
    <w:tblStylePr w:type="lastCol">
      <w:rPr>
        <w:color w:val="FFFFFF" w:themeColor="background1"/>
      </w:rPr>
      <w:tblPr/>
      <w:tcPr>
        <w:shd w:val="clear" w:color="auto" w:fill="00272E" w:themeFill="accent2" w:themeFillShade="BF"/>
      </w:tcPr>
    </w:tblStylePr>
    <w:tblStylePr w:type="band1Vert">
      <w:tblPr/>
      <w:tcPr>
        <w:shd w:val="clear" w:color="auto" w:fill="1FDDFF" w:themeFill="accent2" w:themeFillTint="7F"/>
      </w:tcPr>
    </w:tblStylePr>
    <w:tblStylePr w:type="band1Horz">
      <w:tblPr/>
      <w:tcPr>
        <w:shd w:val="clear" w:color="auto" w:fill="1FDDFF" w:themeFill="accent2" w:themeFillTint="7F"/>
      </w:tcPr>
    </w:tblStylePr>
  </w:style>
  <w:style w:type="table" w:styleId="ColourfulGridAccent3">
    <w:name w:val="Colorful Grid Accent 3"/>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EEF4DC" w:themeFill="accent3" w:themeFillTint="33"/>
    </w:tcPr>
    <w:tblStylePr w:type="firstRow">
      <w:rPr>
        <w:b/>
        <w:bCs/>
      </w:rPr>
      <w:tblPr/>
      <w:tcPr>
        <w:shd w:val="clear" w:color="auto" w:fill="DEEABA" w:themeFill="accent3" w:themeFillTint="66"/>
      </w:tcPr>
    </w:tblStylePr>
    <w:tblStylePr w:type="lastRow">
      <w:rPr>
        <w:b/>
        <w:bCs/>
        <w:color w:val="000000" w:themeColor="text1"/>
      </w:rPr>
      <w:tblPr/>
      <w:tcPr>
        <w:shd w:val="clear" w:color="auto" w:fill="DEEABA" w:themeFill="accent3" w:themeFillTint="66"/>
      </w:tcPr>
    </w:tblStylePr>
    <w:tblStylePr w:type="firstCol">
      <w:rPr>
        <w:color w:val="FFFFFF" w:themeColor="background1"/>
      </w:rPr>
      <w:tblPr/>
      <w:tcPr>
        <w:shd w:val="clear" w:color="auto" w:fill="88A531" w:themeFill="accent3" w:themeFillShade="BF"/>
      </w:tcPr>
    </w:tblStylePr>
    <w:tblStylePr w:type="lastCol">
      <w:rPr>
        <w:color w:val="FFFFFF" w:themeColor="background1"/>
      </w:rPr>
      <w:tblPr/>
      <w:tcPr>
        <w:shd w:val="clear" w:color="auto" w:fill="88A531" w:themeFill="accent3" w:themeFillShade="BF"/>
      </w:tcPr>
    </w:tblStylePr>
    <w:tblStylePr w:type="band1Vert">
      <w:tblPr/>
      <w:tcPr>
        <w:shd w:val="clear" w:color="auto" w:fill="D6E5A9" w:themeFill="accent3" w:themeFillTint="7F"/>
      </w:tcPr>
    </w:tblStylePr>
    <w:tblStylePr w:type="band1Horz">
      <w:tblPr/>
      <w:tcPr>
        <w:shd w:val="clear" w:color="auto" w:fill="D6E5A9" w:themeFill="accent3" w:themeFillTint="7F"/>
      </w:tcPr>
    </w:tblStylePr>
  </w:style>
  <w:style w:type="table" w:styleId="ColourfulGridAccent4">
    <w:name w:val="Colorful Grid Accent 4"/>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FBD2CE" w:themeFill="accent4" w:themeFillTint="33"/>
    </w:tcPr>
    <w:tblStylePr w:type="firstRow">
      <w:rPr>
        <w:b/>
        <w:bCs/>
      </w:rPr>
      <w:tblPr/>
      <w:tcPr>
        <w:shd w:val="clear" w:color="auto" w:fill="F7A69E" w:themeFill="accent4" w:themeFillTint="66"/>
      </w:tcPr>
    </w:tblStylePr>
    <w:tblStylePr w:type="lastRow">
      <w:rPr>
        <w:b/>
        <w:bCs/>
        <w:color w:val="000000" w:themeColor="text1"/>
      </w:rPr>
      <w:tblPr/>
      <w:tcPr>
        <w:shd w:val="clear" w:color="auto" w:fill="F7A69E" w:themeFill="accent4" w:themeFillTint="66"/>
      </w:tcPr>
    </w:tblStylePr>
    <w:tblStylePr w:type="firstCol">
      <w:rPr>
        <w:color w:val="FFFFFF" w:themeColor="background1"/>
      </w:rPr>
      <w:tblPr/>
      <w:tcPr>
        <w:shd w:val="clear" w:color="auto" w:fill="AB1D0E" w:themeFill="accent4" w:themeFillShade="BF"/>
      </w:tcPr>
    </w:tblStylePr>
    <w:tblStylePr w:type="lastCol">
      <w:rPr>
        <w:color w:val="FFFFFF" w:themeColor="background1"/>
      </w:rPr>
      <w:tblPr/>
      <w:tcPr>
        <w:shd w:val="clear" w:color="auto" w:fill="AB1D0E" w:themeFill="accent4" w:themeFillShade="BF"/>
      </w:tcPr>
    </w:tblStylePr>
    <w:tblStylePr w:type="band1Vert">
      <w:tblPr/>
      <w:tcPr>
        <w:shd w:val="clear" w:color="auto" w:fill="F59086" w:themeFill="accent4" w:themeFillTint="7F"/>
      </w:tcPr>
    </w:tblStylePr>
    <w:tblStylePr w:type="band1Horz">
      <w:tblPr/>
      <w:tcPr>
        <w:shd w:val="clear" w:color="auto" w:fill="F59086" w:themeFill="accent4" w:themeFillTint="7F"/>
      </w:tcPr>
    </w:tblStylePr>
  </w:style>
  <w:style w:type="table" w:styleId="ColourfulGridAccent5">
    <w:name w:val="Colorful Grid Accent 5"/>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B8FEFF" w:themeFill="accent5" w:themeFillTint="33"/>
    </w:tcPr>
    <w:tblStylePr w:type="firstRow">
      <w:rPr>
        <w:b/>
        <w:bCs/>
      </w:rPr>
      <w:tblPr/>
      <w:tcPr>
        <w:shd w:val="clear" w:color="auto" w:fill="71FDFF" w:themeFill="accent5" w:themeFillTint="66"/>
      </w:tcPr>
    </w:tblStylePr>
    <w:tblStylePr w:type="lastRow">
      <w:rPr>
        <w:b/>
        <w:bCs/>
        <w:color w:val="000000" w:themeColor="text1"/>
      </w:rPr>
      <w:tblPr/>
      <w:tcPr>
        <w:shd w:val="clear" w:color="auto" w:fill="71FDFF" w:themeFill="accent5" w:themeFillTint="66"/>
      </w:tcPr>
    </w:tblStylePr>
    <w:tblStylePr w:type="firstCol">
      <w:rPr>
        <w:color w:val="FFFFFF" w:themeColor="background1"/>
      </w:rPr>
      <w:tblPr/>
      <w:tcPr>
        <w:shd w:val="clear" w:color="auto" w:fill="007374" w:themeFill="accent5" w:themeFillShade="BF"/>
      </w:tcPr>
    </w:tblStylePr>
    <w:tblStylePr w:type="lastCol">
      <w:rPr>
        <w:color w:val="FFFFFF" w:themeColor="background1"/>
      </w:rPr>
      <w:tblPr/>
      <w:tcPr>
        <w:shd w:val="clear" w:color="auto" w:fill="007374" w:themeFill="accent5" w:themeFillShade="BF"/>
      </w:tcPr>
    </w:tblStylePr>
    <w:tblStylePr w:type="band1Vert">
      <w:tblPr/>
      <w:tcPr>
        <w:shd w:val="clear" w:color="auto" w:fill="4EFDFF" w:themeFill="accent5" w:themeFillTint="7F"/>
      </w:tcPr>
    </w:tblStylePr>
    <w:tblStylePr w:type="band1Horz">
      <w:tblPr/>
      <w:tcPr>
        <w:shd w:val="clear" w:color="auto" w:fill="4EFDFF" w:themeFill="accent5" w:themeFillTint="7F"/>
      </w:tcPr>
    </w:tblStylePr>
  </w:style>
  <w:style w:type="table" w:styleId="ColourfulGridAccent6">
    <w:name w:val="Colorful Grid Accent 6"/>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FFF5CC" w:themeFill="accent6" w:themeFillTint="33"/>
    </w:tcPr>
    <w:tblStylePr w:type="firstRow">
      <w:rPr>
        <w:b/>
        <w:bCs/>
      </w:rPr>
      <w:tblPr/>
      <w:tcPr>
        <w:shd w:val="clear" w:color="auto" w:fill="FFEB99" w:themeFill="accent6" w:themeFillTint="66"/>
      </w:tcPr>
    </w:tblStylePr>
    <w:tblStylePr w:type="lastRow">
      <w:rPr>
        <w:b/>
        <w:bCs/>
        <w:color w:val="000000" w:themeColor="text1"/>
      </w:rPr>
      <w:tblPr/>
      <w:tcPr>
        <w:shd w:val="clear" w:color="auto" w:fill="FFEB99" w:themeFill="accent6" w:themeFillTint="66"/>
      </w:tcPr>
    </w:tblStylePr>
    <w:tblStylePr w:type="firstCol">
      <w:rPr>
        <w:color w:val="FFFFFF" w:themeColor="background1"/>
      </w:rPr>
      <w:tblPr/>
      <w:tcPr>
        <w:shd w:val="clear" w:color="auto" w:fill="BF9A00" w:themeFill="accent6" w:themeFillShade="BF"/>
      </w:tcPr>
    </w:tblStylePr>
    <w:tblStylePr w:type="lastCol">
      <w:rPr>
        <w:color w:val="FFFFFF" w:themeColor="background1"/>
      </w:rPr>
      <w:tblPr/>
      <w:tcPr>
        <w:shd w:val="clear" w:color="auto" w:fill="BF9A00" w:themeFill="accent6" w:themeFillShade="BF"/>
      </w:tcPr>
    </w:tblStylePr>
    <w:tblStylePr w:type="band1Vert">
      <w:tblPr/>
      <w:tcPr>
        <w:shd w:val="clear" w:color="auto" w:fill="FFE680" w:themeFill="accent6" w:themeFillTint="7F"/>
      </w:tcPr>
    </w:tblStylePr>
    <w:tblStylePr w:type="band1Horz">
      <w:tblPr/>
      <w:tcPr>
        <w:shd w:val="clear" w:color="auto" w:fill="FFE680" w:themeFill="accent6" w:themeFillTint="7F"/>
      </w:tcPr>
    </w:tblStylePr>
  </w:style>
  <w:style w:type="table" w:styleId="ColourfulList">
    <w:name w:val="Colorful List"/>
    <w:basedOn w:val="TableNormal"/>
    <w:uiPriority w:val="72"/>
    <w:semiHidden/>
    <w:unhideWhenUsed/>
    <w:rsid w:val="009E6ED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2931" w:themeFill="accent2" w:themeFillShade="CC"/>
      </w:tcPr>
    </w:tblStylePr>
    <w:tblStylePr w:type="lastRow">
      <w:rPr>
        <w:b/>
        <w:bCs/>
        <w:color w:val="00293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unhideWhenUsed/>
    <w:rsid w:val="009E6ED7"/>
    <w:rPr>
      <w:color w:val="000000" w:themeColor="text1"/>
    </w:rPr>
    <w:tblPr>
      <w:tblStyleRowBandSize w:val="1"/>
      <w:tblStyleColBandSize w:val="1"/>
    </w:tblPr>
    <w:tcPr>
      <w:shd w:val="clear" w:color="auto" w:fill="DAFFF6" w:themeFill="accent1" w:themeFillTint="19"/>
    </w:tcPr>
    <w:tblStylePr w:type="firstRow">
      <w:rPr>
        <w:b/>
        <w:bCs/>
        <w:color w:val="FFFFFF" w:themeColor="background1"/>
      </w:rPr>
      <w:tblPr/>
      <w:tcPr>
        <w:tcBorders>
          <w:bottom w:val="single" w:sz="12" w:space="0" w:color="FFFFFF" w:themeColor="background1"/>
        </w:tcBorders>
        <w:shd w:val="clear" w:color="auto" w:fill="002931" w:themeFill="accent2" w:themeFillShade="CC"/>
      </w:tcPr>
    </w:tblStylePr>
    <w:tblStylePr w:type="lastRow">
      <w:rPr>
        <w:b/>
        <w:bCs/>
        <w:color w:val="00293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2FFE9" w:themeFill="accent1" w:themeFillTint="3F"/>
      </w:tcPr>
    </w:tblStylePr>
    <w:tblStylePr w:type="band1Horz">
      <w:tblPr/>
      <w:tcPr>
        <w:shd w:val="clear" w:color="auto" w:fill="B4FFED" w:themeFill="accent1" w:themeFillTint="33"/>
      </w:tcPr>
    </w:tblStylePr>
  </w:style>
  <w:style w:type="table" w:styleId="ColourfulListAccent2">
    <w:name w:val="Colorful List Accent 2"/>
    <w:basedOn w:val="TableNormal"/>
    <w:uiPriority w:val="72"/>
    <w:semiHidden/>
    <w:unhideWhenUsed/>
    <w:rsid w:val="009E6ED7"/>
    <w:rPr>
      <w:color w:val="000000" w:themeColor="text1"/>
    </w:rPr>
    <w:tblPr>
      <w:tblStyleRowBandSize w:val="1"/>
      <w:tblStyleColBandSize w:val="1"/>
    </w:tblPr>
    <w:tcPr>
      <w:shd w:val="clear" w:color="auto" w:fill="D3F8FF" w:themeFill="accent2" w:themeFillTint="19"/>
    </w:tcPr>
    <w:tblStylePr w:type="firstRow">
      <w:rPr>
        <w:b/>
        <w:bCs/>
        <w:color w:val="FFFFFF" w:themeColor="background1"/>
      </w:rPr>
      <w:tblPr/>
      <w:tcPr>
        <w:tcBorders>
          <w:bottom w:val="single" w:sz="12" w:space="0" w:color="FFFFFF" w:themeColor="background1"/>
        </w:tcBorders>
        <w:shd w:val="clear" w:color="auto" w:fill="002931" w:themeFill="accent2" w:themeFillShade="CC"/>
      </w:tcPr>
    </w:tblStylePr>
    <w:tblStylePr w:type="lastRow">
      <w:rPr>
        <w:b/>
        <w:bCs/>
        <w:color w:val="00293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0EEFF" w:themeFill="accent2" w:themeFillTint="3F"/>
      </w:tcPr>
    </w:tblStylePr>
    <w:tblStylePr w:type="band1Horz">
      <w:tblPr/>
      <w:tcPr>
        <w:shd w:val="clear" w:color="auto" w:fill="A5F1FF" w:themeFill="accent2" w:themeFillTint="33"/>
      </w:tcPr>
    </w:tblStylePr>
  </w:style>
  <w:style w:type="table" w:styleId="ColourfulListAccent3">
    <w:name w:val="Colorful List Accent 3"/>
    <w:basedOn w:val="TableNormal"/>
    <w:uiPriority w:val="72"/>
    <w:semiHidden/>
    <w:unhideWhenUsed/>
    <w:rsid w:val="009E6ED7"/>
    <w:rPr>
      <w:color w:val="000000" w:themeColor="text1"/>
    </w:rPr>
    <w:tblPr>
      <w:tblStyleRowBandSize w:val="1"/>
      <w:tblStyleColBandSize w:val="1"/>
    </w:tblPr>
    <w:tcPr>
      <w:shd w:val="clear" w:color="auto" w:fill="F6FAEE" w:themeFill="accent3" w:themeFillTint="19"/>
    </w:tcPr>
    <w:tblStylePr w:type="firstRow">
      <w:rPr>
        <w:b/>
        <w:bCs/>
        <w:color w:val="FFFFFF" w:themeColor="background1"/>
      </w:rPr>
      <w:tblPr/>
      <w:tcPr>
        <w:tcBorders>
          <w:bottom w:val="single" w:sz="12" w:space="0" w:color="FFFFFF" w:themeColor="background1"/>
        </w:tcBorders>
        <w:shd w:val="clear" w:color="auto" w:fill="B71F0F" w:themeFill="accent4" w:themeFillShade="CC"/>
      </w:tcPr>
    </w:tblStylePr>
    <w:tblStylePr w:type="lastRow">
      <w:rPr>
        <w:b/>
        <w:bCs/>
        <w:color w:val="B71F0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AF2D4" w:themeFill="accent3" w:themeFillTint="3F"/>
      </w:tcPr>
    </w:tblStylePr>
    <w:tblStylePr w:type="band1Horz">
      <w:tblPr/>
      <w:tcPr>
        <w:shd w:val="clear" w:color="auto" w:fill="EEF4DC" w:themeFill="accent3" w:themeFillTint="33"/>
      </w:tcPr>
    </w:tblStylePr>
  </w:style>
  <w:style w:type="table" w:styleId="ColourfulListAccent4">
    <w:name w:val="Colorful List Accent 4"/>
    <w:basedOn w:val="TableNormal"/>
    <w:uiPriority w:val="72"/>
    <w:semiHidden/>
    <w:unhideWhenUsed/>
    <w:rsid w:val="009E6ED7"/>
    <w:rPr>
      <w:color w:val="000000" w:themeColor="text1"/>
    </w:rPr>
    <w:tblPr>
      <w:tblStyleRowBandSize w:val="1"/>
      <w:tblStyleColBandSize w:val="1"/>
    </w:tblPr>
    <w:tcPr>
      <w:shd w:val="clear" w:color="auto" w:fill="FDE8E6" w:themeFill="accent4" w:themeFillTint="19"/>
    </w:tcPr>
    <w:tblStylePr w:type="firstRow">
      <w:rPr>
        <w:b/>
        <w:bCs/>
        <w:color w:val="FFFFFF" w:themeColor="background1"/>
      </w:rPr>
      <w:tblPr/>
      <w:tcPr>
        <w:tcBorders>
          <w:bottom w:val="single" w:sz="12" w:space="0" w:color="FFFFFF" w:themeColor="background1"/>
        </w:tcBorders>
        <w:shd w:val="clear" w:color="auto" w:fill="91B034" w:themeFill="accent3" w:themeFillShade="CC"/>
      </w:tcPr>
    </w:tblStylePr>
    <w:tblStylePr w:type="lastRow">
      <w:rPr>
        <w:b/>
        <w:bCs/>
        <w:color w:val="91B03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C8C2" w:themeFill="accent4" w:themeFillTint="3F"/>
      </w:tcPr>
    </w:tblStylePr>
    <w:tblStylePr w:type="band1Horz">
      <w:tblPr/>
      <w:tcPr>
        <w:shd w:val="clear" w:color="auto" w:fill="FBD2CE" w:themeFill="accent4" w:themeFillTint="33"/>
      </w:tcPr>
    </w:tblStylePr>
  </w:style>
  <w:style w:type="table" w:styleId="ColourfulListAccent5">
    <w:name w:val="Colorful List Accent 5"/>
    <w:basedOn w:val="TableNormal"/>
    <w:uiPriority w:val="72"/>
    <w:semiHidden/>
    <w:unhideWhenUsed/>
    <w:rsid w:val="009E6ED7"/>
    <w:rPr>
      <w:color w:val="000000" w:themeColor="text1"/>
    </w:rPr>
    <w:tblPr>
      <w:tblStyleRowBandSize w:val="1"/>
      <w:tblStyleColBandSize w:val="1"/>
    </w:tblPr>
    <w:tcPr>
      <w:shd w:val="clear" w:color="auto" w:fill="DCFEFF" w:themeFill="accent5" w:themeFillTint="19"/>
    </w:tcPr>
    <w:tblStylePr w:type="firstRow">
      <w:rPr>
        <w:b/>
        <w:bCs/>
        <w:color w:val="FFFFFF" w:themeColor="background1"/>
      </w:rPr>
      <w:tblPr/>
      <w:tcPr>
        <w:tcBorders>
          <w:bottom w:val="single" w:sz="12" w:space="0" w:color="FFFFFF" w:themeColor="background1"/>
        </w:tcBorders>
        <w:shd w:val="clear" w:color="auto" w:fill="CCA400" w:themeFill="accent6" w:themeFillShade="CC"/>
      </w:tcPr>
    </w:tblStylePr>
    <w:tblStylePr w:type="lastRow">
      <w:rPr>
        <w:b/>
        <w:bCs/>
        <w:color w:val="CCA40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7FEFF" w:themeFill="accent5" w:themeFillTint="3F"/>
      </w:tcPr>
    </w:tblStylePr>
    <w:tblStylePr w:type="band1Horz">
      <w:tblPr/>
      <w:tcPr>
        <w:shd w:val="clear" w:color="auto" w:fill="B8FEFF" w:themeFill="accent5" w:themeFillTint="33"/>
      </w:tcPr>
    </w:tblStylePr>
  </w:style>
  <w:style w:type="table" w:styleId="ColourfulListAccent6">
    <w:name w:val="Colorful List Accent 6"/>
    <w:basedOn w:val="TableNormal"/>
    <w:uiPriority w:val="72"/>
    <w:semiHidden/>
    <w:unhideWhenUsed/>
    <w:rsid w:val="009E6ED7"/>
    <w:rPr>
      <w:color w:val="000000" w:themeColor="text1"/>
    </w:rPr>
    <w:tblPr>
      <w:tblStyleRowBandSize w:val="1"/>
      <w:tblStyleColBandSize w:val="1"/>
    </w:tblPr>
    <w:tcPr>
      <w:shd w:val="clear" w:color="auto" w:fill="FFFAE6" w:themeFill="accent6" w:themeFillTint="19"/>
    </w:tcPr>
    <w:tblStylePr w:type="firstRow">
      <w:rPr>
        <w:b/>
        <w:bCs/>
        <w:color w:val="FFFFFF" w:themeColor="background1"/>
      </w:rPr>
      <w:tblPr/>
      <w:tcPr>
        <w:tcBorders>
          <w:bottom w:val="single" w:sz="12" w:space="0" w:color="FFFFFF" w:themeColor="background1"/>
        </w:tcBorders>
        <w:shd w:val="clear" w:color="auto" w:fill="007B7C" w:themeFill="accent5" w:themeFillShade="CC"/>
      </w:tcPr>
    </w:tblStylePr>
    <w:tblStylePr w:type="lastRow">
      <w:rPr>
        <w:b/>
        <w:bCs/>
        <w:color w:val="007B7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2C0" w:themeFill="accent6" w:themeFillTint="3F"/>
      </w:tcPr>
    </w:tblStylePr>
    <w:tblStylePr w:type="band1Horz">
      <w:tblPr/>
      <w:tcPr>
        <w:shd w:val="clear" w:color="auto" w:fill="FFF5CC" w:themeFill="accent6" w:themeFillTint="33"/>
      </w:tcPr>
    </w:tblStylePr>
  </w:style>
  <w:style w:type="table" w:styleId="ColourfulShading">
    <w:name w:val="Colorful Shading"/>
    <w:basedOn w:val="TableNormal"/>
    <w:uiPriority w:val="71"/>
    <w:semiHidden/>
    <w:unhideWhenUsed/>
    <w:rsid w:val="009E6ED7"/>
    <w:rPr>
      <w:color w:val="000000" w:themeColor="text1"/>
    </w:rPr>
    <w:tblPr>
      <w:tblStyleRowBandSize w:val="1"/>
      <w:tblStyleColBandSize w:val="1"/>
      <w:tblBorders>
        <w:top w:val="single" w:sz="24" w:space="0" w:color="00353E"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9E6ED7"/>
    <w:rPr>
      <w:color w:val="000000" w:themeColor="text1"/>
    </w:rPr>
    <w:tblPr>
      <w:tblStyleRowBandSize w:val="1"/>
      <w:tblStyleColBandSize w:val="1"/>
      <w:tblBorders>
        <w:top w:val="single" w:sz="24" w:space="0" w:color="00353E" w:themeColor="accent2"/>
        <w:left w:val="single" w:sz="4" w:space="0" w:color="008768" w:themeColor="accent1"/>
        <w:bottom w:val="single" w:sz="4" w:space="0" w:color="008768" w:themeColor="accent1"/>
        <w:right w:val="single" w:sz="4" w:space="0" w:color="008768" w:themeColor="accent1"/>
        <w:insideH w:val="single" w:sz="4" w:space="0" w:color="FFFFFF" w:themeColor="background1"/>
        <w:insideV w:val="single" w:sz="4" w:space="0" w:color="FFFFFF" w:themeColor="background1"/>
      </w:tblBorders>
    </w:tblPr>
    <w:tcPr>
      <w:shd w:val="clear" w:color="auto" w:fill="DAFFF6" w:themeFill="accent1" w:themeFillTint="19"/>
    </w:tcPr>
    <w:tblStylePr w:type="firstRow">
      <w:rPr>
        <w:b/>
        <w:bCs/>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13E" w:themeFill="accent1" w:themeFillShade="99"/>
      </w:tcPr>
    </w:tblStylePr>
    <w:tblStylePr w:type="firstCol">
      <w:rPr>
        <w:color w:val="FFFFFF" w:themeColor="background1"/>
      </w:rPr>
      <w:tblPr/>
      <w:tcPr>
        <w:tcBorders>
          <w:top w:val="nil"/>
          <w:left w:val="nil"/>
          <w:bottom w:val="nil"/>
          <w:right w:val="nil"/>
          <w:insideH w:val="single" w:sz="4" w:space="0" w:color="00513E" w:themeColor="accent1" w:themeShade="99"/>
          <w:insideV w:val="nil"/>
        </w:tcBorders>
        <w:shd w:val="clear" w:color="auto" w:fill="00513E"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513E" w:themeFill="accent1" w:themeFillShade="99"/>
      </w:tcPr>
    </w:tblStylePr>
    <w:tblStylePr w:type="band1Vert">
      <w:tblPr/>
      <w:tcPr>
        <w:shd w:val="clear" w:color="auto" w:fill="69FFDC" w:themeFill="accent1" w:themeFillTint="66"/>
      </w:tcPr>
    </w:tblStylePr>
    <w:tblStylePr w:type="band1Horz">
      <w:tblPr/>
      <w:tcPr>
        <w:shd w:val="clear" w:color="auto" w:fill="44FFD3"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9E6ED7"/>
    <w:rPr>
      <w:color w:val="000000" w:themeColor="text1"/>
    </w:rPr>
    <w:tblPr>
      <w:tblStyleRowBandSize w:val="1"/>
      <w:tblStyleColBandSize w:val="1"/>
      <w:tblBorders>
        <w:top w:val="single" w:sz="24" w:space="0" w:color="00353E" w:themeColor="accent2"/>
        <w:left w:val="single" w:sz="4" w:space="0" w:color="00353E" w:themeColor="accent2"/>
        <w:bottom w:val="single" w:sz="4" w:space="0" w:color="00353E" w:themeColor="accent2"/>
        <w:right w:val="single" w:sz="4" w:space="0" w:color="00353E" w:themeColor="accent2"/>
        <w:insideH w:val="single" w:sz="4" w:space="0" w:color="FFFFFF" w:themeColor="background1"/>
        <w:insideV w:val="single" w:sz="4" w:space="0" w:color="FFFFFF" w:themeColor="background1"/>
      </w:tblBorders>
    </w:tblPr>
    <w:tcPr>
      <w:shd w:val="clear" w:color="auto" w:fill="D3F8FF" w:themeFill="accent2" w:themeFillTint="19"/>
    </w:tcPr>
    <w:tblStylePr w:type="firstRow">
      <w:rPr>
        <w:b/>
        <w:bCs/>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F25" w:themeFill="accent2" w:themeFillShade="99"/>
      </w:tcPr>
    </w:tblStylePr>
    <w:tblStylePr w:type="firstCol">
      <w:rPr>
        <w:color w:val="FFFFFF" w:themeColor="background1"/>
      </w:rPr>
      <w:tblPr/>
      <w:tcPr>
        <w:tcBorders>
          <w:top w:val="nil"/>
          <w:left w:val="nil"/>
          <w:bottom w:val="nil"/>
          <w:right w:val="nil"/>
          <w:insideH w:val="single" w:sz="4" w:space="0" w:color="001F25" w:themeColor="accent2" w:themeShade="99"/>
          <w:insideV w:val="nil"/>
        </w:tcBorders>
        <w:shd w:val="clear" w:color="auto" w:fill="001F25"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F25" w:themeFill="accent2" w:themeFillShade="99"/>
      </w:tcPr>
    </w:tblStylePr>
    <w:tblStylePr w:type="band1Vert">
      <w:tblPr/>
      <w:tcPr>
        <w:shd w:val="clear" w:color="auto" w:fill="4BE4FF" w:themeFill="accent2" w:themeFillTint="66"/>
      </w:tcPr>
    </w:tblStylePr>
    <w:tblStylePr w:type="band1Horz">
      <w:tblPr/>
      <w:tcPr>
        <w:shd w:val="clear" w:color="auto" w:fill="1FDDFF"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9E6ED7"/>
    <w:rPr>
      <w:color w:val="000000" w:themeColor="text1"/>
    </w:rPr>
    <w:tblPr>
      <w:tblStyleRowBandSize w:val="1"/>
      <w:tblStyleColBandSize w:val="1"/>
      <w:tblBorders>
        <w:top w:val="single" w:sz="24" w:space="0" w:color="E52713" w:themeColor="accent4"/>
        <w:left w:val="single" w:sz="4" w:space="0" w:color="AECC53" w:themeColor="accent3"/>
        <w:bottom w:val="single" w:sz="4" w:space="0" w:color="AECC53" w:themeColor="accent3"/>
        <w:right w:val="single" w:sz="4" w:space="0" w:color="AECC53" w:themeColor="accent3"/>
        <w:insideH w:val="single" w:sz="4" w:space="0" w:color="FFFFFF" w:themeColor="background1"/>
        <w:insideV w:val="single" w:sz="4" w:space="0" w:color="FFFFFF" w:themeColor="background1"/>
      </w:tblBorders>
    </w:tblPr>
    <w:tcPr>
      <w:shd w:val="clear" w:color="auto" w:fill="F6FAEE" w:themeFill="accent3" w:themeFillTint="19"/>
    </w:tcPr>
    <w:tblStylePr w:type="firstRow">
      <w:rPr>
        <w:b/>
        <w:bCs/>
      </w:rPr>
      <w:tblPr/>
      <w:tcPr>
        <w:tcBorders>
          <w:top w:val="nil"/>
          <w:left w:val="nil"/>
          <w:bottom w:val="single" w:sz="24" w:space="0" w:color="E5271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D8427" w:themeFill="accent3" w:themeFillShade="99"/>
      </w:tcPr>
    </w:tblStylePr>
    <w:tblStylePr w:type="firstCol">
      <w:rPr>
        <w:color w:val="FFFFFF" w:themeColor="background1"/>
      </w:rPr>
      <w:tblPr/>
      <w:tcPr>
        <w:tcBorders>
          <w:top w:val="nil"/>
          <w:left w:val="nil"/>
          <w:bottom w:val="nil"/>
          <w:right w:val="nil"/>
          <w:insideH w:val="single" w:sz="4" w:space="0" w:color="6D8427" w:themeColor="accent3" w:themeShade="99"/>
          <w:insideV w:val="nil"/>
        </w:tcBorders>
        <w:shd w:val="clear" w:color="auto" w:fill="6D8427"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D8427" w:themeFill="accent3" w:themeFillShade="99"/>
      </w:tcPr>
    </w:tblStylePr>
    <w:tblStylePr w:type="band1Vert">
      <w:tblPr/>
      <w:tcPr>
        <w:shd w:val="clear" w:color="auto" w:fill="DEEABA" w:themeFill="accent3" w:themeFillTint="66"/>
      </w:tcPr>
    </w:tblStylePr>
    <w:tblStylePr w:type="band1Horz">
      <w:tblPr/>
      <w:tcPr>
        <w:shd w:val="clear" w:color="auto" w:fill="D6E5A9" w:themeFill="accent3" w:themeFillTint="7F"/>
      </w:tcPr>
    </w:tblStylePr>
  </w:style>
  <w:style w:type="table" w:styleId="ColourfulShadingAccent4">
    <w:name w:val="Colorful Shading Accent 4"/>
    <w:basedOn w:val="TableNormal"/>
    <w:uiPriority w:val="71"/>
    <w:semiHidden/>
    <w:unhideWhenUsed/>
    <w:rsid w:val="009E6ED7"/>
    <w:rPr>
      <w:color w:val="000000" w:themeColor="text1"/>
    </w:rPr>
    <w:tblPr>
      <w:tblStyleRowBandSize w:val="1"/>
      <w:tblStyleColBandSize w:val="1"/>
      <w:tblBorders>
        <w:top w:val="single" w:sz="24" w:space="0" w:color="AECC53" w:themeColor="accent3"/>
        <w:left w:val="single" w:sz="4" w:space="0" w:color="E52713" w:themeColor="accent4"/>
        <w:bottom w:val="single" w:sz="4" w:space="0" w:color="E52713" w:themeColor="accent4"/>
        <w:right w:val="single" w:sz="4" w:space="0" w:color="E52713" w:themeColor="accent4"/>
        <w:insideH w:val="single" w:sz="4" w:space="0" w:color="FFFFFF" w:themeColor="background1"/>
        <w:insideV w:val="single" w:sz="4" w:space="0" w:color="FFFFFF" w:themeColor="background1"/>
      </w:tblBorders>
    </w:tblPr>
    <w:tcPr>
      <w:shd w:val="clear" w:color="auto" w:fill="FDE8E6" w:themeFill="accent4" w:themeFillTint="19"/>
    </w:tcPr>
    <w:tblStylePr w:type="firstRow">
      <w:rPr>
        <w:b/>
        <w:bCs/>
      </w:rPr>
      <w:tblPr/>
      <w:tcPr>
        <w:tcBorders>
          <w:top w:val="nil"/>
          <w:left w:val="nil"/>
          <w:bottom w:val="single" w:sz="24" w:space="0" w:color="AECC53"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9170B" w:themeFill="accent4" w:themeFillShade="99"/>
      </w:tcPr>
    </w:tblStylePr>
    <w:tblStylePr w:type="firstCol">
      <w:rPr>
        <w:color w:val="FFFFFF" w:themeColor="background1"/>
      </w:rPr>
      <w:tblPr/>
      <w:tcPr>
        <w:tcBorders>
          <w:top w:val="nil"/>
          <w:left w:val="nil"/>
          <w:bottom w:val="nil"/>
          <w:right w:val="nil"/>
          <w:insideH w:val="single" w:sz="4" w:space="0" w:color="89170B" w:themeColor="accent4" w:themeShade="99"/>
          <w:insideV w:val="nil"/>
        </w:tcBorders>
        <w:shd w:val="clear" w:color="auto" w:fill="89170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89170B" w:themeFill="accent4" w:themeFillShade="99"/>
      </w:tcPr>
    </w:tblStylePr>
    <w:tblStylePr w:type="band1Vert">
      <w:tblPr/>
      <w:tcPr>
        <w:shd w:val="clear" w:color="auto" w:fill="F7A69E" w:themeFill="accent4" w:themeFillTint="66"/>
      </w:tcPr>
    </w:tblStylePr>
    <w:tblStylePr w:type="band1Horz">
      <w:tblPr/>
      <w:tcPr>
        <w:shd w:val="clear" w:color="auto" w:fill="F59086"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9E6ED7"/>
    <w:rPr>
      <w:color w:val="000000" w:themeColor="text1"/>
    </w:rPr>
    <w:tblPr>
      <w:tblStyleRowBandSize w:val="1"/>
      <w:tblStyleColBandSize w:val="1"/>
      <w:tblBorders>
        <w:top w:val="single" w:sz="24" w:space="0" w:color="FFCE00" w:themeColor="accent6"/>
        <w:left w:val="single" w:sz="4" w:space="0" w:color="009A9B" w:themeColor="accent5"/>
        <w:bottom w:val="single" w:sz="4" w:space="0" w:color="009A9B" w:themeColor="accent5"/>
        <w:right w:val="single" w:sz="4" w:space="0" w:color="009A9B" w:themeColor="accent5"/>
        <w:insideH w:val="single" w:sz="4" w:space="0" w:color="FFFFFF" w:themeColor="background1"/>
        <w:insideV w:val="single" w:sz="4" w:space="0" w:color="FFFFFF" w:themeColor="background1"/>
      </w:tblBorders>
    </w:tblPr>
    <w:tcPr>
      <w:shd w:val="clear" w:color="auto" w:fill="DCFEFF" w:themeFill="accent5" w:themeFillTint="19"/>
    </w:tcPr>
    <w:tblStylePr w:type="firstRow">
      <w:rPr>
        <w:b/>
        <w:bCs/>
      </w:rPr>
      <w:tblPr/>
      <w:tcPr>
        <w:tcBorders>
          <w:top w:val="nil"/>
          <w:left w:val="nil"/>
          <w:bottom w:val="single" w:sz="24" w:space="0" w:color="FFCE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C5D" w:themeFill="accent5" w:themeFillShade="99"/>
      </w:tcPr>
    </w:tblStylePr>
    <w:tblStylePr w:type="firstCol">
      <w:rPr>
        <w:color w:val="FFFFFF" w:themeColor="background1"/>
      </w:rPr>
      <w:tblPr/>
      <w:tcPr>
        <w:tcBorders>
          <w:top w:val="nil"/>
          <w:left w:val="nil"/>
          <w:bottom w:val="nil"/>
          <w:right w:val="nil"/>
          <w:insideH w:val="single" w:sz="4" w:space="0" w:color="005C5D" w:themeColor="accent5" w:themeShade="99"/>
          <w:insideV w:val="nil"/>
        </w:tcBorders>
        <w:shd w:val="clear" w:color="auto" w:fill="005C5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05C5D" w:themeFill="accent5" w:themeFillShade="99"/>
      </w:tcPr>
    </w:tblStylePr>
    <w:tblStylePr w:type="band1Vert">
      <w:tblPr/>
      <w:tcPr>
        <w:shd w:val="clear" w:color="auto" w:fill="71FDFF" w:themeFill="accent5" w:themeFillTint="66"/>
      </w:tcPr>
    </w:tblStylePr>
    <w:tblStylePr w:type="band1Horz">
      <w:tblPr/>
      <w:tcPr>
        <w:shd w:val="clear" w:color="auto" w:fill="4EFDFF"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9E6ED7"/>
    <w:rPr>
      <w:color w:val="000000" w:themeColor="text1"/>
    </w:rPr>
    <w:tblPr>
      <w:tblStyleRowBandSize w:val="1"/>
      <w:tblStyleColBandSize w:val="1"/>
      <w:tblBorders>
        <w:top w:val="single" w:sz="24" w:space="0" w:color="009A9B" w:themeColor="accent5"/>
        <w:left w:val="single" w:sz="4" w:space="0" w:color="FFCE00" w:themeColor="accent6"/>
        <w:bottom w:val="single" w:sz="4" w:space="0" w:color="FFCE00" w:themeColor="accent6"/>
        <w:right w:val="single" w:sz="4" w:space="0" w:color="FFCE00" w:themeColor="accent6"/>
        <w:insideH w:val="single" w:sz="4" w:space="0" w:color="FFFFFF" w:themeColor="background1"/>
        <w:insideV w:val="single" w:sz="4" w:space="0" w:color="FFFFFF" w:themeColor="background1"/>
      </w:tblBorders>
    </w:tblPr>
    <w:tcPr>
      <w:shd w:val="clear" w:color="auto" w:fill="FFFAE6" w:themeFill="accent6" w:themeFillTint="19"/>
    </w:tcPr>
    <w:tblStylePr w:type="firstRow">
      <w:rPr>
        <w:b/>
        <w:bCs/>
      </w:rPr>
      <w:tblPr/>
      <w:tcPr>
        <w:tcBorders>
          <w:top w:val="nil"/>
          <w:left w:val="nil"/>
          <w:bottom w:val="single" w:sz="24" w:space="0" w:color="009A9B"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B00" w:themeFill="accent6" w:themeFillShade="99"/>
      </w:tcPr>
    </w:tblStylePr>
    <w:tblStylePr w:type="firstCol">
      <w:rPr>
        <w:color w:val="FFFFFF" w:themeColor="background1"/>
      </w:rPr>
      <w:tblPr/>
      <w:tcPr>
        <w:tcBorders>
          <w:top w:val="nil"/>
          <w:left w:val="nil"/>
          <w:bottom w:val="nil"/>
          <w:right w:val="nil"/>
          <w:insideH w:val="single" w:sz="4" w:space="0" w:color="997B00" w:themeColor="accent6" w:themeShade="99"/>
          <w:insideV w:val="nil"/>
        </w:tcBorders>
        <w:shd w:val="clear" w:color="auto" w:fill="997B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7B00" w:themeFill="accent6" w:themeFillShade="99"/>
      </w:tcPr>
    </w:tblStylePr>
    <w:tblStylePr w:type="band1Vert">
      <w:tblPr/>
      <w:tcPr>
        <w:shd w:val="clear" w:color="auto" w:fill="FFEB99" w:themeFill="accent6" w:themeFillTint="66"/>
      </w:tcPr>
    </w:tblStylePr>
    <w:tblStylePr w:type="band1Horz">
      <w:tblPr/>
      <w:tcPr>
        <w:shd w:val="clear" w:color="auto" w:fill="FFE68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9E6ED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9E6ED7"/>
    <w:rPr>
      <w:color w:val="FFFFFF" w:themeColor="background1"/>
    </w:rPr>
    <w:tblPr>
      <w:tblStyleRowBandSize w:val="1"/>
      <w:tblStyleColBandSize w:val="1"/>
    </w:tblPr>
    <w:tcPr>
      <w:shd w:val="clear" w:color="auto" w:fill="00876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33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654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654D" w:themeFill="accent1" w:themeFillShade="BF"/>
      </w:tcPr>
    </w:tblStylePr>
    <w:tblStylePr w:type="band1Vert">
      <w:tblPr/>
      <w:tcPr>
        <w:tcBorders>
          <w:top w:val="nil"/>
          <w:left w:val="nil"/>
          <w:bottom w:val="nil"/>
          <w:right w:val="nil"/>
          <w:insideH w:val="nil"/>
          <w:insideV w:val="nil"/>
        </w:tcBorders>
        <w:shd w:val="clear" w:color="auto" w:fill="00654D" w:themeFill="accent1" w:themeFillShade="BF"/>
      </w:tcPr>
    </w:tblStylePr>
    <w:tblStylePr w:type="band1Horz">
      <w:tblPr/>
      <w:tcPr>
        <w:tcBorders>
          <w:top w:val="nil"/>
          <w:left w:val="nil"/>
          <w:bottom w:val="nil"/>
          <w:right w:val="nil"/>
          <w:insideH w:val="nil"/>
          <w:insideV w:val="nil"/>
        </w:tcBorders>
        <w:shd w:val="clear" w:color="auto" w:fill="00654D" w:themeFill="accent1" w:themeFillShade="BF"/>
      </w:tcPr>
    </w:tblStylePr>
  </w:style>
  <w:style w:type="table" w:styleId="DarkList-Accent2">
    <w:name w:val="Dark List Accent 2"/>
    <w:basedOn w:val="TableNormal"/>
    <w:uiPriority w:val="70"/>
    <w:semiHidden/>
    <w:unhideWhenUsed/>
    <w:rsid w:val="009E6ED7"/>
    <w:rPr>
      <w:color w:val="FFFFFF" w:themeColor="background1"/>
    </w:rPr>
    <w:tblPr>
      <w:tblStyleRowBandSize w:val="1"/>
      <w:tblStyleColBandSize w:val="1"/>
    </w:tblPr>
    <w:tcPr>
      <w:shd w:val="clear" w:color="auto" w:fill="00353E"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A1E"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72E"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72E" w:themeFill="accent2" w:themeFillShade="BF"/>
      </w:tcPr>
    </w:tblStylePr>
    <w:tblStylePr w:type="band1Vert">
      <w:tblPr/>
      <w:tcPr>
        <w:tcBorders>
          <w:top w:val="nil"/>
          <w:left w:val="nil"/>
          <w:bottom w:val="nil"/>
          <w:right w:val="nil"/>
          <w:insideH w:val="nil"/>
          <w:insideV w:val="nil"/>
        </w:tcBorders>
        <w:shd w:val="clear" w:color="auto" w:fill="00272E" w:themeFill="accent2" w:themeFillShade="BF"/>
      </w:tcPr>
    </w:tblStylePr>
    <w:tblStylePr w:type="band1Horz">
      <w:tblPr/>
      <w:tcPr>
        <w:tcBorders>
          <w:top w:val="nil"/>
          <w:left w:val="nil"/>
          <w:bottom w:val="nil"/>
          <w:right w:val="nil"/>
          <w:insideH w:val="nil"/>
          <w:insideV w:val="nil"/>
        </w:tcBorders>
        <w:shd w:val="clear" w:color="auto" w:fill="00272E" w:themeFill="accent2" w:themeFillShade="BF"/>
      </w:tcPr>
    </w:tblStylePr>
  </w:style>
  <w:style w:type="table" w:styleId="DarkList-Accent3">
    <w:name w:val="Dark List Accent 3"/>
    <w:basedOn w:val="TableNormal"/>
    <w:uiPriority w:val="70"/>
    <w:semiHidden/>
    <w:unhideWhenUsed/>
    <w:rsid w:val="009E6ED7"/>
    <w:rPr>
      <w:color w:val="FFFFFF" w:themeColor="background1"/>
    </w:rPr>
    <w:tblPr>
      <w:tblStyleRowBandSize w:val="1"/>
      <w:tblStyleColBandSize w:val="1"/>
    </w:tblPr>
    <w:tcPr>
      <w:shd w:val="clear" w:color="auto" w:fill="AECC53"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A6E2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88A531"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88A531" w:themeFill="accent3" w:themeFillShade="BF"/>
      </w:tcPr>
    </w:tblStylePr>
    <w:tblStylePr w:type="band1Vert">
      <w:tblPr/>
      <w:tcPr>
        <w:tcBorders>
          <w:top w:val="nil"/>
          <w:left w:val="nil"/>
          <w:bottom w:val="nil"/>
          <w:right w:val="nil"/>
          <w:insideH w:val="nil"/>
          <w:insideV w:val="nil"/>
        </w:tcBorders>
        <w:shd w:val="clear" w:color="auto" w:fill="88A531" w:themeFill="accent3" w:themeFillShade="BF"/>
      </w:tcPr>
    </w:tblStylePr>
    <w:tblStylePr w:type="band1Horz">
      <w:tblPr/>
      <w:tcPr>
        <w:tcBorders>
          <w:top w:val="nil"/>
          <w:left w:val="nil"/>
          <w:bottom w:val="nil"/>
          <w:right w:val="nil"/>
          <w:insideH w:val="nil"/>
          <w:insideV w:val="nil"/>
        </w:tcBorders>
        <w:shd w:val="clear" w:color="auto" w:fill="88A531" w:themeFill="accent3" w:themeFillShade="BF"/>
      </w:tcPr>
    </w:tblStylePr>
  </w:style>
  <w:style w:type="table" w:styleId="DarkList-Accent4">
    <w:name w:val="Dark List Accent 4"/>
    <w:basedOn w:val="TableNormal"/>
    <w:uiPriority w:val="70"/>
    <w:semiHidden/>
    <w:unhideWhenUsed/>
    <w:rsid w:val="009E6ED7"/>
    <w:rPr>
      <w:color w:val="FFFFFF" w:themeColor="background1"/>
    </w:rPr>
    <w:tblPr>
      <w:tblStyleRowBandSize w:val="1"/>
      <w:tblStyleColBandSize w:val="1"/>
    </w:tblPr>
    <w:tcPr>
      <w:shd w:val="clear" w:color="auto" w:fill="E5271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1130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AB1D0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AB1D0E" w:themeFill="accent4" w:themeFillShade="BF"/>
      </w:tcPr>
    </w:tblStylePr>
    <w:tblStylePr w:type="band1Vert">
      <w:tblPr/>
      <w:tcPr>
        <w:tcBorders>
          <w:top w:val="nil"/>
          <w:left w:val="nil"/>
          <w:bottom w:val="nil"/>
          <w:right w:val="nil"/>
          <w:insideH w:val="nil"/>
          <w:insideV w:val="nil"/>
        </w:tcBorders>
        <w:shd w:val="clear" w:color="auto" w:fill="AB1D0E" w:themeFill="accent4" w:themeFillShade="BF"/>
      </w:tcPr>
    </w:tblStylePr>
    <w:tblStylePr w:type="band1Horz">
      <w:tblPr/>
      <w:tcPr>
        <w:tcBorders>
          <w:top w:val="nil"/>
          <w:left w:val="nil"/>
          <w:bottom w:val="nil"/>
          <w:right w:val="nil"/>
          <w:insideH w:val="nil"/>
          <w:insideV w:val="nil"/>
        </w:tcBorders>
        <w:shd w:val="clear" w:color="auto" w:fill="AB1D0E" w:themeFill="accent4" w:themeFillShade="BF"/>
      </w:tcPr>
    </w:tblStylePr>
  </w:style>
  <w:style w:type="table" w:styleId="DarkList-Accent5">
    <w:name w:val="Dark List Accent 5"/>
    <w:basedOn w:val="TableNormal"/>
    <w:uiPriority w:val="70"/>
    <w:semiHidden/>
    <w:unhideWhenUsed/>
    <w:rsid w:val="009E6ED7"/>
    <w:rPr>
      <w:color w:val="FFFFFF" w:themeColor="background1"/>
    </w:rPr>
    <w:tblPr>
      <w:tblStyleRowBandSize w:val="1"/>
      <w:tblStyleColBandSize w:val="1"/>
    </w:tblPr>
    <w:tcPr>
      <w:shd w:val="clear" w:color="auto" w:fill="009A9B"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C4D"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07374"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07374" w:themeFill="accent5" w:themeFillShade="BF"/>
      </w:tcPr>
    </w:tblStylePr>
    <w:tblStylePr w:type="band1Vert">
      <w:tblPr/>
      <w:tcPr>
        <w:tcBorders>
          <w:top w:val="nil"/>
          <w:left w:val="nil"/>
          <w:bottom w:val="nil"/>
          <w:right w:val="nil"/>
          <w:insideH w:val="nil"/>
          <w:insideV w:val="nil"/>
        </w:tcBorders>
        <w:shd w:val="clear" w:color="auto" w:fill="007374" w:themeFill="accent5" w:themeFillShade="BF"/>
      </w:tcPr>
    </w:tblStylePr>
    <w:tblStylePr w:type="band1Horz">
      <w:tblPr/>
      <w:tcPr>
        <w:tcBorders>
          <w:top w:val="nil"/>
          <w:left w:val="nil"/>
          <w:bottom w:val="nil"/>
          <w:right w:val="nil"/>
          <w:insideH w:val="nil"/>
          <w:insideV w:val="nil"/>
        </w:tcBorders>
        <w:shd w:val="clear" w:color="auto" w:fill="007374" w:themeFill="accent5" w:themeFillShade="BF"/>
      </w:tcPr>
    </w:tblStylePr>
  </w:style>
  <w:style w:type="table" w:styleId="DarkList-Accent6">
    <w:name w:val="Dark List Accent 6"/>
    <w:basedOn w:val="TableNormal"/>
    <w:uiPriority w:val="70"/>
    <w:semiHidden/>
    <w:unhideWhenUsed/>
    <w:rsid w:val="009E6ED7"/>
    <w:rPr>
      <w:color w:val="FFFFFF" w:themeColor="background1"/>
    </w:rPr>
    <w:tblPr>
      <w:tblStyleRowBandSize w:val="1"/>
      <w:tblStyleColBandSize w:val="1"/>
    </w:tblPr>
    <w:tcPr>
      <w:shd w:val="clear" w:color="auto" w:fill="FFCE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66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9A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9A00" w:themeFill="accent6" w:themeFillShade="BF"/>
      </w:tcPr>
    </w:tblStylePr>
    <w:tblStylePr w:type="band1Vert">
      <w:tblPr/>
      <w:tcPr>
        <w:tcBorders>
          <w:top w:val="nil"/>
          <w:left w:val="nil"/>
          <w:bottom w:val="nil"/>
          <w:right w:val="nil"/>
          <w:insideH w:val="nil"/>
          <w:insideV w:val="nil"/>
        </w:tcBorders>
        <w:shd w:val="clear" w:color="auto" w:fill="BF9A00" w:themeFill="accent6" w:themeFillShade="BF"/>
      </w:tcPr>
    </w:tblStylePr>
    <w:tblStylePr w:type="band1Horz">
      <w:tblPr/>
      <w:tcPr>
        <w:tcBorders>
          <w:top w:val="nil"/>
          <w:left w:val="nil"/>
          <w:bottom w:val="nil"/>
          <w:right w:val="nil"/>
          <w:insideH w:val="nil"/>
          <w:insideV w:val="nil"/>
        </w:tcBorders>
        <w:shd w:val="clear" w:color="auto" w:fill="BF9A00" w:themeFill="accent6" w:themeFillShade="BF"/>
      </w:tcPr>
    </w:tblStylePr>
  </w:style>
  <w:style w:type="table" w:styleId="LightGrid">
    <w:name w:val="Light Grid"/>
    <w:basedOn w:val="TableNormal"/>
    <w:uiPriority w:val="62"/>
    <w:semiHidden/>
    <w:unhideWhenUsed/>
    <w:rsid w:val="009E6ED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9E6ED7"/>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insideH w:val="single" w:sz="8" w:space="0" w:color="008768" w:themeColor="accent1"/>
        <w:insideV w:val="single" w:sz="8" w:space="0" w:color="00876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768" w:themeColor="accent1"/>
          <w:left w:val="single" w:sz="8" w:space="0" w:color="008768" w:themeColor="accent1"/>
          <w:bottom w:val="single" w:sz="18" w:space="0" w:color="008768" w:themeColor="accent1"/>
          <w:right w:val="single" w:sz="8" w:space="0" w:color="008768" w:themeColor="accent1"/>
          <w:insideH w:val="nil"/>
          <w:insideV w:val="single" w:sz="8" w:space="0" w:color="00876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768" w:themeColor="accent1"/>
          <w:left w:val="single" w:sz="8" w:space="0" w:color="008768" w:themeColor="accent1"/>
          <w:bottom w:val="single" w:sz="8" w:space="0" w:color="008768" w:themeColor="accent1"/>
          <w:right w:val="single" w:sz="8" w:space="0" w:color="008768" w:themeColor="accent1"/>
          <w:insideH w:val="nil"/>
          <w:insideV w:val="single" w:sz="8" w:space="0" w:color="00876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tcPr>
    </w:tblStylePr>
    <w:tblStylePr w:type="band1Vert">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shd w:val="clear" w:color="auto" w:fill="A2FFE9" w:themeFill="accent1" w:themeFillTint="3F"/>
      </w:tcPr>
    </w:tblStylePr>
    <w:tblStylePr w:type="band1Horz">
      <w:tblPr/>
      <w:tcPr>
        <w:tcBorders>
          <w:top w:val="single" w:sz="8" w:space="0" w:color="008768" w:themeColor="accent1"/>
          <w:left w:val="single" w:sz="8" w:space="0" w:color="008768" w:themeColor="accent1"/>
          <w:bottom w:val="single" w:sz="8" w:space="0" w:color="008768" w:themeColor="accent1"/>
          <w:right w:val="single" w:sz="8" w:space="0" w:color="008768" w:themeColor="accent1"/>
          <w:insideV w:val="single" w:sz="8" w:space="0" w:color="008768" w:themeColor="accent1"/>
        </w:tcBorders>
        <w:shd w:val="clear" w:color="auto" w:fill="A2FFE9" w:themeFill="accent1" w:themeFillTint="3F"/>
      </w:tcPr>
    </w:tblStylePr>
    <w:tblStylePr w:type="band2Horz">
      <w:tblPr/>
      <w:tcPr>
        <w:tcBorders>
          <w:top w:val="single" w:sz="8" w:space="0" w:color="008768" w:themeColor="accent1"/>
          <w:left w:val="single" w:sz="8" w:space="0" w:color="008768" w:themeColor="accent1"/>
          <w:bottom w:val="single" w:sz="8" w:space="0" w:color="008768" w:themeColor="accent1"/>
          <w:right w:val="single" w:sz="8" w:space="0" w:color="008768" w:themeColor="accent1"/>
          <w:insideV w:val="single" w:sz="8" w:space="0" w:color="008768" w:themeColor="accent1"/>
        </w:tcBorders>
      </w:tcPr>
    </w:tblStylePr>
  </w:style>
  <w:style w:type="table" w:styleId="LightGrid-Accent2">
    <w:name w:val="Light Grid Accent 2"/>
    <w:basedOn w:val="TableNormal"/>
    <w:uiPriority w:val="62"/>
    <w:semiHidden/>
    <w:unhideWhenUsed/>
    <w:rsid w:val="009E6ED7"/>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insideH w:val="single" w:sz="8" w:space="0" w:color="00353E" w:themeColor="accent2"/>
        <w:insideV w:val="single" w:sz="8" w:space="0" w:color="00353E"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53E" w:themeColor="accent2"/>
          <w:left w:val="single" w:sz="8" w:space="0" w:color="00353E" w:themeColor="accent2"/>
          <w:bottom w:val="single" w:sz="18" w:space="0" w:color="00353E" w:themeColor="accent2"/>
          <w:right w:val="single" w:sz="8" w:space="0" w:color="00353E" w:themeColor="accent2"/>
          <w:insideH w:val="nil"/>
          <w:insideV w:val="single" w:sz="8" w:space="0" w:color="00353E"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53E" w:themeColor="accent2"/>
          <w:left w:val="single" w:sz="8" w:space="0" w:color="00353E" w:themeColor="accent2"/>
          <w:bottom w:val="single" w:sz="8" w:space="0" w:color="00353E" w:themeColor="accent2"/>
          <w:right w:val="single" w:sz="8" w:space="0" w:color="00353E" w:themeColor="accent2"/>
          <w:insideH w:val="nil"/>
          <w:insideV w:val="single" w:sz="8" w:space="0" w:color="00353E"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tcPr>
    </w:tblStylePr>
    <w:tblStylePr w:type="band1Vert">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shd w:val="clear" w:color="auto" w:fill="90EEFF" w:themeFill="accent2" w:themeFillTint="3F"/>
      </w:tcPr>
    </w:tblStylePr>
    <w:tblStylePr w:type="band1Horz">
      <w:tblPr/>
      <w:tcPr>
        <w:tcBorders>
          <w:top w:val="single" w:sz="8" w:space="0" w:color="00353E" w:themeColor="accent2"/>
          <w:left w:val="single" w:sz="8" w:space="0" w:color="00353E" w:themeColor="accent2"/>
          <w:bottom w:val="single" w:sz="8" w:space="0" w:color="00353E" w:themeColor="accent2"/>
          <w:right w:val="single" w:sz="8" w:space="0" w:color="00353E" w:themeColor="accent2"/>
          <w:insideV w:val="single" w:sz="8" w:space="0" w:color="00353E" w:themeColor="accent2"/>
        </w:tcBorders>
        <w:shd w:val="clear" w:color="auto" w:fill="90EEFF" w:themeFill="accent2" w:themeFillTint="3F"/>
      </w:tcPr>
    </w:tblStylePr>
    <w:tblStylePr w:type="band2Horz">
      <w:tblPr/>
      <w:tcPr>
        <w:tcBorders>
          <w:top w:val="single" w:sz="8" w:space="0" w:color="00353E" w:themeColor="accent2"/>
          <w:left w:val="single" w:sz="8" w:space="0" w:color="00353E" w:themeColor="accent2"/>
          <w:bottom w:val="single" w:sz="8" w:space="0" w:color="00353E" w:themeColor="accent2"/>
          <w:right w:val="single" w:sz="8" w:space="0" w:color="00353E" w:themeColor="accent2"/>
          <w:insideV w:val="single" w:sz="8" w:space="0" w:color="00353E" w:themeColor="accent2"/>
        </w:tcBorders>
      </w:tcPr>
    </w:tblStylePr>
  </w:style>
  <w:style w:type="table" w:styleId="LightGrid-Accent3">
    <w:name w:val="Light Grid Accent 3"/>
    <w:basedOn w:val="TableNormal"/>
    <w:uiPriority w:val="62"/>
    <w:semiHidden/>
    <w:unhideWhenUsed/>
    <w:rsid w:val="009E6ED7"/>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insideH w:val="single" w:sz="8" w:space="0" w:color="AECC53" w:themeColor="accent3"/>
        <w:insideV w:val="single" w:sz="8" w:space="0" w:color="AECC53"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ECC53" w:themeColor="accent3"/>
          <w:left w:val="single" w:sz="8" w:space="0" w:color="AECC53" w:themeColor="accent3"/>
          <w:bottom w:val="single" w:sz="18" w:space="0" w:color="AECC53" w:themeColor="accent3"/>
          <w:right w:val="single" w:sz="8" w:space="0" w:color="AECC53" w:themeColor="accent3"/>
          <w:insideH w:val="nil"/>
          <w:insideV w:val="single" w:sz="8" w:space="0" w:color="AECC53"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ECC53" w:themeColor="accent3"/>
          <w:left w:val="single" w:sz="8" w:space="0" w:color="AECC53" w:themeColor="accent3"/>
          <w:bottom w:val="single" w:sz="8" w:space="0" w:color="AECC53" w:themeColor="accent3"/>
          <w:right w:val="single" w:sz="8" w:space="0" w:color="AECC53" w:themeColor="accent3"/>
          <w:insideH w:val="nil"/>
          <w:insideV w:val="single" w:sz="8" w:space="0" w:color="AECC53"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tcPr>
    </w:tblStylePr>
    <w:tblStylePr w:type="band1Vert">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shd w:val="clear" w:color="auto" w:fill="EAF2D4" w:themeFill="accent3" w:themeFillTint="3F"/>
      </w:tcPr>
    </w:tblStylePr>
    <w:tblStylePr w:type="band1Horz">
      <w:tblPr/>
      <w:tcPr>
        <w:tcBorders>
          <w:top w:val="single" w:sz="8" w:space="0" w:color="AECC53" w:themeColor="accent3"/>
          <w:left w:val="single" w:sz="8" w:space="0" w:color="AECC53" w:themeColor="accent3"/>
          <w:bottom w:val="single" w:sz="8" w:space="0" w:color="AECC53" w:themeColor="accent3"/>
          <w:right w:val="single" w:sz="8" w:space="0" w:color="AECC53" w:themeColor="accent3"/>
          <w:insideV w:val="single" w:sz="8" w:space="0" w:color="AECC53" w:themeColor="accent3"/>
        </w:tcBorders>
        <w:shd w:val="clear" w:color="auto" w:fill="EAF2D4" w:themeFill="accent3" w:themeFillTint="3F"/>
      </w:tcPr>
    </w:tblStylePr>
    <w:tblStylePr w:type="band2Horz">
      <w:tblPr/>
      <w:tcPr>
        <w:tcBorders>
          <w:top w:val="single" w:sz="8" w:space="0" w:color="AECC53" w:themeColor="accent3"/>
          <w:left w:val="single" w:sz="8" w:space="0" w:color="AECC53" w:themeColor="accent3"/>
          <w:bottom w:val="single" w:sz="8" w:space="0" w:color="AECC53" w:themeColor="accent3"/>
          <w:right w:val="single" w:sz="8" w:space="0" w:color="AECC53" w:themeColor="accent3"/>
          <w:insideV w:val="single" w:sz="8" w:space="0" w:color="AECC53" w:themeColor="accent3"/>
        </w:tcBorders>
      </w:tcPr>
    </w:tblStylePr>
  </w:style>
  <w:style w:type="table" w:styleId="LightGrid-Accent4">
    <w:name w:val="Light Grid Accent 4"/>
    <w:basedOn w:val="TableNormal"/>
    <w:uiPriority w:val="62"/>
    <w:semiHidden/>
    <w:unhideWhenUsed/>
    <w:rsid w:val="009E6ED7"/>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insideH w:val="single" w:sz="8" w:space="0" w:color="E52713" w:themeColor="accent4"/>
        <w:insideV w:val="single" w:sz="8" w:space="0" w:color="E5271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52713" w:themeColor="accent4"/>
          <w:left w:val="single" w:sz="8" w:space="0" w:color="E52713" w:themeColor="accent4"/>
          <w:bottom w:val="single" w:sz="18" w:space="0" w:color="E52713" w:themeColor="accent4"/>
          <w:right w:val="single" w:sz="8" w:space="0" w:color="E52713" w:themeColor="accent4"/>
          <w:insideH w:val="nil"/>
          <w:insideV w:val="single" w:sz="8" w:space="0" w:color="E5271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52713" w:themeColor="accent4"/>
          <w:left w:val="single" w:sz="8" w:space="0" w:color="E52713" w:themeColor="accent4"/>
          <w:bottom w:val="single" w:sz="8" w:space="0" w:color="E52713" w:themeColor="accent4"/>
          <w:right w:val="single" w:sz="8" w:space="0" w:color="E52713" w:themeColor="accent4"/>
          <w:insideH w:val="nil"/>
          <w:insideV w:val="single" w:sz="8" w:space="0" w:color="E5271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tcPr>
    </w:tblStylePr>
    <w:tblStylePr w:type="band1Vert">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shd w:val="clear" w:color="auto" w:fill="FAC8C2" w:themeFill="accent4" w:themeFillTint="3F"/>
      </w:tcPr>
    </w:tblStylePr>
    <w:tblStylePr w:type="band1Horz">
      <w:tblPr/>
      <w:tcPr>
        <w:tcBorders>
          <w:top w:val="single" w:sz="8" w:space="0" w:color="E52713" w:themeColor="accent4"/>
          <w:left w:val="single" w:sz="8" w:space="0" w:color="E52713" w:themeColor="accent4"/>
          <w:bottom w:val="single" w:sz="8" w:space="0" w:color="E52713" w:themeColor="accent4"/>
          <w:right w:val="single" w:sz="8" w:space="0" w:color="E52713" w:themeColor="accent4"/>
          <w:insideV w:val="single" w:sz="8" w:space="0" w:color="E52713" w:themeColor="accent4"/>
        </w:tcBorders>
        <w:shd w:val="clear" w:color="auto" w:fill="FAC8C2" w:themeFill="accent4" w:themeFillTint="3F"/>
      </w:tcPr>
    </w:tblStylePr>
    <w:tblStylePr w:type="band2Horz">
      <w:tblPr/>
      <w:tcPr>
        <w:tcBorders>
          <w:top w:val="single" w:sz="8" w:space="0" w:color="E52713" w:themeColor="accent4"/>
          <w:left w:val="single" w:sz="8" w:space="0" w:color="E52713" w:themeColor="accent4"/>
          <w:bottom w:val="single" w:sz="8" w:space="0" w:color="E52713" w:themeColor="accent4"/>
          <w:right w:val="single" w:sz="8" w:space="0" w:color="E52713" w:themeColor="accent4"/>
          <w:insideV w:val="single" w:sz="8" w:space="0" w:color="E52713" w:themeColor="accent4"/>
        </w:tcBorders>
      </w:tcPr>
    </w:tblStylePr>
  </w:style>
  <w:style w:type="table" w:styleId="LightGrid-Accent5">
    <w:name w:val="Light Grid Accent 5"/>
    <w:basedOn w:val="TableNormal"/>
    <w:uiPriority w:val="62"/>
    <w:semiHidden/>
    <w:unhideWhenUsed/>
    <w:rsid w:val="009E6ED7"/>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insideH w:val="single" w:sz="8" w:space="0" w:color="009A9B" w:themeColor="accent5"/>
        <w:insideV w:val="single" w:sz="8" w:space="0" w:color="009A9B"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A9B" w:themeColor="accent5"/>
          <w:left w:val="single" w:sz="8" w:space="0" w:color="009A9B" w:themeColor="accent5"/>
          <w:bottom w:val="single" w:sz="18" w:space="0" w:color="009A9B" w:themeColor="accent5"/>
          <w:right w:val="single" w:sz="8" w:space="0" w:color="009A9B" w:themeColor="accent5"/>
          <w:insideH w:val="nil"/>
          <w:insideV w:val="single" w:sz="8" w:space="0" w:color="009A9B"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A9B" w:themeColor="accent5"/>
          <w:left w:val="single" w:sz="8" w:space="0" w:color="009A9B" w:themeColor="accent5"/>
          <w:bottom w:val="single" w:sz="8" w:space="0" w:color="009A9B" w:themeColor="accent5"/>
          <w:right w:val="single" w:sz="8" w:space="0" w:color="009A9B" w:themeColor="accent5"/>
          <w:insideH w:val="nil"/>
          <w:insideV w:val="single" w:sz="8" w:space="0" w:color="009A9B"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tcPr>
    </w:tblStylePr>
    <w:tblStylePr w:type="band1Vert">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shd w:val="clear" w:color="auto" w:fill="A7FEFF" w:themeFill="accent5" w:themeFillTint="3F"/>
      </w:tcPr>
    </w:tblStylePr>
    <w:tblStylePr w:type="band1Horz">
      <w:tblPr/>
      <w:tcPr>
        <w:tcBorders>
          <w:top w:val="single" w:sz="8" w:space="0" w:color="009A9B" w:themeColor="accent5"/>
          <w:left w:val="single" w:sz="8" w:space="0" w:color="009A9B" w:themeColor="accent5"/>
          <w:bottom w:val="single" w:sz="8" w:space="0" w:color="009A9B" w:themeColor="accent5"/>
          <w:right w:val="single" w:sz="8" w:space="0" w:color="009A9B" w:themeColor="accent5"/>
          <w:insideV w:val="single" w:sz="8" w:space="0" w:color="009A9B" w:themeColor="accent5"/>
        </w:tcBorders>
        <w:shd w:val="clear" w:color="auto" w:fill="A7FEFF" w:themeFill="accent5" w:themeFillTint="3F"/>
      </w:tcPr>
    </w:tblStylePr>
    <w:tblStylePr w:type="band2Horz">
      <w:tblPr/>
      <w:tcPr>
        <w:tcBorders>
          <w:top w:val="single" w:sz="8" w:space="0" w:color="009A9B" w:themeColor="accent5"/>
          <w:left w:val="single" w:sz="8" w:space="0" w:color="009A9B" w:themeColor="accent5"/>
          <w:bottom w:val="single" w:sz="8" w:space="0" w:color="009A9B" w:themeColor="accent5"/>
          <w:right w:val="single" w:sz="8" w:space="0" w:color="009A9B" w:themeColor="accent5"/>
          <w:insideV w:val="single" w:sz="8" w:space="0" w:color="009A9B" w:themeColor="accent5"/>
        </w:tcBorders>
      </w:tcPr>
    </w:tblStylePr>
  </w:style>
  <w:style w:type="table" w:styleId="LightGrid-Accent6">
    <w:name w:val="Light Grid Accent 6"/>
    <w:basedOn w:val="TableNormal"/>
    <w:uiPriority w:val="62"/>
    <w:semiHidden/>
    <w:unhideWhenUsed/>
    <w:rsid w:val="009E6ED7"/>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insideH w:val="single" w:sz="8" w:space="0" w:color="FFCE00" w:themeColor="accent6"/>
        <w:insideV w:val="single" w:sz="8" w:space="0" w:color="FFCE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E00" w:themeColor="accent6"/>
          <w:left w:val="single" w:sz="8" w:space="0" w:color="FFCE00" w:themeColor="accent6"/>
          <w:bottom w:val="single" w:sz="18" w:space="0" w:color="FFCE00" w:themeColor="accent6"/>
          <w:right w:val="single" w:sz="8" w:space="0" w:color="FFCE00" w:themeColor="accent6"/>
          <w:insideH w:val="nil"/>
          <w:insideV w:val="single" w:sz="8" w:space="0" w:color="FFCE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E00" w:themeColor="accent6"/>
          <w:left w:val="single" w:sz="8" w:space="0" w:color="FFCE00" w:themeColor="accent6"/>
          <w:bottom w:val="single" w:sz="8" w:space="0" w:color="FFCE00" w:themeColor="accent6"/>
          <w:right w:val="single" w:sz="8" w:space="0" w:color="FFCE00" w:themeColor="accent6"/>
          <w:insideH w:val="nil"/>
          <w:insideV w:val="single" w:sz="8" w:space="0" w:color="FFCE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tcPr>
    </w:tblStylePr>
    <w:tblStylePr w:type="band1Vert">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shd w:val="clear" w:color="auto" w:fill="FFF2C0" w:themeFill="accent6" w:themeFillTint="3F"/>
      </w:tcPr>
    </w:tblStylePr>
    <w:tblStylePr w:type="band1Horz">
      <w:tblPr/>
      <w:tcPr>
        <w:tcBorders>
          <w:top w:val="single" w:sz="8" w:space="0" w:color="FFCE00" w:themeColor="accent6"/>
          <w:left w:val="single" w:sz="8" w:space="0" w:color="FFCE00" w:themeColor="accent6"/>
          <w:bottom w:val="single" w:sz="8" w:space="0" w:color="FFCE00" w:themeColor="accent6"/>
          <w:right w:val="single" w:sz="8" w:space="0" w:color="FFCE00" w:themeColor="accent6"/>
          <w:insideV w:val="single" w:sz="8" w:space="0" w:color="FFCE00" w:themeColor="accent6"/>
        </w:tcBorders>
        <w:shd w:val="clear" w:color="auto" w:fill="FFF2C0" w:themeFill="accent6" w:themeFillTint="3F"/>
      </w:tcPr>
    </w:tblStylePr>
    <w:tblStylePr w:type="band2Horz">
      <w:tblPr/>
      <w:tcPr>
        <w:tcBorders>
          <w:top w:val="single" w:sz="8" w:space="0" w:color="FFCE00" w:themeColor="accent6"/>
          <w:left w:val="single" w:sz="8" w:space="0" w:color="FFCE00" w:themeColor="accent6"/>
          <w:bottom w:val="single" w:sz="8" w:space="0" w:color="FFCE00" w:themeColor="accent6"/>
          <w:right w:val="single" w:sz="8" w:space="0" w:color="FFCE00" w:themeColor="accent6"/>
          <w:insideV w:val="single" w:sz="8" w:space="0" w:color="FFCE00" w:themeColor="accent6"/>
        </w:tcBorders>
      </w:tcPr>
    </w:tblStylePr>
  </w:style>
  <w:style w:type="table" w:styleId="LightList">
    <w:name w:val="Light List"/>
    <w:basedOn w:val="TableNormal"/>
    <w:uiPriority w:val="61"/>
    <w:semiHidden/>
    <w:unhideWhenUsed/>
    <w:rsid w:val="009E6ED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9E6ED7"/>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tblBorders>
    </w:tblPr>
    <w:tblStylePr w:type="firstRow">
      <w:pPr>
        <w:spacing w:before="0" w:after="0" w:line="240" w:lineRule="auto"/>
      </w:pPr>
      <w:rPr>
        <w:b/>
        <w:bCs/>
        <w:color w:val="FFFFFF" w:themeColor="background1"/>
      </w:rPr>
      <w:tblPr/>
      <w:tcPr>
        <w:shd w:val="clear" w:color="auto" w:fill="008768" w:themeFill="accent1"/>
      </w:tcPr>
    </w:tblStylePr>
    <w:tblStylePr w:type="lastRow">
      <w:pPr>
        <w:spacing w:before="0" w:after="0" w:line="240" w:lineRule="auto"/>
      </w:pPr>
      <w:rPr>
        <w:b/>
        <w:bCs/>
      </w:rPr>
      <w:tblPr/>
      <w:tcPr>
        <w:tcBorders>
          <w:top w:val="double" w:sz="6" w:space="0" w:color="008768" w:themeColor="accent1"/>
          <w:left w:val="single" w:sz="8" w:space="0" w:color="008768" w:themeColor="accent1"/>
          <w:bottom w:val="single" w:sz="8" w:space="0" w:color="008768" w:themeColor="accent1"/>
          <w:right w:val="single" w:sz="8" w:space="0" w:color="008768" w:themeColor="accent1"/>
        </w:tcBorders>
      </w:tcPr>
    </w:tblStylePr>
    <w:tblStylePr w:type="firstCol">
      <w:rPr>
        <w:b/>
        <w:bCs/>
      </w:rPr>
    </w:tblStylePr>
    <w:tblStylePr w:type="lastCol">
      <w:rPr>
        <w:b/>
        <w:bCs/>
      </w:rPr>
    </w:tblStylePr>
    <w:tblStylePr w:type="band1Vert">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tcPr>
    </w:tblStylePr>
    <w:tblStylePr w:type="band1Horz">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tcPr>
    </w:tblStylePr>
  </w:style>
  <w:style w:type="table" w:styleId="LightList-Accent2">
    <w:name w:val="Light List Accent 2"/>
    <w:basedOn w:val="TableNormal"/>
    <w:uiPriority w:val="61"/>
    <w:semiHidden/>
    <w:unhideWhenUsed/>
    <w:rsid w:val="009E6ED7"/>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tblBorders>
    </w:tblPr>
    <w:tblStylePr w:type="firstRow">
      <w:pPr>
        <w:spacing w:before="0" w:after="0" w:line="240" w:lineRule="auto"/>
      </w:pPr>
      <w:rPr>
        <w:b/>
        <w:bCs/>
        <w:color w:val="FFFFFF" w:themeColor="background1"/>
      </w:rPr>
      <w:tblPr/>
      <w:tcPr>
        <w:shd w:val="clear" w:color="auto" w:fill="00353E" w:themeFill="accent2"/>
      </w:tcPr>
    </w:tblStylePr>
    <w:tblStylePr w:type="lastRow">
      <w:pPr>
        <w:spacing w:before="0" w:after="0" w:line="240" w:lineRule="auto"/>
      </w:pPr>
      <w:rPr>
        <w:b/>
        <w:bCs/>
      </w:rPr>
      <w:tblPr/>
      <w:tcPr>
        <w:tcBorders>
          <w:top w:val="double" w:sz="6" w:space="0" w:color="00353E" w:themeColor="accent2"/>
          <w:left w:val="single" w:sz="8" w:space="0" w:color="00353E" w:themeColor="accent2"/>
          <w:bottom w:val="single" w:sz="8" w:space="0" w:color="00353E" w:themeColor="accent2"/>
          <w:right w:val="single" w:sz="8" w:space="0" w:color="00353E" w:themeColor="accent2"/>
        </w:tcBorders>
      </w:tcPr>
    </w:tblStylePr>
    <w:tblStylePr w:type="firstCol">
      <w:rPr>
        <w:b/>
        <w:bCs/>
      </w:rPr>
    </w:tblStylePr>
    <w:tblStylePr w:type="lastCol">
      <w:rPr>
        <w:b/>
        <w:bCs/>
      </w:rPr>
    </w:tblStylePr>
    <w:tblStylePr w:type="band1Vert">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tcPr>
    </w:tblStylePr>
    <w:tblStylePr w:type="band1Horz">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tcPr>
    </w:tblStylePr>
  </w:style>
  <w:style w:type="table" w:styleId="LightList-Accent3">
    <w:name w:val="Light List Accent 3"/>
    <w:basedOn w:val="TableNormal"/>
    <w:uiPriority w:val="61"/>
    <w:semiHidden/>
    <w:unhideWhenUsed/>
    <w:rsid w:val="009E6ED7"/>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tblBorders>
    </w:tblPr>
    <w:tblStylePr w:type="firstRow">
      <w:pPr>
        <w:spacing w:before="0" w:after="0" w:line="240" w:lineRule="auto"/>
      </w:pPr>
      <w:rPr>
        <w:b/>
        <w:bCs/>
        <w:color w:val="FFFFFF" w:themeColor="background1"/>
      </w:rPr>
      <w:tblPr/>
      <w:tcPr>
        <w:shd w:val="clear" w:color="auto" w:fill="AECC53" w:themeFill="accent3"/>
      </w:tcPr>
    </w:tblStylePr>
    <w:tblStylePr w:type="lastRow">
      <w:pPr>
        <w:spacing w:before="0" w:after="0" w:line="240" w:lineRule="auto"/>
      </w:pPr>
      <w:rPr>
        <w:b/>
        <w:bCs/>
      </w:rPr>
      <w:tblPr/>
      <w:tcPr>
        <w:tcBorders>
          <w:top w:val="double" w:sz="6" w:space="0" w:color="AECC53" w:themeColor="accent3"/>
          <w:left w:val="single" w:sz="8" w:space="0" w:color="AECC53" w:themeColor="accent3"/>
          <w:bottom w:val="single" w:sz="8" w:space="0" w:color="AECC53" w:themeColor="accent3"/>
          <w:right w:val="single" w:sz="8" w:space="0" w:color="AECC53" w:themeColor="accent3"/>
        </w:tcBorders>
      </w:tcPr>
    </w:tblStylePr>
    <w:tblStylePr w:type="firstCol">
      <w:rPr>
        <w:b/>
        <w:bCs/>
      </w:rPr>
    </w:tblStylePr>
    <w:tblStylePr w:type="lastCol">
      <w:rPr>
        <w:b/>
        <w:bCs/>
      </w:rPr>
    </w:tblStylePr>
    <w:tblStylePr w:type="band1Vert">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tcPr>
    </w:tblStylePr>
    <w:tblStylePr w:type="band1Horz">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tcPr>
    </w:tblStylePr>
  </w:style>
  <w:style w:type="table" w:styleId="LightList-Accent4">
    <w:name w:val="Light List Accent 4"/>
    <w:basedOn w:val="TableNormal"/>
    <w:uiPriority w:val="61"/>
    <w:semiHidden/>
    <w:unhideWhenUsed/>
    <w:rsid w:val="009E6ED7"/>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tblBorders>
    </w:tblPr>
    <w:tblStylePr w:type="firstRow">
      <w:pPr>
        <w:spacing w:before="0" w:after="0" w:line="240" w:lineRule="auto"/>
      </w:pPr>
      <w:rPr>
        <w:b/>
        <w:bCs/>
        <w:color w:val="FFFFFF" w:themeColor="background1"/>
      </w:rPr>
      <w:tblPr/>
      <w:tcPr>
        <w:shd w:val="clear" w:color="auto" w:fill="E52713" w:themeFill="accent4"/>
      </w:tcPr>
    </w:tblStylePr>
    <w:tblStylePr w:type="lastRow">
      <w:pPr>
        <w:spacing w:before="0" w:after="0" w:line="240" w:lineRule="auto"/>
      </w:pPr>
      <w:rPr>
        <w:b/>
        <w:bCs/>
      </w:rPr>
      <w:tblPr/>
      <w:tcPr>
        <w:tcBorders>
          <w:top w:val="double" w:sz="6" w:space="0" w:color="E52713" w:themeColor="accent4"/>
          <w:left w:val="single" w:sz="8" w:space="0" w:color="E52713" w:themeColor="accent4"/>
          <w:bottom w:val="single" w:sz="8" w:space="0" w:color="E52713" w:themeColor="accent4"/>
          <w:right w:val="single" w:sz="8" w:space="0" w:color="E52713" w:themeColor="accent4"/>
        </w:tcBorders>
      </w:tcPr>
    </w:tblStylePr>
    <w:tblStylePr w:type="firstCol">
      <w:rPr>
        <w:b/>
        <w:bCs/>
      </w:rPr>
    </w:tblStylePr>
    <w:tblStylePr w:type="lastCol">
      <w:rPr>
        <w:b/>
        <w:bCs/>
      </w:rPr>
    </w:tblStylePr>
    <w:tblStylePr w:type="band1Vert">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tcPr>
    </w:tblStylePr>
    <w:tblStylePr w:type="band1Horz">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tcPr>
    </w:tblStylePr>
  </w:style>
  <w:style w:type="table" w:styleId="LightList-Accent5">
    <w:name w:val="Light List Accent 5"/>
    <w:basedOn w:val="TableNormal"/>
    <w:uiPriority w:val="61"/>
    <w:semiHidden/>
    <w:unhideWhenUsed/>
    <w:rsid w:val="009E6ED7"/>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tblBorders>
    </w:tblPr>
    <w:tblStylePr w:type="firstRow">
      <w:pPr>
        <w:spacing w:before="0" w:after="0" w:line="240" w:lineRule="auto"/>
      </w:pPr>
      <w:rPr>
        <w:b/>
        <w:bCs/>
        <w:color w:val="FFFFFF" w:themeColor="background1"/>
      </w:rPr>
      <w:tblPr/>
      <w:tcPr>
        <w:shd w:val="clear" w:color="auto" w:fill="009A9B" w:themeFill="accent5"/>
      </w:tcPr>
    </w:tblStylePr>
    <w:tblStylePr w:type="lastRow">
      <w:pPr>
        <w:spacing w:before="0" w:after="0" w:line="240" w:lineRule="auto"/>
      </w:pPr>
      <w:rPr>
        <w:b/>
        <w:bCs/>
      </w:rPr>
      <w:tblPr/>
      <w:tcPr>
        <w:tcBorders>
          <w:top w:val="double" w:sz="6" w:space="0" w:color="009A9B" w:themeColor="accent5"/>
          <w:left w:val="single" w:sz="8" w:space="0" w:color="009A9B" w:themeColor="accent5"/>
          <w:bottom w:val="single" w:sz="8" w:space="0" w:color="009A9B" w:themeColor="accent5"/>
          <w:right w:val="single" w:sz="8" w:space="0" w:color="009A9B" w:themeColor="accent5"/>
        </w:tcBorders>
      </w:tcPr>
    </w:tblStylePr>
    <w:tblStylePr w:type="firstCol">
      <w:rPr>
        <w:b/>
        <w:bCs/>
      </w:rPr>
    </w:tblStylePr>
    <w:tblStylePr w:type="lastCol">
      <w:rPr>
        <w:b/>
        <w:bCs/>
      </w:rPr>
    </w:tblStylePr>
    <w:tblStylePr w:type="band1Vert">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tcPr>
    </w:tblStylePr>
    <w:tblStylePr w:type="band1Horz">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tcPr>
    </w:tblStylePr>
  </w:style>
  <w:style w:type="table" w:styleId="LightList-Accent6">
    <w:name w:val="Light List Accent 6"/>
    <w:basedOn w:val="TableNormal"/>
    <w:uiPriority w:val="61"/>
    <w:semiHidden/>
    <w:unhideWhenUsed/>
    <w:rsid w:val="009E6ED7"/>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tblBorders>
    </w:tblPr>
    <w:tblStylePr w:type="firstRow">
      <w:pPr>
        <w:spacing w:before="0" w:after="0" w:line="240" w:lineRule="auto"/>
      </w:pPr>
      <w:rPr>
        <w:b/>
        <w:bCs/>
        <w:color w:val="FFFFFF" w:themeColor="background1"/>
      </w:rPr>
      <w:tblPr/>
      <w:tcPr>
        <w:shd w:val="clear" w:color="auto" w:fill="FFCE00" w:themeFill="accent6"/>
      </w:tcPr>
    </w:tblStylePr>
    <w:tblStylePr w:type="lastRow">
      <w:pPr>
        <w:spacing w:before="0" w:after="0" w:line="240" w:lineRule="auto"/>
      </w:pPr>
      <w:rPr>
        <w:b/>
        <w:bCs/>
      </w:rPr>
      <w:tblPr/>
      <w:tcPr>
        <w:tcBorders>
          <w:top w:val="double" w:sz="6" w:space="0" w:color="FFCE00" w:themeColor="accent6"/>
          <w:left w:val="single" w:sz="8" w:space="0" w:color="FFCE00" w:themeColor="accent6"/>
          <w:bottom w:val="single" w:sz="8" w:space="0" w:color="FFCE00" w:themeColor="accent6"/>
          <w:right w:val="single" w:sz="8" w:space="0" w:color="FFCE00" w:themeColor="accent6"/>
        </w:tcBorders>
      </w:tcPr>
    </w:tblStylePr>
    <w:tblStylePr w:type="firstCol">
      <w:rPr>
        <w:b/>
        <w:bCs/>
      </w:rPr>
    </w:tblStylePr>
    <w:tblStylePr w:type="lastCol">
      <w:rPr>
        <w:b/>
        <w:bCs/>
      </w:rPr>
    </w:tblStylePr>
    <w:tblStylePr w:type="band1Vert">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tcPr>
    </w:tblStylePr>
    <w:tblStylePr w:type="band1Horz">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tcPr>
    </w:tblStylePr>
  </w:style>
  <w:style w:type="table" w:styleId="LightShading">
    <w:name w:val="Light Shading"/>
    <w:basedOn w:val="TableNormal"/>
    <w:uiPriority w:val="60"/>
    <w:semiHidden/>
    <w:unhideWhenUsed/>
    <w:rsid w:val="009E6ED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9E6ED7"/>
    <w:rPr>
      <w:color w:val="00654D" w:themeColor="accent1" w:themeShade="BF"/>
    </w:rPr>
    <w:tblPr>
      <w:tblStyleRowBandSize w:val="1"/>
      <w:tblStyleColBandSize w:val="1"/>
      <w:tblBorders>
        <w:top w:val="single" w:sz="8" w:space="0" w:color="008768" w:themeColor="accent1"/>
        <w:bottom w:val="single" w:sz="8" w:space="0" w:color="008768" w:themeColor="accent1"/>
      </w:tblBorders>
    </w:tblPr>
    <w:tblStylePr w:type="firstRow">
      <w:pPr>
        <w:spacing w:before="0" w:after="0" w:line="240" w:lineRule="auto"/>
      </w:pPr>
      <w:rPr>
        <w:b/>
        <w:bCs/>
      </w:rPr>
      <w:tblPr/>
      <w:tcPr>
        <w:tcBorders>
          <w:top w:val="single" w:sz="8" w:space="0" w:color="008768" w:themeColor="accent1"/>
          <w:left w:val="nil"/>
          <w:bottom w:val="single" w:sz="8" w:space="0" w:color="008768" w:themeColor="accent1"/>
          <w:right w:val="nil"/>
          <w:insideH w:val="nil"/>
          <w:insideV w:val="nil"/>
        </w:tcBorders>
      </w:tcPr>
    </w:tblStylePr>
    <w:tblStylePr w:type="lastRow">
      <w:pPr>
        <w:spacing w:before="0" w:after="0" w:line="240" w:lineRule="auto"/>
      </w:pPr>
      <w:rPr>
        <w:b/>
        <w:bCs/>
      </w:rPr>
      <w:tblPr/>
      <w:tcPr>
        <w:tcBorders>
          <w:top w:val="single" w:sz="8" w:space="0" w:color="008768" w:themeColor="accent1"/>
          <w:left w:val="nil"/>
          <w:bottom w:val="single" w:sz="8" w:space="0" w:color="00876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2FFE9" w:themeFill="accent1" w:themeFillTint="3F"/>
      </w:tcPr>
    </w:tblStylePr>
    <w:tblStylePr w:type="band1Horz">
      <w:tblPr/>
      <w:tcPr>
        <w:tcBorders>
          <w:left w:val="nil"/>
          <w:right w:val="nil"/>
          <w:insideH w:val="nil"/>
          <w:insideV w:val="nil"/>
        </w:tcBorders>
        <w:shd w:val="clear" w:color="auto" w:fill="A2FFE9" w:themeFill="accent1" w:themeFillTint="3F"/>
      </w:tcPr>
    </w:tblStylePr>
  </w:style>
  <w:style w:type="table" w:styleId="LightShading-Accent2">
    <w:name w:val="Light Shading Accent 2"/>
    <w:basedOn w:val="TableNormal"/>
    <w:uiPriority w:val="60"/>
    <w:semiHidden/>
    <w:unhideWhenUsed/>
    <w:rsid w:val="009E6ED7"/>
    <w:rPr>
      <w:color w:val="00272E" w:themeColor="accent2" w:themeShade="BF"/>
    </w:rPr>
    <w:tblPr>
      <w:tblStyleRowBandSize w:val="1"/>
      <w:tblStyleColBandSize w:val="1"/>
      <w:tblBorders>
        <w:top w:val="single" w:sz="8" w:space="0" w:color="00353E" w:themeColor="accent2"/>
        <w:bottom w:val="single" w:sz="8" w:space="0" w:color="00353E" w:themeColor="accent2"/>
      </w:tblBorders>
    </w:tblPr>
    <w:tblStylePr w:type="firstRow">
      <w:pPr>
        <w:spacing w:before="0" w:after="0" w:line="240" w:lineRule="auto"/>
      </w:pPr>
      <w:rPr>
        <w:b/>
        <w:bCs/>
      </w:rPr>
      <w:tblPr/>
      <w:tcPr>
        <w:tcBorders>
          <w:top w:val="single" w:sz="8" w:space="0" w:color="00353E" w:themeColor="accent2"/>
          <w:left w:val="nil"/>
          <w:bottom w:val="single" w:sz="8" w:space="0" w:color="00353E" w:themeColor="accent2"/>
          <w:right w:val="nil"/>
          <w:insideH w:val="nil"/>
          <w:insideV w:val="nil"/>
        </w:tcBorders>
      </w:tcPr>
    </w:tblStylePr>
    <w:tblStylePr w:type="lastRow">
      <w:pPr>
        <w:spacing w:before="0" w:after="0" w:line="240" w:lineRule="auto"/>
      </w:pPr>
      <w:rPr>
        <w:b/>
        <w:bCs/>
      </w:rPr>
      <w:tblPr/>
      <w:tcPr>
        <w:tcBorders>
          <w:top w:val="single" w:sz="8" w:space="0" w:color="00353E" w:themeColor="accent2"/>
          <w:left w:val="nil"/>
          <w:bottom w:val="single" w:sz="8" w:space="0" w:color="00353E"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0EEFF" w:themeFill="accent2" w:themeFillTint="3F"/>
      </w:tcPr>
    </w:tblStylePr>
    <w:tblStylePr w:type="band1Horz">
      <w:tblPr/>
      <w:tcPr>
        <w:tcBorders>
          <w:left w:val="nil"/>
          <w:right w:val="nil"/>
          <w:insideH w:val="nil"/>
          <w:insideV w:val="nil"/>
        </w:tcBorders>
        <w:shd w:val="clear" w:color="auto" w:fill="90EEFF" w:themeFill="accent2" w:themeFillTint="3F"/>
      </w:tcPr>
    </w:tblStylePr>
  </w:style>
  <w:style w:type="table" w:styleId="LightShading-Accent3">
    <w:name w:val="Light Shading Accent 3"/>
    <w:basedOn w:val="TableNormal"/>
    <w:uiPriority w:val="60"/>
    <w:semiHidden/>
    <w:unhideWhenUsed/>
    <w:rsid w:val="009E6ED7"/>
    <w:rPr>
      <w:color w:val="88A531" w:themeColor="accent3" w:themeShade="BF"/>
    </w:rPr>
    <w:tblPr>
      <w:tblStyleRowBandSize w:val="1"/>
      <w:tblStyleColBandSize w:val="1"/>
      <w:tblBorders>
        <w:top w:val="single" w:sz="8" w:space="0" w:color="AECC53" w:themeColor="accent3"/>
        <w:bottom w:val="single" w:sz="8" w:space="0" w:color="AECC53" w:themeColor="accent3"/>
      </w:tblBorders>
    </w:tblPr>
    <w:tblStylePr w:type="firstRow">
      <w:pPr>
        <w:spacing w:before="0" w:after="0" w:line="240" w:lineRule="auto"/>
      </w:pPr>
      <w:rPr>
        <w:b/>
        <w:bCs/>
      </w:rPr>
      <w:tblPr/>
      <w:tcPr>
        <w:tcBorders>
          <w:top w:val="single" w:sz="8" w:space="0" w:color="AECC53" w:themeColor="accent3"/>
          <w:left w:val="nil"/>
          <w:bottom w:val="single" w:sz="8" w:space="0" w:color="AECC53" w:themeColor="accent3"/>
          <w:right w:val="nil"/>
          <w:insideH w:val="nil"/>
          <w:insideV w:val="nil"/>
        </w:tcBorders>
      </w:tcPr>
    </w:tblStylePr>
    <w:tblStylePr w:type="lastRow">
      <w:pPr>
        <w:spacing w:before="0" w:after="0" w:line="240" w:lineRule="auto"/>
      </w:pPr>
      <w:rPr>
        <w:b/>
        <w:bCs/>
      </w:rPr>
      <w:tblPr/>
      <w:tcPr>
        <w:tcBorders>
          <w:top w:val="single" w:sz="8" w:space="0" w:color="AECC53" w:themeColor="accent3"/>
          <w:left w:val="nil"/>
          <w:bottom w:val="single" w:sz="8" w:space="0" w:color="AECC53"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AF2D4" w:themeFill="accent3" w:themeFillTint="3F"/>
      </w:tcPr>
    </w:tblStylePr>
    <w:tblStylePr w:type="band1Horz">
      <w:tblPr/>
      <w:tcPr>
        <w:tcBorders>
          <w:left w:val="nil"/>
          <w:right w:val="nil"/>
          <w:insideH w:val="nil"/>
          <w:insideV w:val="nil"/>
        </w:tcBorders>
        <w:shd w:val="clear" w:color="auto" w:fill="EAF2D4" w:themeFill="accent3" w:themeFillTint="3F"/>
      </w:tcPr>
    </w:tblStylePr>
  </w:style>
  <w:style w:type="table" w:styleId="LightShading-Accent4">
    <w:name w:val="Light Shading Accent 4"/>
    <w:basedOn w:val="TableNormal"/>
    <w:uiPriority w:val="60"/>
    <w:semiHidden/>
    <w:unhideWhenUsed/>
    <w:rsid w:val="009E6ED7"/>
    <w:rPr>
      <w:color w:val="AB1D0E" w:themeColor="accent4" w:themeShade="BF"/>
    </w:rPr>
    <w:tblPr>
      <w:tblStyleRowBandSize w:val="1"/>
      <w:tblStyleColBandSize w:val="1"/>
      <w:tblBorders>
        <w:top w:val="single" w:sz="8" w:space="0" w:color="E52713" w:themeColor="accent4"/>
        <w:bottom w:val="single" w:sz="8" w:space="0" w:color="E52713" w:themeColor="accent4"/>
      </w:tblBorders>
    </w:tblPr>
    <w:tblStylePr w:type="firstRow">
      <w:pPr>
        <w:spacing w:before="0" w:after="0" w:line="240" w:lineRule="auto"/>
      </w:pPr>
      <w:rPr>
        <w:b/>
        <w:bCs/>
      </w:rPr>
      <w:tblPr/>
      <w:tcPr>
        <w:tcBorders>
          <w:top w:val="single" w:sz="8" w:space="0" w:color="E52713" w:themeColor="accent4"/>
          <w:left w:val="nil"/>
          <w:bottom w:val="single" w:sz="8" w:space="0" w:color="E52713" w:themeColor="accent4"/>
          <w:right w:val="nil"/>
          <w:insideH w:val="nil"/>
          <w:insideV w:val="nil"/>
        </w:tcBorders>
      </w:tcPr>
    </w:tblStylePr>
    <w:tblStylePr w:type="lastRow">
      <w:pPr>
        <w:spacing w:before="0" w:after="0" w:line="240" w:lineRule="auto"/>
      </w:pPr>
      <w:rPr>
        <w:b/>
        <w:bCs/>
      </w:rPr>
      <w:tblPr/>
      <w:tcPr>
        <w:tcBorders>
          <w:top w:val="single" w:sz="8" w:space="0" w:color="E52713" w:themeColor="accent4"/>
          <w:left w:val="nil"/>
          <w:bottom w:val="single" w:sz="8" w:space="0" w:color="E5271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C8C2" w:themeFill="accent4" w:themeFillTint="3F"/>
      </w:tcPr>
    </w:tblStylePr>
    <w:tblStylePr w:type="band1Horz">
      <w:tblPr/>
      <w:tcPr>
        <w:tcBorders>
          <w:left w:val="nil"/>
          <w:right w:val="nil"/>
          <w:insideH w:val="nil"/>
          <w:insideV w:val="nil"/>
        </w:tcBorders>
        <w:shd w:val="clear" w:color="auto" w:fill="FAC8C2" w:themeFill="accent4" w:themeFillTint="3F"/>
      </w:tcPr>
    </w:tblStylePr>
  </w:style>
  <w:style w:type="table" w:styleId="LightShading-Accent5">
    <w:name w:val="Light Shading Accent 5"/>
    <w:basedOn w:val="TableNormal"/>
    <w:uiPriority w:val="60"/>
    <w:semiHidden/>
    <w:unhideWhenUsed/>
    <w:rsid w:val="009E6ED7"/>
    <w:rPr>
      <w:color w:val="007374" w:themeColor="accent5" w:themeShade="BF"/>
    </w:rPr>
    <w:tblPr>
      <w:tblStyleRowBandSize w:val="1"/>
      <w:tblStyleColBandSize w:val="1"/>
      <w:tblBorders>
        <w:top w:val="single" w:sz="8" w:space="0" w:color="009A9B" w:themeColor="accent5"/>
        <w:bottom w:val="single" w:sz="8" w:space="0" w:color="009A9B" w:themeColor="accent5"/>
      </w:tblBorders>
    </w:tblPr>
    <w:tblStylePr w:type="firstRow">
      <w:pPr>
        <w:spacing w:before="0" w:after="0" w:line="240" w:lineRule="auto"/>
      </w:pPr>
      <w:rPr>
        <w:b/>
        <w:bCs/>
      </w:rPr>
      <w:tblPr/>
      <w:tcPr>
        <w:tcBorders>
          <w:top w:val="single" w:sz="8" w:space="0" w:color="009A9B" w:themeColor="accent5"/>
          <w:left w:val="nil"/>
          <w:bottom w:val="single" w:sz="8" w:space="0" w:color="009A9B" w:themeColor="accent5"/>
          <w:right w:val="nil"/>
          <w:insideH w:val="nil"/>
          <w:insideV w:val="nil"/>
        </w:tcBorders>
      </w:tcPr>
    </w:tblStylePr>
    <w:tblStylePr w:type="lastRow">
      <w:pPr>
        <w:spacing w:before="0" w:after="0" w:line="240" w:lineRule="auto"/>
      </w:pPr>
      <w:rPr>
        <w:b/>
        <w:bCs/>
      </w:rPr>
      <w:tblPr/>
      <w:tcPr>
        <w:tcBorders>
          <w:top w:val="single" w:sz="8" w:space="0" w:color="009A9B" w:themeColor="accent5"/>
          <w:left w:val="nil"/>
          <w:bottom w:val="single" w:sz="8" w:space="0" w:color="009A9B"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7FEFF" w:themeFill="accent5" w:themeFillTint="3F"/>
      </w:tcPr>
    </w:tblStylePr>
    <w:tblStylePr w:type="band1Horz">
      <w:tblPr/>
      <w:tcPr>
        <w:tcBorders>
          <w:left w:val="nil"/>
          <w:right w:val="nil"/>
          <w:insideH w:val="nil"/>
          <w:insideV w:val="nil"/>
        </w:tcBorders>
        <w:shd w:val="clear" w:color="auto" w:fill="A7FEFF" w:themeFill="accent5" w:themeFillTint="3F"/>
      </w:tcPr>
    </w:tblStylePr>
  </w:style>
  <w:style w:type="table" w:styleId="LightShading-Accent6">
    <w:name w:val="Light Shading Accent 6"/>
    <w:basedOn w:val="TableNormal"/>
    <w:uiPriority w:val="60"/>
    <w:semiHidden/>
    <w:unhideWhenUsed/>
    <w:rsid w:val="009E6ED7"/>
    <w:rPr>
      <w:color w:val="BF9A00" w:themeColor="accent6" w:themeShade="BF"/>
    </w:rPr>
    <w:tblPr>
      <w:tblStyleRowBandSize w:val="1"/>
      <w:tblStyleColBandSize w:val="1"/>
      <w:tblBorders>
        <w:top w:val="single" w:sz="8" w:space="0" w:color="FFCE00" w:themeColor="accent6"/>
        <w:bottom w:val="single" w:sz="8" w:space="0" w:color="FFCE00" w:themeColor="accent6"/>
      </w:tblBorders>
    </w:tblPr>
    <w:tblStylePr w:type="firstRow">
      <w:pPr>
        <w:spacing w:before="0" w:after="0" w:line="240" w:lineRule="auto"/>
      </w:pPr>
      <w:rPr>
        <w:b/>
        <w:bCs/>
      </w:rPr>
      <w:tblPr/>
      <w:tcPr>
        <w:tcBorders>
          <w:top w:val="single" w:sz="8" w:space="0" w:color="FFCE00" w:themeColor="accent6"/>
          <w:left w:val="nil"/>
          <w:bottom w:val="single" w:sz="8" w:space="0" w:color="FFCE00" w:themeColor="accent6"/>
          <w:right w:val="nil"/>
          <w:insideH w:val="nil"/>
          <w:insideV w:val="nil"/>
        </w:tcBorders>
      </w:tcPr>
    </w:tblStylePr>
    <w:tblStylePr w:type="lastRow">
      <w:pPr>
        <w:spacing w:before="0" w:after="0" w:line="240" w:lineRule="auto"/>
      </w:pPr>
      <w:rPr>
        <w:b/>
        <w:bCs/>
      </w:rPr>
      <w:tblPr/>
      <w:tcPr>
        <w:tcBorders>
          <w:top w:val="single" w:sz="8" w:space="0" w:color="FFCE00" w:themeColor="accent6"/>
          <w:left w:val="nil"/>
          <w:bottom w:val="single" w:sz="8" w:space="0" w:color="FFCE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2C0" w:themeFill="accent6" w:themeFillTint="3F"/>
      </w:tcPr>
    </w:tblStylePr>
    <w:tblStylePr w:type="band1Horz">
      <w:tblPr/>
      <w:tcPr>
        <w:tcBorders>
          <w:left w:val="nil"/>
          <w:right w:val="nil"/>
          <w:insideH w:val="nil"/>
          <w:insideV w:val="nil"/>
        </w:tcBorders>
        <w:shd w:val="clear" w:color="auto" w:fill="FFF2C0" w:themeFill="accent6" w:themeFillTint="3F"/>
      </w:tcPr>
    </w:tblStylePr>
  </w:style>
  <w:style w:type="table" w:styleId="MediumGrid1">
    <w:name w:val="Medium Grid 1"/>
    <w:basedOn w:val="TableNormal"/>
    <w:uiPriority w:val="67"/>
    <w:semiHidden/>
    <w:unhideWhenUsed/>
    <w:rsid w:val="009E6ED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9E6ED7"/>
    <w:tblPr>
      <w:tblStyleRowBandSize w:val="1"/>
      <w:tblStyleColBandSize w:val="1"/>
      <w:tblBorders>
        <w:top w:val="single" w:sz="8"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single" w:sz="8" w:space="0" w:color="00E5B0" w:themeColor="accent1" w:themeTint="BF"/>
        <w:insideV w:val="single" w:sz="8" w:space="0" w:color="00E5B0" w:themeColor="accent1" w:themeTint="BF"/>
      </w:tblBorders>
    </w:tblPr>
    <w:tcPr>
      <w:shd w:val="clear" w:color="auto" w:fill="A2FFE9" w:themeFill="accent1" w:themeFillTint="3F"/>
    </w:tcPr>
    <w:tblStylePr w:type="firstRow">
      <w:rPr>
        <w:b/>
        <w:bCs/>
      </w:rPr>
    </w:tblStylePr>
    <w:tblStylePr w:type="lastRow">
      <w:rPr>
        <w:b/>
        <w:bCs/>
      </w:rPr>
      <w:tblPr/>
      <w:tcPr>
        <w:tcBorders>
          <w:top w:val="single" w:sz="18" w:space="0" w:color="00E5B0" w:themeColor="accent1" w:themeTint="BF"/>
        </w:tcBorders>
      </w:tcPr>
    </w:tblStylePr>
    <w:tblStylePr w:type="firstCol">
      <w:rPr>
        <w:b/>
        <w:bCs/>
      </w:rPr>
    </w:tblStylePr>
    <w:tblStylePr w:type="lastCol">
      <w:rPr>
        <w:b/>
        <w:bCs/>
      </w:rPr>
    </w:tblStylePr>
    <w:tblStylePr w:type="band1Vert">
      <w:tblPr/>
      <w:tcPr>
        <w:shd w:val="clear" w:color="auto" w:fill="44FFD3" w:themeFill="accent1" w:themeFillTint="7F"/>
      </w:tcPr>
    </w:tblStylePr>
    <w:tblStylePr w:type="band1Horz">
      <w:tblPr/>
      <w:tcPr>
        <w:shd w:val="clear" w:color="auto" w:fill="44FFD3" w:themeFill="accent1" w:themeFillTint="7F"/>
      </w:tcPr>
    </w:tblStylePr>
  </w:style>
  <w:style w:type="table" w:styleId="MediumGrid1-Accent2">
    <w:name w:val="Medium Grid 1 Accent 2"/>
    <w:basedOn w:val="TableNormal"/>
    <w:uiPriority w:val="67"/>
    <w:semiHidden/>
    <w:unhideWhenUsed/>
    <w:rsid w:val="009E6ED7"/>
    <w:tblPr>
      <w:tblStyleRowBandSize w:val="1"/>
      <w:tblStyleColBandSize w:val="1"/>
      <w:tblBorders>
        <w:top w:val="single" w:sz="8"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single" w:sz="8" w:space="0" w:color="0094AE" w:themeColor="accent2" w:themeTint="BF"/>
        <w:insideV w:val="single" w:sz="8" w:space="0" w:color="0094AE" w:themeColor="accent2" w:themeTint="BF"/>
      </w:tblBorders>
    </w:tblPr>
    <w:tcPr>
      <w:shd w:val="clear" w:color="auto" w:fill="90EEFF" w:themeFill="accent2" w:themeFillTint="3F"/>
    </w:tcPr>
    <w:tblStylePr w:type="firstRow">
      <w:rPr>
        <w:b/>
        <w:bCs/>
      </w:rPr>
    </w:tblStylePr>
    <w:tblStylePr w:type="lastRow">
      <w:rPr>
        <w:b/>
        <w:bCs/>
      </w:rPr>
      <w:tblPr/>
      <w:tcPr>
        <w:tcBorders>
          <w:top w:val="single" w:sz="18" w:space="0" w:color="0094AE" w:themeColor="accent2" w:themeTint="BF"/>
        </w:tcBorders>
      </w:tcPr>
    </w:tblStylePr>
    <w:tblStylePr w:type="firstCol">
      <w:rPr>
        <w:b/>
        <w:bCs/>
      </w:rPr>
    </w:tblStylePr>
    <w:tblStylePr w:type="lastCol">
      <w:rPr>
        <w:b/>
        <w:bCs/>
      </w:rPr>
    </w:tblStylePr>
    <w:tblStylePr w:type="band1Vert">
      <w:tblPr/>
      <w:tcPr>
        <w:shd w:val="clear" w:color="auto" w:fill="1FDDFF" w:themeFill="accent2" w:themeFillTint="7F"/>
      </w:tcPr>
    </w:tblStylePr>
    <w:tblStylePr w:type="band1Horz">
      <w:tblPr/>
      <w:tcPr>
        <w:shd w:val="clear" w:color="auto" w:fill="1FDDFF" w:themeFill="accent2" w:themeFillTint="7F"/>
      </w:tcPr>
    </w:tblStylePr>
  </w:style>
  <w:style w:type="table" w:styleId="MediumGrid1-Accent3">
    <w:name w:val="Medium Grid 1 Accent 3"/>
    <w:basedOn w:val="TableNormal"/>
    <w:uiPriority w:val="67"/>
    <w:semiHidden/>
    <w:unhideWhenUsed/>
    <w:rsid w:val="009E6ED7"/>
    <w:tblPr>
      <w:tblStyleRowBandSize w:val="1"/>
      <w:tblStyleColBandSize w:val="1"/>
      <w:tblBorders>
        <w:top w:val="single" w:sz="8"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single" w:sz="8" w:space="0" w:color="C1D87D" w:themeColor="accent3" w:themeTint="BF"/>
        <w:insideV w:val="single" w:sz="8" w:space="0" w:color="C1D87D" w:themeColor="accent3" w:themeTint="BF"/>
      </w:tblBorders>
    </w:tblPr>
    <w:tcPr>
      <w:shd w:val="clear" w:color="auto" w:fill="EAF2D4" w:themeFill="accent3" w:themeFillTint="3F"/>
    </w:tcPr>
    <w:tblStylePr w:type="firstRow">
      <w:rPr>
        <w:b/>
        <w:bCs/>
      </w:rPr>
    </w:tblStylePr>
    <w:tblStylePr w:type="lastRow">
      <w:rPr>
        <w:b/>
        <w:bCs/>
      </w:rPr>
      <w:tblPr/>
      <w:tcPr>
        <w:tcBorders>
          <w:top w:val="single" w:sz="18" w:space="0" w:color="C1D87D" w:themeColor="accent3" w:themeTint="BF"/>
        </w:tcBorders>
      </w:tcPr>
    </w:tblStylePr>
    <w:tblStylePr w:type="firstCol">
      <w:rPr>
        <w:b/>
        <w:bCs/>
      </w:rPr>
    </w:tblStylePr>
    <w:tblStylePr w:type="lastCol">
      <w:rPr>
        <w:b/>
        <w:bCs/>
      </w:rPr>
    </w:tblStylePr>
    <w:tblStylePr w:type="band1Vert">
      <w:tblPr/>
      <w:tcPr>
        <w:shd w:val="clear" w:color="auto" w:fill="D6E5A9" w:themeFill="accent3" w:themeFillTint="7F"/>
      </w:tcPr>
    </w:tblStylePr>
    <w:tblStylePr w:type="band1Horz">
      <w:tblPr/>
      <w:tcPr>
        <w:shd w:val="clear" w:color="auto" w:fill="D6E5A9" w:themeFill="accent3" w:themeFillTint="7F"/>
      </w:tcPr>
    </w:tblStylePr>
  </w:style>
  <w:style w:type="table" w:styleId="MediumGrid1-Accent4">
    <w:name w:val="Medium Grid 1 Accent 4"/>
    <w:basedOn w:val="TableNormal"/>
    <w:uiPriority w:val="67"/>
    <w:semiHidden/>
    <w:unhideWhenUsed/>
    <w:rsid w:val="009E6ED7"/>
    <w:tblPr>
      <w:tblStyleRowBandSize w:val="1"/>
      <w:tblStyleColBandSize w:val="1"/>
      <w:tblBorders>
        <w:top w:val="single" w:sz="8"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single" w:sz="8" w:space="0" w:color="F05949" w:themeColor="accent4" w:themeTint="BF"/>
        <w:insideV w:val="single" w:sz="8" w:space="0" w:color="F05949" w:themeColor="accent4" w:themeTint="BF"/>
      </w:tblBorders>
    </w:tblPr>
    <w:tcPr>
      <w:shd w:val="clear" w:color="auto" w:fill="FAC8C2" w:themeFill="accent4" w:themeFillTint="3F"/>
    </w:tcPr>
    <w:tblStylePr w:type="firstRow">
      <w:rPr>
        <w:b/>
        <w:bCs/>
      </w:rPr>
    </w:tblStylePr>
    <w:tblStylePr w:type="lastRow">
      <w:rPr>
        <w:b/>
        <w:bCs/>
      </w:rPr>
      <w:tblPr/>
      <w:tcPr>
        <w:tcBorders>
          <w:top w:val="single" w:sz="18" w:space="0" w:color="F05949" w:themeColor="accent4" w:themeTint="BF"/>
        </w:tcBorders>
      </w:tcPr>
    </w:tblStylePr>
    <w:tblStylePr w:type="firstCol">
      <w:rPr>
        <w:b/>
        <w:bCs/>
      </w:rPr>
    </w:tblStylePr>
    <w:tblStylePr w:type="lastCol">
      <w:rPr>
        <w:b/>
        <w:bCs/>
      </w:rPr>
    </w:tblStylePr>
    <w:tblStylePr w:type="band1Vert">
      <w:tblPr/>
      <w:tcPr>
        <w:shd w:val="clear" w:color="auto" w:fill="F59086" w:themeFill="accent4" w:themeFillTint="7F"/>
      </w:tcPr>
    </w:tblStylePr>
    <w:tblStylePr w:type="band1Horz">
      <w:tblPr/>
      <w:tcPr>
        <w:shd w:val="clear" w:color="auto" w:fill="F59086" w:themeFill="accent4" w:themeFillTint="7F"/>
      </w:tcPr>
    </w:tblStylePr>
  </w:style>
  <w:style w:type="table" w:styleId="MediumGrid1-Accent5">
    <w:name w:val="Medium Grid 1 Accent 5"/>
    <w:basedOn w:val="TableNormal"/>
    <w:uiPriority w:val="67"/>
    <w:semiHidden/>
    <w:unhideWhenUsed/>
    <w:rsid w:val="009E6ED7"/>
    <w:tblPr>
      <w:tblStyleRowBandSize w:val="1"/>
      <w:tblStyleColBandSize w:val="1"/>
      <w:tblBorders>
        <w:top w:val="single" w:sz="8"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single" w:sz="8" w:space="0" w:color="00F2F4" w:themeColor="accent5" w:themeTint="BF"/>
        <w:insideV w:val="single" w:sz="8" w:space="0" w:color="00F2F4" w:themeColor="accent5" w:themeTint="BF"/>
      </w:tblBorders>
    </w:tblPr>
    <w:tcPr>
      <w:shd w:val="clear" w:color="auto" w:fill="A7FEFF" w:themeFill="accent5" w:themeFillTint="3F"/>
    </w:tcPr>
    <w:tblStylePr w:type="firstRow">
      <w:rPr>
        <w:b/>
        <w:bCs/>
      </w:rPr>
    </w:tblStylePr>
    <w:tblStylePr w:type="lastRow">
      <w:rPr>
        <w:b/>
        <w:bCs/>
      </w:rPr>
      <w:tblPr/>
      <w:tcPr>
        <w:tcBorders>
          <w:top w:val="single" w:sz="18" w:space="0" w:color="00F2F4" w:themeColor="accent5" w:themeTint="BF"/>
        </w:tcBorders>
      </w:tcPr>
    </w:tblStylePr>
    <w:tblStylePr w:type="firstCol">
      <w:rPr>
        <w:b/>
        <w:bCs/>
      </w:rPr>
    </w:tblStylePr>
    <w:tblStylePr w:type="lastCol">
      <w:rPr>
        <w:b/>
        <w:bCs/>
      </w:rPr>
    </w:tblStylePr>
    <w:tblStylePr w:type="band1Vert">
      <w:tblPr/>
      <w:tcPr>
        <w:shd w:val="clear" w:color="auto" w:fill="4EFDFF" w:themeFill="accent5" w:themeFillTint="7F"/>
      </w:tcPr>
    </w:tblStylePr>
    <w:tblStylePr w:type="band1Horz">
      <w:tblPr/>
      <w:tcPr>
        <w:shd w:val="clear" w:color="auto" w:fill="4EFDFF" w:themeFill="accent5" w:themeFillTint="7F"/>
      </w:tcPr>
    </w:tblStylePr>
  </w:style>
  <w:style w:type="table" w:styleId="MediumGrid1-Accent6">
    <w:name w:val="Medium Grid 1 Accent 6"/>
    <w:basedOn w:val="TableNormal"/>
    <w:uiPriority w:val="67"/>
    <w:semiHidden/>
    <w:unhideWhenUsed/>
    <w:rsid w:val="009E6ED7"/>
    <w:tblPr>
      <w:tblStyleRowBandSize w:val="1"/>
      <w:tblStyleColBandSize w:val="1"/>
      <w:tblBorders>
        <w:top w:val="single" w:sz="8"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single" w:sz="8" w:space="0" w:color="FFDA40" w:themeColor="accent6" w:themeTint="BF"/>
        <w:insideV w:val="single" w:sz="8" w:space="0" w:color="FFDA40" w:themeColor="accent6" w:themeTint="BF"/>
      </w:tblBorders>
    </w:tblPr>
    <w:tcPr>
      <w:shd w:val="clear" w:color="auto" w:fill="FFF2C0" w:themeFill="accent6" w:themeFillTint="3F"/>
    </w:tcPr>
    <w:tblStylePr w:type="firstRow">
      <w:rPr>
        <w:b/>
        <w:bCs/>
      </w:rPr>
    </w:tblStylePr>
    <w:tblStylePr w:type="lastRow">
      <w:rPr>
        <w:b/>
        <w:bCs/>
      </w:rPr>
      <w:tblPr/>
      <w:tcPr>
        <w:tcBorders>
          <w:top w:val="single" w:sz="18" w:space="0" w:color="FFDA40" w:themeColor="accent6" w:themeTint="BF"/>
        </w:tcBorders>
      </w:tcPr>
    </w:tblStylePr>
    <w:tblStylePr w:type="firstCol">
      <w:rPr>
        <w:b/>
        <w:bCs/>
      </w:rPr>
    </w:tblStylePr>
    <w:tblStylePr w:type="lastCol">
      <w:rPr>
        <w:b/>
        <w:bCs/>
      </w:rPr>
    </w:tblStylePr>
    <w:tblStylePr w:type="band1Vert">
      <w:tblPr/>
      <w:tcPr>
        <w:shd w:val="clear" w:color="auto" w:fill="FFE680" w:themeFill="accent6" w:themeFillTint="7F"/>
      </w:tcPr>
    </w:tblStylePr>
    <w:tblStylePr w:type="band1Horz">
      <w:tblPr/>
      <w:tcPr>
        <w:shd w:val="clear" w:color="auto" w:fill="FFE680" w:themeFill="accent6" w:themeFillTint="7F"/>
      </w:tcPr>
    </w:tblStylePr>
  </w:style>
  <w:style w:type="table" w:styleId="MediumGrid2">
    <w:name w:val="Medium Grid 2"/>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insideH w:val="single" w:sz="8" w:space="0" w:color="008768" w:themeColor="accent1"/>
        <w:insideV w:val="single" w:sz="8" w:space="0" w:color="008768" w:themeColor="accent1"/>
      </w:tblBorders>
    </w:tblPr>
    <w:tcPr>
      <w:shd w:val="clear" w:color="auto" w:fill="A2FFE9" w:themeFill="accent1" w:themeFillTint="3F"/>
    </w:tcPr>
    <w:tblStylePr w:type="firstRow">
      <w:rPr>
        <w:b/>
        <w:bCs/>
        <w:color w:val="000000" w:themeColor="text1"/>
      </w:rPr>
      <w:tblPr/>
      <w:tcPr>
        <w:shd w:val="clear" w:color="auto" w:fill="DAFF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4FFED" w:themeFill="accent1" w:themeFillTint="33"/>
      </w:tcPr>
    </w:tblStylePr>
    <w:tblStylePr w:type="band1Vert">
      <w:tblPr/>
      <w:tcPr>
        <w:shd w:val="clear" w:color="auto" w:fill="44FFD3" w:themeFill="accent1" w:themeFillTint="7F"/>
      </w:tcPr>
    </w:tblStylePr>
    <w:tblStylePr w:type="band1Horz">
      <w:tblPr/>
      <w:tcPr>
        <w:tcBorders>
          <w:insideH w:val="single" w:sz="6" w:space="0" w:color="008768" w:themeColor="accent1"/>
          <w:insideV w:val="single" w:sz="6" w:space="0" w:color="008768" w:themeColor="accent1"/>
        </w:tcBorders>
        <w:shd w:val="clear" w:color="auto" w:fill="44FFD3"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insideH w:val="single" w:sz="8" w:space="0" w:color="00353E" w:themeColor="accent2"/>
        <w:insideV w:val="single" w:sz="8" w:space="0" w:color="00353E" w:themeColor="accent2"/>
      </w:tblBorders>
    </w:tblPr>
    <w:tcPr>
      <w:shd w:val="clear" w:color="auto" w:fill="90EEFF" w:themeFill="accent2" w:themeFillTint="3F"/>
    </w:tcPr>
    <w:tblStylePr w:type="firstRow">
      <w:rPr>
        <w:b/>
        <w:bCs/>
        <w:color w:val="000000" w:themeColor="text1"/>
      </w:rPr>
      <w:tblPr/>
      <w:tcPr>
        <w:shd w:val="clear" w:color="auto" w:fill="D3F8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5F1FF" w:themeFill="accent2" w:themeFillTint="33"/>
      </w:tcPr>
    </w:tblStylePr>
    <w:tblStylePr w:type="band1Vert">
      <w:tblPr/>
      <w:tcPr>
        <w:shd w:val="clear" w:color="auto" w:fill="1FDDFF" w:themeFill="accent2" w:themeFillTint="7F"/>
      </w:tcPr>
    </w:tblStylePr>
    <w:tblStylePr w:type="band1Horz">
      <w:tblPr/>
      <w:tcPr>
        <w:tcBorders>
          <w:insideH w:val="single" w:sz="6" w:space="0" w:color="00353E" w:themeColor="accent2"/>
          <w:insideV w:val="single" w:sz="6" w:space="0" w:color="00353E" w:themeColor="accent2"/>
        </w:tcBorders>
        <w:shd w:val="clear" w:color="auto" w:fill="1FDD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insideH w:val="single" w:sz="8" w:space="0" w:color="AECC53" w:themeColor="accent3"/>
        <w:insideV w:val="single" w:sz="8" w:space="0" w:color="AECC53" w:themeColor="accent3"/>
      </w:tblBorders>
    </w:tblPr>
    <w:tcPr>
      <w:shd w:val="clear" w:color="auto" w:fill="EAF2D4" w:themeFill="accent3" w:themeFillTint="3F"/>
    </w:tcPr>
    <w:tblStylePr w:type="firstRow">
      <w:rPr>
        <w:b/>
        <w:bCs/>
        <w:color w:val="000000" w:themeColor="text1"/>
      </w:rPr>
      <w:tblPr/>
      <w:tcPr>
        <w:shd w:val="clear" w:color="auto" w:fill="F6FA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EF4DC" w:themeFill="accent3" w:themeFillTint="33"/>
      </w:tcPr>
    </w:tblStylePr>
    <w:tblStylePr w:type="band1Vert">
      <w:tblPr/>
      <w:tcPr>
        <w:shd w:val="clear" w:color="auto" w:fill="D6E5A9" w:themeFill="accent3" w:themeFillTint="7F"/>
      </w:tcPr>
    </w:tblStylePr>
    <w:tblStylePr w:type="band1Horz">
      <w:tblPr/>
      <w:tcPr>
        <w:tcBorders>
          <w:insideH w:val="single" w:sz="6" w:space="0" w:color="AECC53" w:themeColor="accent3"/>
          <w:insideV w:val="single" w:sz="6" w:space="0" w:color="AECC53" w:themeColor="accent3"/>
        </w:tcBorders>
        <w:shd w:val="clear" w:color="auto" w:fill="D6E5A9"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insideH w:val="single" w:sz="8" w:space="0" w:color="E52713" w:themeColor="accent4"/>
        <w:insideV w:val="single" w:sz="8" w:space="0" w:color="E52713" w:themeColor="accent4"/>
      </w:tblBorders>
    </w:tblPr>
    <w:tcPr>
      <w:shd w:val="clear" w:color="auto" w:fill="FAC8C2" w:themeFill="accent4" w:themeFillTint="3F"/>
    </w:tcPr>
    <w:tblStylePr w:type="firstRow">
      <w:rPr>
        <w:b/>
        <w:bCs/>
        <w:color w:val="000000" w:themeColor="text1"/>
      </w:rPr>
      <w:tblPr/>
      <w:tcPr>
        <w:shd w:val="clear" w:color="auto" w:fill="FDE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D2CE" w:themeFill="accent4" w:themeFillTint="33"/>
      </w:tcPr>
    </w:tblStylePr>
    <w:tblStylePr w:type="band1Vert">
      <w:tblPr/>
      <w:tcPr>
        <w:shd w:val="clear" w:color="auto" w:fill="F59086" w:themeFill="accent4" w:themeFillTint="7F"/>
      </w:tcPr>
    </w:tblStylePr>
    <w:tblStylePr w:type="band1Horz">
      <w:tblPr/>
      <w:tcPr>
        <w:tcBorders>
          <w:insideH w:val="single" w:sz="6" w:space="0" w:color="E52713" w:themeColor="accent4"/>
          <w:insideV w:val="single" w:sz="6" w:space="0" w:color="E52713" w:themeColor="accent4"/>
        </w:tcBorders>
        <w:shd w:val="clear" w:color="auto" w:fill="F59086"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insideH w:val="single" w:sz="8" w:space="0" w:color="009A9B" w:themeColor="accent5"/>
        <w:insideV w:val="single" w:sz="8" w:space="0" w:color="009A9B" w:themeColor="accent5"/>
      </w:tblBorders>
    </w:tblPr>
    <w:tcPr>
      <w:shd w:val="clear" w:color="auto" w:fill="A7FEFF" w:themeFill="accent5" w:themeFillTint="3F"/>
    </w:tcPr>
    <w:tblStylePr w:type="firstRow">
      <w:rPr>
        <w:b/>
        <w:bCs/>
        <w:color w:val="000000" w:themeColor="text1"/>
      </w:rPr>
      <w:tblPr/>
      <w:tcPr>
        <w:shd w:val="clear" w:color="auto" w:fill="DCFEF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8FEFF" w:themeFill="accent5" w:themeFillTint="33"/>
      </w:tcPr>
    </w:tblStylePr>
    <w:tblStylePr w:type="band1Vert">
      <w:tblPr/>
      <w:tcPr>
        <w:shd w:val="clear" w:color="auto" w:fill="4EFDFF" w:themeFill="accent5" w:themeFillTint="7F"/>
      </w:tcPr>
    </w:tblStylePr>
    <w:tblStylePr w:type="band1Horz">
      <w:tblPr/>
      <w:tcPr>
        <w:tcBorders>
          <w:insideH w:val="single" w:sz="6" w:space="0" w:color="009A9B" w:themeColor="accent5"/>
          <w:insideV w:val="single" w:sz="6" w:space="0" w:color="009A9B" w:themeColor="accent5"/>
        </w:tcBorders>
        <w:shd w:val="clear" w:color="auto" w:fill="4EFDF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insideH w:val="single" w:sz="8" w:space="0" w:color="FFCE00" w:themeColor="accent6"/>
        <w:insideV w:val="single" w:sz="8" w:space="0" w:color="FFCE00" w:themeColor="accent6"/>
      </w:tblBorders>
    </w:tblPr>
    <w:tcPr>
      <w:shd w:val="clear" w:color="auto" w:fill="FFF2C0" w:themeFill="accent6" w:themeFillTint="3F"/>
    </w:tcPr>
    <w:tblStylePr w:type="firstRow">
      <w:rPr>
        <w:b/>
        <w:bCs/>
        <w:color w:val="000000" w:themeColor="text1"/>
      </w:rPr>
      <w:tblPr/>
      <w:tcPr>
        <w:shd w:val="clear" w:color="auto" w:fill="FFFAE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5CC" w:themeFill="accent6" w:themeFillTint="33"/>
      </w:tcPr>
    </w:tblStylePr>
    <w:tblStylePr w:type="band1Vert">
      <w:tblPr/>
      <w:tcPr>
        <w:shd w:val="clear" w:color="auto" w:fill="FFE680" w:themeFill="accent6" w:themeFillTint="7F"/>
      </w:tcPr>
    </w:tblStylePr>
    <w:tblStylePr w:type="band1Horz">
      <w:tblPr/>
      <w:tcPr>
        <w:tcBorders>
          <w:insideH w:val="single" w:sz="6" w:space="0" w:color="FFCE00" w:themeColor="accent6"/>
          <w:insideV w:val="single" w:sz="6" w:space="0" w:color="FFCE00" w:themeColor="accent6"/>
        </w:tcBorders>
        <w:shd w:val="clear" w:color="auto" w:fill="FFE6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2FFE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76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76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76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76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4FFD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4FFD3" w:themeFill="accent1" w:themeFillTint="7F"/>
      </w:tcPr>
    </w:tblStylePr>
  </w:style>
  <w:style w:type="table" w:styleId="MediumGrid3-Accent2">
    <w:name w:val="Medium Grid 3 Accent 2"/>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0EE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53E"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53E"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53E"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53E"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1FDD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1FDDFF" w:themeFill="accent2" w:themeFillTint="7F"/>
      </w:tcPr>
    </w:tblStylePr>
  </w:style>
  <w:style w:type="table" w:styleId="MediumGrid3-Accent3">
    <w:name w:val="Medium Grid 3 Accent 3"/>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AF2D4"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ECC53"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ECC53"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ECC53"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ECC53"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6E5A9"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6E5A9" w:themeFill="accent3" w:themeFillTint="7F"/>
      </w:tcPr>
    </w:tblStylePr>
  </w:style>
  <w:style w:type="table" w:styleId="MediumGrid3-Accent4">
    <w:name w:val="Medium Grid 3 Accent 4"/>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C8C2"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5271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5271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5271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5271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59086"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59086" w:themeFill="accent4" w:themeFillTint="7F"/>
      </w:tcPr>
    </w:tblStylePr>
  </w:style>
  <w:style w:type="table" w:styleId="MediumGrid3-Accent5">
    <w:name w:val="Medium Grid 3 Accent 5"/>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7FEF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A9B"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A9B"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A9B"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A9B"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EFDF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EFDFF" w:themeFill="accent5" w:themeFillTint="7F"/>
      </w:tcPr>
    </w:tblStylePr>
  </w:style>
  <w:style w:type="table" w:styleId="MediumGrid3-Accent6">
    <w:name w:val="Medium Grid 3 Accent 6"/>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2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E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E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E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E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E6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E680" w:themeFill="accent6" w:themeFillTint="7F"/>
      </w:tcPr>
    </w:tblStylePr>
  </w:style>
  <w:style w:type="table" w:styleId="MediumList1">
    <w:name w:val="Medium List 1"/>
    <w:basedOn w:val="TableNormal"/>
    <w:uiPriority w:val="65"/>
    <w:semiHidden/>
    <w:unhideWhenUsed/>
    <w:rsid w:val="009E6ED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9E6ED7"/>
    <w:rPr>
      <w:color w:val="000000" w:themeColor="text1"/>
    </w:rPr>
    <w:tblPr>
      <w:tblStyleRowBandSize w:val="1"/>
      <w:tblStyleColBandSize w:val="1"/>
      <w:tblBorders>
        <w:top w:val="single" w:sz="8" w:space="0" w:color="008768" w:themeColor="accent1"/>
        <w:bottom w:val="single" w:sz="8" w:space="0" w:color="008768" w:themeColor="accent1"/>
      </w:tblBorders>
    </w:tblPr>
    <w:tblStylePr w:type="firstRow">
      <w:rPr>
        <w:rFonts w:asciiTheme="majorHAnsi" w:eastAsiaTheme="majorEastAsia" w:hAnsiTheme="majorHAnsi" w:cstheme="majorBidi"/>
      </w:rPr>
      <w:tblPr/>
      <w:tcPr>
        <w:tcBorders>
          <w:top w:val="nil"/>
          <w:bottom w:val="single" w:sz="8" w:space="0" w:color="008768" w:themeColor="accent1"/>
        </w:tcBorders>
      </w:tcPr>
    </w:tblStylePr>
    <w:tblStylePr w:type="lastRow">
      <w:rPr>
        <w:b/>
        <w:bCs/>
        <w:color w:val="000000" w:themeColor="text2"/>
      </w:rPr>
      <w:tblPr/>
      <w:tcPr>
        <w:tcBorders>
          <w:top w:val="single" w:sz="8" w:space="0" w:color="008768" w:themeColor="accent1"/>
          <w:bottom w:val="single" w:sz="8" w:space="0" w:color="008768" w:themeColor="accent1"/>
        </w:tcBorders>
      </w:tcPr>
    </w:tblStylePr>
    <w:tblStylePr w:type="firstCol">
      <w:rPr>
        <w:b/>
        <w:bCs/>
      </w:rPr>
    </w:tblStylePr>
    <w:tblStylePr w:type="lastCol">
      <w:rPr>
        <w:b/>
        <w:bCs/>
      </w:rPr>
      <w:tblPr/>
      <w:tcPr>
        <w:tcBorders>
          <w:top w:val="single" w:sz="8" w:space="0" w:color="008768" w:themeColor="accent1"/>
          <w:bottom w:val="single" w:sz="8" w:space="0" w:color="008768" w:themeColor="accent1"/>
        </w:tcBorders>
      </w:tcPr>
    </w:tblStylePr>
    <w:tblStylePr w:type="band1Vert">
      <w:tblPr/>
      <w:tcPr>
        <w:shd w:val="clear" w:color="auto" w:fill="A2FFE9" w:themeFill="accent1" w:themeFillTint="3F"/>
      </w:tcPr>
    </w:tblStylePr>
    <w:tblStylePr w:type="band1Horz">
      <w:tblPr/>
      <w:tcPr>
        <w:shd w:val="clear" w:color="auto" w:fill="A2FFE9" w:themeFill="accent1" w:themeFillTint="3F"/>
      </w:tcPr>
    </w:tblStylePr>
  </w:style>
  <w:style w:type="table" w:styleId="MediumList1-Accent2">
    <w:name w:val="Medium List 1 Accent 2"/>
    <w:basedOn w:val="TableNormal"/>
    <w:uiPriority w:val="65"/>
    <w:semiHidden/>
    <w:unhideWhenUsed/>
    <w:rsid w:val="009E6ED7"/>
    <w:rPr>
      <w:color w:val="000000" w:themeColor="text1"/>
    </w:rPr>
    <w:tblPr>
      <w:tblStyleRowBandSize w:val="1"/>
      <w:tblStyleColBandSize w:val="1"/>
      <w:tblBorders>
        <w:top w:val="single" w:sz="8" w:space="0" w:color="00353E" w:themeColor="accent2"/>
        <w:bottom w:val="single" w:sz="8" w:space="0" w:color="00353E" w:themeColor="accent2"/>
      </w:tblBorders>
    </w:tblPr>
    <w:tblStylePr w:type="firstRow">
      <w:rPr>
        <w:rFonts w:asciiTheme="majorHAnsi" w:eastAsiaTheme="majorEastAsia" w:hAnsiTheme="majorHAnsi" w:cstheme="majorBidi"/>
      </w:rPr>
      <w:tblPr/>
      <w:tcPr>
        <w:tcBorders>
          <w:top w:val="nil"/>
          <w:bottom w:val="single" w:sz="8" w:space="0" w:color="00353E" w:themeColor="accent2"/>
        </w:tcBorders>
      </w:tcPr>
    </w:tblStylePr>
    <w:tblStylePr w:type="lastRow">
      <w:rPr>
        <w:b/>
        <w:bCs/>
        <w:color w:val="000000" w:themeColor="text2"/>
      </w:rPr>
      <w:tblPr/>
      <w:tcPr>
        <w:tcBorders>
          <w:top w:val="single" w:sz="8" w:space="0" w:color="00353E" w:themeColor="accent2"/>
          <w:bottom w:val="single" w:sz="8" w:space="0" w:color="00353E" w:themeColor="accent2"/>
        </w:tcBorders>
      </w:tcPr>
    </w:tblStylePr>
    <w:tblStylePr w:type="firstCol">
      <w:rPr>
        <w:b/>
        <w:bCs/>
      </w:rPr>
    </w:tblStylePr>
    <w:tblStylePr w:type="lastCol">
      <w:rPr>
        <w:b/>
        <w:bCs/>
      </w:rPr>
      <w:tblPr/>
      <w:tcPr>
        <w:tcBorders>
          <w:top w:val="single" w:sz="8" w:space="0" w:color="00353E" w:themeColor="accent2"/>
          <w:bottom w:val="single" w:sz="8" w:space="0" w:color="00353E" w:themeColor="accent2"/>
        </w:tcBorders>
      </w:tcPr>
    </w:tblStylePr>
    <w:tblStylePr w:type="band1Vert">
      <w:tblPr/>
      <w:tcPr>
        <w:shd w:val="clear" w:color="auto" w:fill="90EEFF" w:themeFill="accent2" w:themeFillTint="3F"/>
      </w:tcPr>
    </w:tblStylePr>
    <w:tblStylePr w:type="band1Horz">
      <w:tblPr/>
      <w:tcPr>
        <w:shd w:val="clear" w:color="auto" w:fill="90EEFF" w:themeFill="accent2" w:themeFillTint="3F"/>
      </w:tcPr>
    </w:tblStylePr>
  </w:style>
  <w:style w:type="table" w:styleId="MediumList1-Accent3">
    <w:name w:val="Medium List 1 Accent 3"/>
    <w:basedOn w:val="TableNormal"/>
    <w:uiPriority w:val="65"/>
    <w:semiHidden/>
    <w:unhideWhenUsed/>
    <w:rsid w:val="009E6ED7"/>
    <w:rPr>
      <w:color w:val="000000" w:themeColor="text1"/>
    </w:rPr>
    <w:tblPr>
      <w:tblStyleRowBandSize w:val="1"/>
      <w:tblStyleColBandSize w:val="1"/>
      <w:tblBorders>
        <w:top w:val="single" w:sz="8" w:space="0" w:color="AECC53" w:themeColor="accent3"/>
        <w:bottom w:val="single" w:sz="8" w:space="0" w:color="AECC53" w:themeColor="accent3"/>
      </w:tblBorders>
    </w:tblPr>
    <w:tblStylePr w:type="firstRow">
      <w:rPr>
        <w:rFonts w:asciiTheme="majorHAnsi" w:eastAsiaTheme="majorEastAsia" w:hAnsiTheme="majorHAnsi" w:cstheme="majorBidi"/>
      </w:rPr>
      <w:tblPr/>
      <w:tcPr>
        <w:tcBorders>
          <w:top w:val="nil"/>
          <w:bottom w:val="single" w:sz="8" w:space="0" w:color="AECC53" w:themeColor="accent3"/>
        </w:tcBorders>
      </w:tcPr>
    </w:tblStylePr>
    <w:tblStylePr w:type="lastRow">
      <w:rPr>
        <w:b/>
        <w:bCs/>
        <w:color w:val="000000" w:themeColor="text2"/>
      </w:rPr>
      <w:tblPr/>
      <w:tcPr>
        <w:tcBorders>
          <w:top w:val="single" w:sz="8" w:space="0" w:color="AECC53" w:themeColor="accent3"/>
          <w:bottom w:val="single" w:sz="8" w:space="0" w:color="AECC53" w:themeColor="accent3"/>
        </w:tcBorders>
      </w:tcPr>
    </w:tblStylePr>
    <w:tblStylePr w:type="firstCol">
      <w:rPr>
        <w:b/>
        <w:bCs/>
      </w:rPr>
    </w:tblStylePr>
    <w:tblStylePr w:type="lastCol">
      <w:rPr>
        <w:b/>
        <w:bCs/>
      </w:rPr>
      <w:tblPr/>
      <w:tcPr>
        <w:tcBorders>
          <w:top w:val="single" w:sz="8" w:space="0" w:color="AECC53" w:themeColor="accent3"/>
          <w:bottom w:val="single" w:sz="8" w:space="0" w:color="AECC53" w:themeColor="accent3"/>
        </w:tcBorders>
      </w:tcPr>
    </w:tblStylePr>
    <w:tblStylePr w:type="band1Vert">
      <w:tblPr/>
      <w:tcPr>
        <w:shd w:val="clear" w:color="auto" w:fill="EAF2D4" w:themeFill="accent3" w:themeFillTint="3F"/>
      </w:tcPr>
    </w:tblStylePr>
    <w:tblStylePr w:type="band1Horz">
      <w:tblPr/>
      <w:tcPr>
        <w:shd w:val="clear" w:color="auto" w:fill="EAF2D4" w:themeFill="accent3" w:themeFillTint="3F"/>
      </w:tcPr>
    </w:tblStylePr>
  </w:style>
  <w:style w:type="table" w:styleId="MediumList1-Accent4">
    <w:name w:val="Medium List 1 Accent 4"/>
    <w:basedOn w:val="TableNormal"/>
    <w:uiPriority w:val="65"/>
    <w:semiHidden/>
    <w:unhideWhenUsed/>
    <w:rsid w:val="009E6ED7"/>
    <w:rPr>
      <w:color w:val="000000" w:themeColor="text1"/>
    </w:rPr>
    <w:tblPr>
      <w:tblStyleRowBandSize w:val="1"/>
      <w:tblStyleColBandSize w:val="1"/>
      <w:tblBorders>
        <w:top w:val="single" w:sz="8" w:space="0" w:color="E52713" w:themeColor="accent4"/>
        <w:bottom w:val="single" w:sz="8" w:space="0" w:color="E52713" w:themeColor="accent4"/>
      </w:tblBorders>
    </w:tblPr>
    <w:tblStylePr w:type="firstRow">
      <w:rPr>
        <w:rFonts w:asciiTheme="majorHAnsi" w:eastAsiaTheme="majorEastAsia" w:hAnsiTheme="majorHAnsi" w:cstheme="majorBidi"/>
      </w:rPr>
      <w:tblPr/>
      <w:tcPr>
        <w:tcBorders>
          <w:top w:val="nil"/>
          <w:bottom w:val="single" w:sz="8" w:space="0" w:color="E52713" w:themeColor="accent4"/>
        </w:tcBorders>
      </w:tcPr>
    </w:tblStylePr>
    <w:tblStylePr w:type="lastRow">
      <w:rPr>
        <w:b/>
        <w:bCs/>
        <w:color w:val="000000" w:themeColor="text2"/>
      </w:rPr>
      <w:tblPr/>
      <w:tcPr>
        <w:tcBorders>
          <w:top w:val="single" w:sz="8" w:space="0" w:color="E52713" w:themeColor="accent4"/>
          <w:bottom w:val="single" w:sz="8" w:space="0" w:color="E52713" w:themeColor="accent4"/>
        </w:tcBorders>
      </w:tcPr>
    </w:tblStylePr>
    <w:tblStylePr w:type="firstCol">
      <w:rPr>
        <w:b/>
        <w:bCs/>
      </w:rPr>
    </w:tblStylePr>
    <w:tblStylePr w:type="lastCol">
      <w:rPr>
        <w:b/>
        <w:bCs/>
      </w:rPr>
      <w:tblPr/>
      <w:tcPr>
        <w:tcBorders>
          <w:top w:val="single" w:sz="8" w:space="0" w:color="E52713" w:themeColor="accent4"/>
          <w:bottom w:val="single" w:sz="8" w:space="0" w:color="E52713" w:themeColor="accent4"/>
        </w:tcBorders>
      </w:tcPr>
    </w:tblStylePr>
    <w:tblStylePr w:type="band1Vert">
      <w:tblPr/>
      <w:tcPr>
        <w:shd w:val="clear" w:color="auto" w:fill="FAC8C2" w:themeFill="accent4" w:themeFillTint="3F"/>
      </w:tcPr>
    </w:tblStylePr>
    <w:tblStylePr w:type="band1Horz">
      <w:tblPr/>
      <w:tcPr>
        <w:shd w:val="clear" w:color="auto" w:fill="FAC8C2" w:themeFill="accent4" w:themeFillTint="3F"/>
      </w:tcPr>
    </w:tblStylePr>
  </w:style>
  <w:style w:type="table" w:styleId="MediumList1-Accent5">
    <w:name w:val="Medium List 1 Accent 5"/>
    <w:basedOn w:val="TableNormal"/>
    <w:uiPriority w:val="65"/>
    <w:semiHidden/>
    <w:unhideWhenUsed/>
    <w:rsid w:val="009E6ED7"/>
    <w:rPr>
      <w:color w:val="000000" w:themeColor="text1"/>
    </w:rPr>
    <w:tblPr>
      <w:tblStyleRowBandSize w:val="1"/>
      <w:tblStyleColBandSize w:val="1"/>
      <w:tblBorders>
        <w:top w:val="single" w:sz="8" w:space="0" w:color="009A9B" w:themeColor="accent5"/>
        <w:bottom w:val="single" w:sz="8" w:space="0" w:color="009A9B" w:themeColor="accent5"/>
      </w:tblBorders>
    </w:tblPr>
    <w:tblStylePr w:type="firstRow">
      <w:rPr>
        <w:rFonts w:asciiTheme="majorHAnsi" w:eastAsiaTheme="majorEastAsia" w:hAnsiTheme="majorHAnsi" w:cstheme="majorBidi"/>
      </w:rPr>
      <w:tblPr/>
      <w:tcPr>
        <w:tcBorders>
          <w:top w:val="nil"/>
          <w:bottom w:val="single" w:sz="8" w:space="0" w:color="009A9B" w:themeColor="accent5"/>
        </w:tcBorders>
      </w:tcPr>
    </w:tblStylePr>
    <w:tblStylePr w:type="lastRow">
      <w:rPr>
        <w:b/>
        <w:bCs/>
        <w:color w:val="000000" w:themeColor="text2"/>
      </w:rPr>
      <w:tblPr/>
      <w:tcPr>
        <w:tcBorders>
          <w:top w:val="single" w:sz="8" w:space="0" w:color="009A9B" w:themeColor="accent5"/>
          <w:bottom w:val="single" w:sz="8" w:space="0" w:color="009A9B" w:themeColor="accent5"/>
        </w:tcBorders>
      </w:tcPr>
    </w:tblStylePr>
    <w:tblStylePr w:type="firstCol">
      <w:rPr>
        <w:b/>
        <w:bCs/>
      </w:rPr>
    </w:tblStylePr>
    <w:tblStylePr w:type="lastCol">
      <w:rPr>
        <w:b/>
        <w:bCs/>
      </w:rPr>
      <w:tblPr/>
      <w:tcPr>
        <w:tcBorders>
          <w:top w:val="single" w:sz="8" w:space="0" w:color="009A9B" w:themeColor="accent5"/>
          <w:bottom w:val="single" w:sz="8" w:space="0" w:color="009A9B" w:themeColor="accent5"/>
        </w:tcBorders>
      </w:tcPr>
    </w:tblStylePr>
    <w:tblStylePr w:type="band1Vert">
      <w:tblPr/>
      <w:tcPr>
        <w:shd w:val="clear" w:color="auto" w:fill="A7FEFF" w:themeFill="accent5" w:themeFillTint="3F"/>
      </w:tcPr>
    </w:tblStylePr>
    <w:tblStylePr w:type="band1Horz">
      <w:tblPr/>
      <w:tcPr>
        <w:shd w:val="clear" w:color="auto" w:fill="A7FEFF" w:themeFill="accent5" w:themeFillTint="3F"/>
      </w:tcPr>
    </w:tblStylePr>
  </w:style>
  <w:style w:type="table" w:styleId="MediumList1-Accent6">
    <w:name w:val="Medium List 1 Accent 6"/>
    <w:basedOn w:val="TableNormal"/>
    <w:uiPriority w:val="65"/>
    <w:semiHidden/>
    <w:unhideWhenUsed/>
    <w:rsid w:val="009E6ED7"/>
    <w:rPr>
      <w:color w:val="000000" w:themeColor="text1"/>
    </w:rPr>
    <w:tblPr>
      <w:tblStyleRowBandSize w:val="1"/>
      <w:tblStyleColBandSize w:val="1"/>
      <w:tblBorders>
        <w:top w:val="single" w:sz="8" w:space="0" w:color="FFCE00" w:themeColor="accent6"/>
        <w:bottom w:val="single" w:sz="8" w:space="0" w:color="FFCE00" w:themeColor="accent6"/>
      </w:tblBorders>
    </w:tblPr>
    <w:tblStylePr w:type="firstRow">
      <w:rPr>
        <w:rFonts w:asciiTheme="majorHAnsi" w:eastAsiaTheme="majorEastAsia" w:hAnsiTheme="majorHAnsi" w:cstheme="majorBidi"/>
      </w:rPr>
      <w:tblPr/>
      <w:tcPr>
        <w:tcBorders>
          <w:top w:val="nil"/>
          <w:bottom w:val="single" w:sz="8" w:space="0" w:color="FFCE00" w:themeColor="accent6"/>
        </w:tcBorders>
      </w:tcPr>
    </w:tblStylePr>
    <w:tblStylePr w:type="lastRow">
      <w:rPr>
        <w:b/>
        <w:bCs/>
        <w:color w:val="000000" w:themeColor="text2"/>
      </w:rPr>
      <w:tblPr/>
      <w:tcPr>
        <w:tcBorders>
          <w:top w:val="single" w:sz="8" w:space="0" w:color="FFCE00" w:themeColor="accent6"/>
          <w:bottom w:val="single" w:sz="8" w:space="0" w:color="FFCE00" w:themeColor="accent6"/>
        </w:tcBorders>
      </w:tcPr>
    </w:tblStylePr>
    <w:tblStylePr w:type="firstCol">
      <w:rPr>
        <w:b/>
        <w:bCs/>
      </w:rPr>
    </w:tblStylePr>
    <w:tblStylePr w:type="lastCol">
      <w:rPr>
        <w:b/>
        <w:bCs/>
      </w:rPr>
      <w:tblPr/>
      <w:tcPr>
        <w:tcBorders>
          <w:top w:val="single" w:sz="8" w:space="0" w:color="FFCE00" w:themeColor="accent6"/>
          <w:bottom w:val="single" w:sz="8" w:space="0" w:color="FFCE00" w:themeColor="accent6"/>
        </w:tcBorders>
      </w:tcPr>
    </w:tblStylePr>
    <w:tblStylePr w:type="band1Vert">
      <w:tblPr/>
      <w:tcPr>
        <w:shd w:val="clear" w:color="auto" w:fill="FFF2C0" w:themeFill="accent6" w:themeFillTint="3F"/>
      </w:tcPr>
    </w:tblStylePr>
    <w:tblStylePr w:type="band1Horz">
      <w:tblPr/>
      <w:tcPr>
        <w:shd w:val="clear" w:color="auto" w:fill="FFF2C0" w:themeFill="accent6" w:themeFillTint="3F"/>
      </w:tcPr>
    </w:tblStylePr>
  </w:style>
  <w:style w:type="table" w:styleId="MediumList2">
    <w:name w:val="Medium List 2"/>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tblBorders>
    </w:tblPr>
    <w:tblStylePr w:type="firstRow">
      <w:rPr>
        <w:sz w:val="24"/>
        <w:szCs w:val="24"/>
      </w:rPr>
      <w:tblPr/>
      <w:tcPr>
        <w:tcBorders>
          <w:top w:val="nil"/>
          <w:left w:val="nil"/>
          <w:bottom w:val="single" w:sz="24" w:space="0" w:color="008768" w:themeColor="accent1"/>
          <w:right w:val="nil"/>
          <w:insideH w:val="nil"/>
          <w:insideV w:val="nil"/>
        </w:tcBorders>
        <w:shd w:val="clear" w:color="auto" w:fill="FFFFFF" w:themeFill="background1"/>
      </w:tcPr>
    </w:tblStylePr>
    <w:tblStylePr w:type="lastRow">
      <w:tblPr/>
      <w:tcPr>
        <w:tcBorders>
          <w:top w:val="single" w:sz="8" w:space="0" w:color="00876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768" w:themeColor="accent1"/>
          <w:insideH w:val="nil"/>
          <w:insideV w:val="nil"/>
        </w:tcBorders>
        <w:shd w:val="clear" w:color="auto" w:fill="FFFFFF" w:themeFill="background1"/>
      </w:tcPr>
    </w:tblStylePr>
    <w:tblStylePr w:type="lastCol">
      <w:tblPr/>
      <w:tcPr>
        <w:tcBorders>
          <w:top w:val="nil"/>
          <w:left w:val="single" w:sz="8" w:space="0" w:color="00876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2FFE9" w:themeFill="accent1" w:themeFillTint="3F"/>
      </w:tcPr>
    </w:tblStylePr>
    <w:tblStylePr w:type="band1Horz">
      <w:tblPr/>
      <w:tcPr>
        <w:tcBorders>
          <w:top w:val="nil"/>
          <w:bottom w:val="nil"/>
          <w:insideH w:val="nil"/>
          <w:insideV w:val="nil"/>
        </w:tcBorders>
        <w:shd w:val="clear" w:color="auto" w:fill="A2FFE9"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tblBorders>
    </w:tblPr>
    <w:tblStylePr w:type="firstRow">
      <w:rPr>
        <w:sz w:val="24"/>
        <w:szCs w:val="24"/>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tblPr/>
      <w:tcPr>
        <w:tcBorders>
          <w:top w:val="single" w:sz="8" w:space="0" w:color="00353E"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53E" w:themeColor="accent2"/>
          <w:insideH w:val="nil"/>
          <w:insideV w:val="nil"/>
        </w:tcBorders>
        <w:shd w:val="clear" w:color="auto" w:fill="FFFFFF" w:themeFill="background1"/>
      </w:tcPr>
    </w:tblStylePr>
    <w:tblStylePr w:type="lastCol">
      <w:tblPr/>
      <w:tcPr>
        <w:tcBorders>
          <w:top w:val="nil"/>
          <w:left w:val="single" w:sz="8" w:space="0" w:color="00353E"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0EEFF" w:themeFill="accent2" w:themeFillTint="3F"/>
      </w:tcPr>
    </w:tblStylePr>
    <w:tblStylePr w:type="band1Horz">
      <w:tblPr/>
      <w:tcPr>
        <w:tcBorders>
          <w:top w:val="nil"/>
          <w:bottom w:val="nil"/>
          <w:insideH w:val="nil"/>
          <w:insideV w:val="nil"/>
        </w:tcBorders>
        <w:shd w:val="clear" w:color="auto" w:fill="90EE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tblBorders>
    </w:tblPr>
    <w:tblStylePr w:type="firstRow">
      <w:rPr>
        <w:sz w:val="24"/>
        <w:szCs w:val="24"/>
      </w:rPr>
      <w:tblPr/>
      <w:tcPr>
        <w:tcBorders>
          <w:top w:val="nil"/>
          <w:left w:val="nil"/>
          <w:bottom w:val="single" w:sz="24" w:space="0" w:color="AECC53" w:themeColor="accent3"/>
          <w:right w:val="nil"/>
          <w:insideH w:val="nil"/>
          <w:insideV w:val="nil"/>
        </w:tcBorders>
        <w:shd w:val="clear" w:color="auto" w:fill="FFFFFF" w:themeFill="background1"/>
      </w:tcPr>
    </w:tblStylePr>
    <w:tblStylePr w:type="lastRow">
      <w:tblPr/>
      <w:tcPr>
        <w:tcBorders>
          <w:top w:val="single" w:sz="8" w:space="0" w:color="AECC53"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ECC53" w:themeColor="accent3"/>
          <w:insideH w:val="nil"/>
          <w:insideV w:val="nil"/>
        </w:tcBorders>
        <w:shd w:val="clear" w:color="auto" w:fill="FFFFFF" w:themeFill="background1"/>
      </w:tcPr>
    </w:tblStylePr>
    <w:tblStylePr w:type="lastCol">
      <w:tblPr/>
      <w:tcPr>
        <w:tcBorders>
          <w:top w:val="nil"/>
          <w:left w:val="single" w:sz="8" w:space="0" w:color="AECC53"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AF2D4" w:themeFill="accent3" w:themeFillTint="3F"/>
      </w:tcPr>
    </w:tblStylePr>
    <w:tblStylePr w:type="band1Horz">
      <w:tblPr/>
      <w:tcPr>
        <w:tcBorders>
          <w:top w:val="nil"/>
          <w:bottom w:val="nil"/>
          <w:insideH w:val="nil"/>
          <w:insideV w:val="nil"/>
        </w:tcBorders>
        <w:shd w:val="clear" w:color="auto" w:fill="EAF2D4"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tblBorders>
    </w:tblPr>
    <w:tblStylePr w:type="firstRow">
      <w:rPr>
        <w:sz w:val="24"/>
        <w:szCs w:val="24"/>
      </w:rPr>
      <w:tblPr/>
      <w:tcPr>
        <w:tcBorders>
          <w:top w:val="nil"/>
          <w:left w:val="nil"/>
          <w:bottom w:val="single" w:sz="24" w:space="0" w:color="E52713" w:themeColor="accent4"/>
          <w:right w:val="nil"/>
          <w:insideH w:val="nil"/>
          <w:insideV w:val="nil"/>
        </w:tcBorders>
        <w:shd w:val="clear" w:color="auto" w:fill="FFFFFF" w:themeFill="background1"/>
      </w:tcPr>
    </w:tblStylePr>
    <w:tblStylePr w:type="lastRow">
      <w:tblPr/>
      <w:tcPr>
        <w:tcBorders>
          <w:top w:val="single" w:sz="8" w:space="0" w:color="E5271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52713" w:themeColor="accent4"/>
          <w:insideH w:val="nil"/>
          <w:insideV w:val="nil"/>
        </w:tcBorders>
        <w:shd w:val="clear" w:color="auto" w:fill="FFFFFF" w:themeFill="background1"/>
      </w:tcPr>
    </w:tblStylePr>
    <w:tblStylePr w:type="lastCol">
      <w:tblPr/>
      <w:tcPr>
        <w:tcBorders>
          <w:top w:val="nil"/>
          <w:left w:val="single" w:sz="8" w:space="0" w:color="E5271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C8C2" w:themeFill="accent4" w:themeFillTint="3F"/>
      </w:tcPr>
    </w:tblStylePr>
    <w:tblStylePr w:type="band1Horz">
      <w:tblPr/>
      <w:tcPr>
        <w:tcBorders>
          <w:top w:val="nil"/>
          <w:bottom w:val="nil"/>
          <w:insideH w:val="nil"/>
          <w:insideV w:val="nil"/>
        </w:tcBorders>
        <w:shd w:val="clear" w:color="auto" w:fill="FAC8C2"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tblBorders>
    </w:tblPr>
    <w:tblStylePr w:type="firstRow">
      <w:rPr>
        <w:sz w:val="24"/>
        <w:szCs w:val="24"/>
      </w:rPr>
      <w:tblPr/>
      <w:tcPr>
        <w:tcBorders>
          <w:top w:val="nil"/>
          <w:left w:val="nil"/>
          <w:bottom w:val="single" w:sz="24" w:space="0" w:color="009A9B" w:themeColor="accent5"/>
          <w:right w:val="nil"/>
          <w:insideH w:val="nil"/>
          <w:insideV w:val="nil"/>
        </w:tcBorders>
        <w:shd w:val="clear" w:color="auto" w:fill="FFFFFF" w:themeFill="background1"/>
      </w:tcPr>
    </w:tblStylePr>
    <w:tblStylePr w:type="lastRow">
      <w:tblPr/>
      <w:tcPr>
        <w:tcBorders>
          <w:top w:val="single" w:sz="8" w:space="0" w:color="009A9B"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A9B" w:themeColor="accent5"/>
          <w:insideH w:val="nil"/>
          <w:insideV w:val="nil"/>
        </w:tcBorders>
        <w:shd w:val="clear" w:color="auto" w:fill="FFFFFF" w:themeFill="background1"/>
      </w:tcPr>
    </w:tblStylePr>
    <w:tblStylePr w:type="lastCol">
      <w:tblPr/>
      <w:tcPr>
        <w:tcBorders>
          <w:top w:val="nil"/>
          <w:left w:val="single" w:sz="8" w:space="0" w:color="009A9B"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7FEFF" w:themeFill="accent5" w:themeFillTint="3F"/>
      </w:tcPr>
    </w:tblStylePr>
    <w:tblStylePr w:type="band1Horz">
      <w:tblPr/>
      <w:tcPr>
        <w:tcBorders>
          <w:top w:val="nil"/>
          <w:bottom w:val="nil"/>
          <w:insideH w:val="nil"/>
          <w:insideV w:val="nil"/>
        </w:tcBorders>
        <w:shd w:val="clear" w:color="auto" w:fill="A7FEF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tblBorders>
    </w:tblPr>
    <w:tblStylePr w:type="firstRow">
      <w:rPr>
        <w:sz w:val="24"/>
        <w:szCs w:val="24"/>
      </w:rPr>
      <w:tblPr/>
      <w:tcPr>
        <w:tcBorders>
          <w:top w:val="nil"/>
          <w:left w:val="nil"/>
          <w:bottom w:val="single" w:sz="24" w:space="0" w:color="FFCE00" w:themeColor="accent6"/>
          <w:right w:val="nil"/>
          <w:insideH w:val="nil"/>
          <w:insideV w:val="nil"/>
        </w:tcBorders>
        <w:shd w:val="clear" w:color="auto" w:fill="FFFFFF" w:themeFill="background1"/>
      </w:tcPr>
    </w:tblStylePr>
    <w:tblStylePr w:type="lastRow">
      <w:tblPr/>
      <w:tcPr>
        <w:tcBorders>
          <w:top w:val="single" w:sz="8" w:space="0" w:color="FFCE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E00" w:themeColor="accent6"/>
          <w:insideH w:val="nil"/>
          <w:insideV w:val="nil"/>
        </w:tcBorders>
        <w:shd w:val="clear" w:color="auto" w:fill="FFFFFF" w:themeFill="background1"/>
      </w:tcPr>
    </w:tblStylePr>
    <w:tblStylePr w:type="lastCol">
      <w:tblPr/>
      <w:tcPr>
        <w:tcBorders>
          <w:top w:val="nil"/>
          <w:left w:val="single" w:sz="8" w:space="0" w:color="FFCE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2C0" w:themeFill="accent6" w:themeFillTint="3F"/>
      </w:tcPr>
    </w:tblStylePr>
    <w:tblStylePr w:type="band1Horz">
      <w:tblPr/>
      <w:tcPr>
        <w:tcBorders>
          <w:top w:val="nil"/>
          <w:bottom w:val="nil"/>
          <w:insideH w:val="nil"/>
          <w:insideV w:val="nil"/>
        </w:tcBorders>
        <w:shd w:val="clear" w:color="auto" w:fill="FFF2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9E6ED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9E6ED7"/>
    <w:tblPr>
      <w:tblStyleRowBandSize w:val="1"/>
      <w:tblStyleColBandSize w:val="1"/>
      <w:tblBorders>
        <w:top w:val="single" w:sz="8"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single" w:sz="8" w:space="0" w:color="00E5B0" w:themeColor="accent1" w:themeTint="BF"/>
      </w:tblBorders>
    </w:tblPr>
    <w:tblStylePr w:type="firstRow">
      <w:pPr>
        <w:spacing w:before="0" w:after="0" w:line="240" w:lineRule="auto"/>
      </w:pPr>
      <w:rPr>
        <w:b/>
        <w:bCs/>
        <w:color w:val="FFFFFF" w:themeColor="background1"/>
      </w:rPr>
      <w:tblPr/>
      <w:tcPr>
        <w:tcBorders>
          <w:top w:val="single" w:sz="8"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nil"/>
          <w:insideV w:val="nil"/>
        </w:tcBorders>
        <w:shd w:val="clear" w:color="auto" w:fill="008768" w:themeFill="accent1"/>
      </w:tcPr>
    </w:tblStylePr>
    <w:tblStylePr w:type="lastRow">
      <w:pPr>
        <w:spacing w:before="0" w:after="0" w:line="240" w:lineRule="auto"/>
      </w:pPr>
      <w:rPr>
        <w:b/>
        <w:bCs/>
      </w:rPr>
      <w:tblPr/>
      <w:tcPr>
        <w:tcBorders>
          <w:top w:val="double" w:sz="6"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nil"/>
          <w:insideV w:val="nil"/>
        </w:tcBorders>
      </w:tcPr>
    </w:tblStylePr>
    <w:tblStylePr w:type="firstCol">
      <w:rPr>
        <w:b/>
        <w:bCs/>
      </w:rPr>
    </w:tblStylePr>
    <w:tblStylePr w:type="lastCol">
      <w:rPr>
        <w:b/>
        <w:bCs/>
      </w:rPr>
    </w:tblStylePr>
    <w:tblStylePr w:type="band1Vert">
      <w:tblPr/>
      <w:tcPr>
        <w:shd w:val="clear" w:color="auto" w:fill="A2FFE9" w:themeFill="accent1" w:themeFillTint="3F"/>
      </w:tcPr>
    </w:tblStylePr>
    <w:tblStylePr w:type="band1Horz">
      <w:tblPr/>
      <w:tcPr>
        <w:tcBorders>
          <w:insideH w:val="nil"/>
          <w:insideV w:val="nil"/>
        </w:tcBorders>
        <w:shd w:val="clear" w:color="auto" w:fill="A2FFE9"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9E6ED7"/>
    <w:tblPr>
      <w:tblStyleRowBandSize w:val="1"/>
      <w:tblStyleColBandSize w:val="1"/>
      <w:tblBorders>
        <w:top w:val="single" w:sz="8"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single" w:sz="8" w:space="0" w:color="0094AE" w:themeColor="accent2" w:themeTint="BF"/>
      </w:tblBorders>
    </w:tblPr>
    <w:tblStylePr w:type="firstRow">
      <w:pPr>
        <w:spacing w:before="0" w:after="0" w:line="240" w:lineRule="auto"/>
      </w:pPr>
      <w:rPr>
        <w:b/>
        <w:bCs/>
        <w:color w:val="FFFFFF" w:themeColor="background1"/>
      </w:rPr>
      <w:tblPr/>
      <w:tcPr>
        <w:tcBorders>
          <w:top w:val="single" w:sz="8"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nil"/>
          <w:insideV w:val="nil"/>
        </w:tcBorders>
        <w:shd w:val="clear" w:color="auto" w:fill="00353E" w:themeFill="accent2"/>
      </w:tcPr>
    </w:tblStylePr>
    <w:tblStylePr w:type="lastRow">
      <w:pPr>
        <w:spacing w:before="0" w:after="0" w:line="240" w:lineRule="auto"/>
      </w:pPr>
      <w:rPr>
        <w:b/>
        <w:bCs/>
      </w:rPr>
      <w:tblPr/>
      <w:tcPr>
        <w:tcBorders>
          <w:top w:val="double" w:sz="6"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nil"/>
          <w:insideV w:val="nil"/>
        </w:tcBorders>
      </w:tcPr>
    </w:tblStylePr>
    <w:tblStylePr w:type="firstCol">
      <w:rPr>
        <w:b/>
        <w:bCs/>
      </w:rPr>
    </w:tblStylePr>
    <w:tblStylePr w:type="lastCol">
      <w:rPr>
        <w:b/>
        <w:bCs/>
      </w:rPr>
    </w:tblStylePr>
    <w:tblStylePr w:type="band1Vert">
      <w:tblPr/>
      <w:tcPr>
        <w:shd w:val="clear" w:color="auto" w:fill="90EEFF" w:themeFill="accent2" w:themeFillTint="3F"/>
      </w:tcPr>
    </w:tblStylePr>
    <w:tblStylePr w:type="band1Horz">
      <w:tblPr/>
      <w:tcPr>
        <w:tcBorders>
          <w:insideH w:val="nil"/>
          <w:insideV w:val="nil"/>
        </w:tcBorders>
        <w:shd w:val="clear" w:color="auto" w:fill="90EE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9E6ED7"/>
    <w:tblPr>
      <w:tblStyleRowBandSize w:val="1"/>
      <w:tblStyleColBandSize w:val="1"/>
      <w:tblBorders>
        <w:top w:val="single" w:sz="8"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single" w:sz="8" w:space="0" w:color="C1D87D" w:themeColor="accent3" w:themeTint="BF"/>
      </w:tblBorders>
    </w:tblPr>
    <w:tblStylePr w:type="firstRow">
      <w:pPr>
        <w:spacing w:before="0" w:after="0" w:line="240" w:lineRule="auto"/>
      </w:pPr>
      <w:rPr>
        <w:b/>
        <w:bCs/>
        <w:color w:val="FFFFFF" w:themeColor="background1"/>
      </w:rPr>
      <w:tblPr/>
      <w:tcPr>
        <w:tcBorders>
          <w:top w:val="single" w:sz="8"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nil"/>
          <w:insideV w:val="nil"/>
        </w:tcBorders>
        <w:shd w:val="clear" w:color="auto" w:fill="AECC53" w:themeFill="accent3"/>
      </w:tcPr>
    </w:tblStylePr>
    <w:tblStylePr w:type="lastRow">
      <w:pPr>
        <w:spacing w:before="0" w:after="0" w:line="240" w:lineRule="auto"/>
      </w:pPr>
      <w:rPr>
        <w:b/>
        <w:bCs/>
      </w:rPr>
      <w:tblPr/>
      <w:tcPr>
        <w:tcBorders>
          <w:top w:val="double" w:sz="6"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nil"/>
          <w:insideV w:val="nil"/>
        </w:tcBorders>
      </w:tcPr>
    </w:tblStylePr>
    <w:tblStylePr w:type="firstCol">
      <w:rPr>
        <w:b/>
        <w:bCs/>
      </w:rPr>
    </w:tblStylePr>
    <w:tblStylePr w:type="lastCol">
      <w:rPr>
        <w:b/>
        <w:bCs/>
      </w:rPr>
    </w:tblStylePr>
    <w:tblStylePr w:type="band1Vert">
      <w:tblPr/>
      <w:tcPr>
        <w:shd w:val="clear" w:color="auto" w:fill="EAF2D4" w:themeFill="accent3" w:themeFillTint="3F"/>
      </w:tcPr>
    </w:tblStylePr>
    <w:tblStylePr w:type="band1Horz">
      <w:tblPr/>
      <w:tcPr>
        <w:tcBorders>
          <w:insideH w:val="nil"/>
          <w:insideV w:val="nil"/>
        </w:tcBorders>
        <w:shd w:val="clear" w:color="auto" w:fill="EAF2D4"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9E6ED7"/>
    <w:tblPr>
      <w:tblStyleRowBandSize w:val="1"/>
      <w:tblStyleColBandSize w:val="1"/>
      <w:tblBorders>
        <w:top w:val="single" w:sz="8"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single" w:sz="8" w:space="0" w:color="F05949" w:themeColor="accent4" w:themeTint="BF"/>
      </w:tblBorders>
    </w:tblPr>
    <w:tblStylePr w:type="firstRow">
      <w:pPr>
        <w:spacing w:before="0" w:after="0" w:line="240" w:lineRule="auto"/>
      </w:pPr>
      <w:rPr>
        <w:b/>
        <w:bCs/>
        <w:color w:val="FFFFFF" w:themeColor="background1"/>
      </w:rPr>
      <w:tblPr/>
      <w:tcPr>
        <w:tcBorders>
          <w:top w:val="single" w:sz="8"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nil"/>
          <w:insideV w:val="nil"/>
        </w:tcBorders>
        <w:shd w:val="clear" w:color="auto" w:fill="E52713" w:themeFill="accent4"/>
      </w:tcPr>
    </w:tblStylePr>
    <w:tblStylePr w:type="lastRow">
      <w:pPr>
        <w:spacing w:before="0" w:after="0" w:line="240" w:lineRule="auto"/>
      </w:pPr>
      <w:rPr>
        <w:b/>
        <w:bCs/>
      </w:rPr>
      <w:tblPr/>
      <w:tcPr>
        <w:tcBorders>
          <w:top w:val="double" w:sz="6"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nil"/>
          <w:insideV w:val="nil"/>
        </w:tcBorders>
      </w:tcPr>
    </w:tblStylePr>
    <w:tblStylePr w:type="firstCol">
      <w:rPr>
        <w:b/>
        <w:bCs/>
      </w:rPr>
    </w:tblStylePr>
    <w:tblStylePr w:type="lastCol">
      <w:rPr>
        <w:b/>
        <w:bCs/>
      </w:rPr>
    </w:tblStylePr>
    <w:tblStylePr w:type="band1Vert">
      <w:tblPr/>
      <w:tcPr>
        <w:shd w:val="clear" w:color="auto" w:fill="FAC8C2" w:themeFill="accent4" w:themeFillTint="3F"/>
      </w:tcPr>
    </w:tblStylePr>
    <w:tblStylePr w:type="band1Horz">
      <w:tblPr/>
      <w:tcPr>
        <w:tcBorders>
          <w:insideH w:val="nil"/>
          <w:insideV w:val="nil"/>
        </w:tcBorders>
        <w:shd w:val="clear" w:color="auto" w:fill="FAC8C2"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9E6ED7"/>
    <w:tblPr>
      <w:tblStyleRowBandSize w:val="1"/>
      <w:tblStyleColBandSize w:val="1"/>
      <w:tblBorders>
        <w:top w:val="single" w:sz="8"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single" w:sz="8" w:space="0" w:color="00F2F4" w:themeColor="accent5" w:themeTint="BF"/>
      </w:tblBorders>
    </w:tblPr>
    <w:tblStylePr w:type="firstRow">
      <w:pPr>
        <w:spacing w:before="0" w:after="0" w:line="240" w:lineRule="auto"/>
      </w:pPr>
      <w:rPr>
        <w:b/>
        <w:bCs/>
        <w:color w:val="FFFFFF" w:themeColor="background1"/>
      </w:rPr>
      <w:tblPr/>
      <w:tcPr>
        <w:tcBorders>
          <w:top w:val="single" w:sz="8"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nil"/>
          <w:insideV w:val="nil"/>
        </w:tcBorders>
        <w:shd w:val="clear" w:color="auto" w:fill="009A9B" w:themeFill="accent5"/>
      </w:tcPr>
    </w:tblStylePr>
    <w:tblStylePr w:type="lastRow">
      <w:pPr>
        <w:spacing w:before="0" w:after="0" w:line="240" w:lineRule="auto"/>
      </w:pPr>
      <w:rPr>
        <w:b/>
        <w:bCs/>
      </w:rPr>
      <w:tblPr/>
      <w:tcPr>
        <w:tcBorders>
          <w:top w:val="double" w:sz="6"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nil"/>
          <w:insideV w:val="nil"/>
        </w:tcBorders>
      </w:tcPr>
    </w:tblStylePr>
    <w:tblStylePr w:type="firstCol">
      <w:rPr>
        <w:b/>
        <w:bCs/>
      </w:rPr>
    </w:tblStylePr>
    <w:tblStylePr w:type="lastCol">
      <w:rPr>
        <w:b/>
        <w:bCs/>
      </w:rPr>
    </w:tblStylePr>
    <w:tblStylePr w:type="band1Vert">
      <w:tblPr/>
      <w:tcPr>
        <w:shd w:val="clear" w:color="auto" w:fill="A7FEFF" w:themeFill="accent5" w:themeFillTint="3F"/>
      </w:tcPr>
    </w:tblStylePr>
    <w:tblStylePr w:type="band1Horz">
      <w:tblPr/>
      <w:tcPr>
        <w:tcBorders>
          <w:insideH w:val="nil"/>
          <w:insideV w:val="nil"/>
        </w:tcBorders>
        <w:shd w:val="clear" w:color="auto" w:fill="A7FEF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9E6ED7"/>
    <w:tblPr>
      <w:tblStyleRowBandSize w:val="1"/>
      <w:tblStyleColBandSize w:val="1"/>
      <w:tblBorders>
        <w:top w:val="single" w:sz="8"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single" w:sz="8" w:space="0" w:color="FFDA40" w:themeColor="accent6" w:themeTint="BF"/>
      </w:tblBorders>
    </w:tblPr>
    <w:tblStylePr w:type="firstRow">
      <w:pPr>
        <w:spacing w:before="0" w:after="0" w:line="240" w:lineRule="auto"/>
      </w:pPr>
      <w:rPr>
        <w:b/>
        <w:bCs/>
        <w:color w:val="FFFFFF" w:themeColor="background1"/>
      </w:rPr>
      <w:tblPr/>
      <w:tcPr>
        <w:tcBorders>
          <w:top w:val="single" w:sz="8"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nil"/>
          <w:insideV w:val="nil"/>
        </w:tcBorders>
        <w:shd w:val="clear" w:color="auto" w:fill="FFCE00" w:themeFill="accent6"/>
      </w:tcPr>
    </w:tblStylePr>
    <w:tblStylePr w:type="lastRow">
      <w:pPr>
        <w:spacing w:before="0" w:after="0" w:line="240" w:lineRule="auto"/>
      </w:pPr>
      <w:rPr>
        <w:b/>
        <w:bCs/>
      </w:rPr>
      <w:tblPr/>
      <w:tcPr>
        <w:tcBorders>
          <w:top w:val="double" w:sz="6"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F2C0" w:themeFill="accent6" w:themeFillTint="3F"/>
      </w:tcPr>
    </w:tblStylePr>
    <w:tblStylePr w:type="band1Horz">
      <w:tblPr/>
      <w:tcPr>
        <w:tcBorders>
          <w:insideH w:val="nil"/>
          <w:insideV w:val="nil"/>
        </w:tcBorders>
        <w:shd w:val="clear" w:color="auto" w:fill="FFF2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768"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768" w:themeFill="accent1"/>
      </w:tcPr>
    </w:tblStylePr>
    <w:tblStylePr w:type="lastCol">
      <w:rPr>
        <w:b/>
        <w:bCs/>
        <w:color w:val="FFFFFF" w:themeColor="background1"/>
      </w:rPr>
      <w:tblPr/>
      <w:tcPr>
        <w:tcBorders>
          <w:left w:val="nil"/>
          <w:right w:val="nil"/>
          <w:insideH w:val="nil"/>
          <w:insideV w:val="nil"/>
        </w:tcBorders>
        <w:shd w:val="clear" w:color="auto" w:fill="008768"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53E"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53E" w:themeFill="accent2"/>
      </w:tcPr>
    </w:tblStylePr>
    <w:tblStylePr w:type="lastCol">
      <w:rPr>
        <w:b/>
        <w:bCs/>
        <w:color w:val="FFFFFF" w:themeColor="background1"/>
      </w:rPr>
      <w:tblPr/>
      <w:tcPr>
        <w:tcBorders>
          <w:left w:val="nil"/>
          <w:right w:val="nil"/>
          <w:insideH w:val="nil"/>
          <w:insideV w:val="nil"/>
        </w:tcBorders>
        <w:shd w:val="clear" w:color="auto" w:fill="00353E"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ECC53"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ECC53" w:themeFill="accent3"/>
      </w:tcPr>
    </w:tblStylePr>
    <w:tblStylePr w:type="lastCol">
      <w:rPr>
        <w:b/>
        <w:bCs/>
        <w:color w:val="FFFFFF" w:themeColor="background1"/>
      </w:rPr>
      <w:tblPr/>
      <w:tcPr>
        <w:tcBorders>
          <w:left w:val="nil"/>
          <w:right w:val="nil"/>
          <w:insideH w:val="nil"/>
          <w:insideV w:val="nil"/>
        </w:tcBorders>
        <w:shd w:val="clear" w:color="auto" w:fill="AECC53"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5271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52713" w:themeFill="accent4"/>
      </w:tcPr>
    </w:tblStylePr>
    <w:tblStylePr w:type="lastCol">
      <w:rPr>
        <w:b/>
        <w:bCs/>
        <w:color w:val="FFFFFF" w:themeColor="background1"/>
      </w:rPr>
      <w:tblPr/>
      <w:tcPr>
        <w:tcBorders>
          <w:left w:val="nil"/>
          <w:right w:val="nil"/>
          <w:insideH w:val="nil"/>
          <w:insideV w:val="nil"/>
        </w:tcBorders>
        <w:shd w:val="clear" w:color="auto" w:fill="E5271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A9B"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A9B" w:themeFill="accent5"/>
      </w:tcPr>
    </w:tblStylePr>
    <w:tblStylePr w:type="lastCol">
      <w:rPr>
        <w:b/>
        <w:bCs/>
        <w:color w:val="FFFFFF" w:themeColor="background1"/>
      </w:rPr>
      <w:tblPr/>
      <w:tcPr>
        <w:tcBorders>
          <w:left w:val="nil"/>
          <w:right w:val="nil"/>
          <w:insideH w:val="nil"/>
          <w:insideV w:val="nil"/>
        </w:tcBorders>
        <w:shd w:val="clear" w:color="auto" w:fill="009A9B"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E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E00" w:themeFill="accent6"/>
      </w:tcPr>
    </w:tblStylePr>
    <w:tblStylePr w:type="lastCol">
      <w:rPr>
        <w:b/>
        <w:bCs/>
        <w:color w:val="FFFFFF" w:themeColor="background1"/>
      </w:rPr>
      <w:tblPr/>
      <w:tcPr>
        <w:tcBorders>
          <w:left w:val="nil"/>
          <w:right w:val="nil"/>
          <w:insideH w:val="nil"/>
          <w:insideV w:val="nil"/>
        </w:tcBorders>
        <w:shd w:val="clear" w:color="auto" w:fill="FFCE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E6ED7"/>
    <w:pPr>
      <w:spacing w:line="24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E6ED7"/>
    <w:pPr>
      <w:spacing w:line="24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E6ED7"/>
    <w:pPr>
      <w:spacing w:line="24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E6ED7"/>
    <w:pPr>
      <w:spacing w:line="24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E6ED7"/>
    <w:pPr>
      <w:spacing w:line="24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E6ED7"/>
    <w:pPr>
      <w:spacing w:line="24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E6ED7"/>
    <w:pPr>
      <w:spacing w:line="24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9E6ED7"/>
    <w:pPr>
      <w:spacing w:line="24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9E6ED7"/>
    <w:pPr>
      <w:spacing w:line="24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9E6ED7"/>
    <w:pPr>
      <w:spacing w:line="24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E6ED7"/>
    <w:pPr>
      <w:spacing w:line="24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E6ED7"/>
    <w:pPr>
      <w:spacing w:line="24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E6ED7"/>
    <w:pPr>
      <w:spacing w:line="24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E6ED7"/>
    <w:pPr>
      <w:spacing w:line="24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E6ED7"/>
    <w:pPr>
      <w:spacing w:line="24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E6ED7"/>
    <w:pPr>
      <w:spacing w:line="24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E6ED7"/>
    <w:pPr>
      <w:spacing w:line="24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E6ED7"/>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E6ED7"/>
    <w:pPr>
      <w:spacing w:line="24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E6ED7"/>
    <w:pPr>
      <w:spacing w:line="24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E6ED7"/>
    <w:pPr>
      <w:spacing w:line="24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E6ED7"/>
    <w:pPr>
      <w:spacing w:line="24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E6ED7"/>
    <w:pPr>
      <w:spacing w:line="24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E6ED7"/>
    <w:pPr>
      <w:spacing w:line="24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E6ED7"/>
    <w:pPr>
      <w:spacing w:line="24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E6ED7"/>
    <w:pPr>
      <w:spacing w:line="24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E6ED7"/>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E6ED7"/>
    <w:pPr>
      <w:spacing w:line="24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E6ED7"/>
    <w:pPr>
      <w:spacing w:line="24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E6ED7"/>
    <w:pPr>
      <w:spacing w:line="24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E6ED7"/>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E6ED7"/>
    <w:pPr>
      <w:spacing w:line="24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E6ED7"/>
    <w:pPr>
      <w:spacing w:line="24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E6ED7"/>
    <w:pPr>
      <w:spacing w:line="24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E6ED7"/>
    <w:pPr>
      <w:spacing w:line="24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E6ED7"/>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E6ED7"/>
    <w:pPr>
      <w:spacing w:line="24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E6ED7"/>
    <w:pPr>
      <w:spacing w:line="24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E6ED7"/>
    <w:pPr>
      <w:spacing w:line="24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Header">
    <w:name w:val="header"/>
    <w:basedOn w:val="Normal"/>
    <w:link w:val="HeaderChar"/>
    <w:uiPriority w:val="99"/>
    <w:unhideWhenUsed/>
    <w:rsid w:val="007F6341"/>
    <w:pPr>
      <w:tabs>
        <w:tab w:val="center" w:pos="4513"/>
        <w:tab w:val="right" w:pos="9026"/>
      </w:tabs>
      <w:spacing w:line="240" w:lineRule="auto"/>
    </w:pPr>
    <w:rPr>
      <w:noProof/>
      <w:sz w:val="14"/>
    </w:rPr>
  </w:style>
  <w:style w:type="character" w:customStyle="1" w:styleId="HeaderChar">
    <w:name w:val="Header Char"/>
    <w:basedOn w:val="DefaultParagraphFont"/>
    <w:link w:val="Header"/>
    <w:uiPriority w:val="99"/>
    <w:rsid w:val="00F66A91"/>
    <w:rPr>
      <w:noProof/>
      <w:kern w:val="18"/>
      <w:sz w:val="14"/>
    </w:rPr>
  </w:style>
  <w:style w:type="paragraph" w:styleId="Footer">
    <w:name w:val="footer"/>
    <w:basedOn w:val="Normal"/>
    <w:link w:val="FooterChar"/>
    <w:uiPriority w:val="99"/>
    <w:unhideWhenUsed/>
    <w:rsid w:val="007F6341"/>
    <w:pPr>
      <w:tabs>
        <w:tab w:val="center" w:pos="4513"/>
        <w:tab w:val="right" w:pos="9026"/>
      </w:tabs>
      <w:spacing w:line="240" w:lineRule="auto"/>
    </w:pPr>
    <w:rPr>
      <w:noProof/>
      <w:sz w:val="14"/>
    </w:rPr>
  </w:style>
  <w:style w:type="character" w:customStyle="1" w:styleId="FooterChar">
    <w:name w:val="Footer Char"/>
    <w:basedOn w:val="DefaultParagraphFont"/>
    <w:link w:val="Footer"/>
    <w:uiPriority w:val="99"/>
    <w:rsid w:val="00F66A91"/>
    <w:rPr>
      <w:noProof/>
      <w:kern w:val="18"/>
      <w:sz w:val="14"/>
    </w:rPr>
  </w:style>
  <w:style w:type="numbering" w:customStyle="1" w:styleId="AECOMNumbering">
    <w:name w:val="AECOM Numbering"/>
    <w:basedOn w:val="NoList"/>
    <w:uiPriority w:val="99"/>
    <w:semiHidden/>
    <w:unhideWhenUsed/>
    <w:rsid w:val="00FF093C"/>
    <w:pPr>
      <w:numPr>
        <w:numId w:val="3"/>
      </w:numPr>
    </w:pPr>
  </w:style>
  <w:style w:type="numbering" w:customStyle="1" w:styleId="AECOMAppendix">
    <w:name w:val="AECOM Appendix"/>
    <w:uiPriority w:val="99"/>
    <w:semiHidden/>
    <w:unhideWhenUsed/>
    <w:rsid w:val="006A3705"/>
    <w:pPr>
      <w:numPr>
        <w:numId w:val="4"/>
      </w:numPr>
    </w:pPr>
  </w:style>
  <w:style w:type="character" w:customStyle="1" w:styleId="Heading6Char">
    <w:name w:val="Heading 6 Char"/>
    <w:basedOn w:val="DefaultParagraphFont"/>
    <w:link w:val="Heading6"/>
    <w:uiPriority w:val="9"/>
    <w:semiHidden/>
    <w:rsid w:val="00F66A91"/>
    <w:rPr>
      <w:rFonts w:asciiTheme="majorHAnsi" w:eastAsiaTheme="majorEastAsia" w:hAnsiTheme="majorHAnsi" w:cstheme="majorBidi"/>
      <w:i/>
      <w:iCs/>
      <w:color w:val="004333" w:themeColor="accent1" w:themeShade="7F"/>
      <w:kern w:val="18"/>
      <w:sz w:val="20"/>
    </w:rPr>
  </w:style>
  <w:style w:type="character" w:customStyle="1" w:styleId="Heading7Char">
    <w:name w:val="Heading 7 Char"/>
    <w:basedOn w:val="DefaultParagraphFont"/>
    <w:link w:val="Heading7"/>
    <w:uiPriority w:val="9"/>
    <w:semiHidden/>
    <w:rsid w:val="00F66A91"/>
    <w:rPr>
      <w:rFonts w:asciiTheme="majorHAnsi" w:eastAsiaTheme="majorEastAsia" w:hAnsiTheme="majorHAnsi" w:cstheme="majorBidi"/>
      <w:i/>
      <w:iCs/>
      <w:color w:val="404040" w:themeColor="text1" w:themeTint="BF"/>
      <w:kern w:val="18"/>
      <w:sz w:val="20"/>
    </w:rPr>
  </w:style>
  <w:style w:type="character" w:customStyle="1" w:styleId="Heading8Char">
    <w:name w:val="Heading 8 Char"/>
    <w:basedOn w:val="DefaultParagraphFont"/>
    <w:link w:val="Heading8"/>
    <w:uiPriority w:val="9"/>
    <w:semiHidden/>
    <w:rsid w:val="00F66A91"/>
    <w:rPr>
      <w:rFonts w:asciiTheme="majorHAnsi" w:eastAsiaTheme="majorEastAsia" w:hAnsiTheme="majorHAnsi" w:cstheme="majorBidi"/>
      <w:color w:val="404040" w:themeColor="text1" w:themeTint="BF"/>
      <w:kern w:val="18"/>
      <w:sz w:val="20"/>
      <w:szCs w:val="20"/>
    </w:rPr>
  </w:style>
  <w:style w:type="character" w:customStyle="1" w:styleId="Heading9Char">
    <w:name w:val="Heading 9 Char"/>
    <w:basedOn w:val="DefaultParagraphFont"/>
    <w:link w:val="Heading9"/>
    <w:uiPriority w:val="9"/>
    <w:semiHidden/>
    <w:rsid w:val="00F66A91"/>
    <w:rPr>
      <w:rFonts w:asciiTheme="majorHAnsi" w:eastAsiaTheme="majorEastAsia" w:hAnsiTheme="majorHAnsi" w:cstheme="majorBidi"/>
      <w:i/>
      <w:iCs/>
      <w:color w:val="404040" w:themeColor="text1" w:themeTint="BF"/>
      <w:kern w:val="18"/>
      <w:sz w:val="20"/>
      <w:szCs w:val="20"/>
    </w:rPr>
  </w:style>
  <w:style w:type="table" w:customStyle="1" w:styleId="Plaingrid">
    <w:name w:val="Plain grid"/>
    <w:basedOn w:val="TableNormal"/>
    <w:uiPriority w:val="99"/>
    <w:semiHidden/>
    <w:unhideWhenUsed/>
    <w:rsid w:val="00E772F5"/>
    <w:tblPr>
      <w:tblCellMar>
        <w:left w:w="0" w:type="dxa"/>
      </w:tblCellMar>
    </w:tblPr>
  </w:style>
  <w:style w:type="paragraph" w:styleId="Title">
    <w:name w:val="Title"/>
    <w:basedOn w:val="Normal"/>
    <w:next w:val="Normal"/>
    <w:link w:val="TitleChar"/>
    <w:uiPriority w:val="10"/>
    <w:semiHidden/>
    <w:unhideWhenUsed/>
    <w:rsid w:val="00AA75D4"/>
    <w:pPr>
      <w:spacing w:after="300" w:line="240" w:lineRule="auto"/>
      <w:contextualSpacing/>
    </w:pPr>
    <w:rPr>
      <w:rFonts w:asciiTheme="majorHAnsi" w:eastAsiaTheme="majorEastAsia" w:hAnsiTheme="majorHAnsi" w:cstheme="majorBidi"/>
      <w:color w:val="FFFFFF" w:themeColor="background1"/>
      <w:kern w:val="28"/>
      <w:sz w:val="48"/>
      <w:szCs w:val="52"/>
    </w:rPr>
  </w:style>
  <w:style w:type="character" w:customStyle="1" w:styleId="TitleChar">
    <w:name w:val="Title Char"/>
    <w:basedOn w:val="DefaultParagraphFont"/>
    <w:link w:val="Title"/>
    <w:uiPriority w:val="10"/>
    <w:semiHidden/>
    <w:rsid w:val="00F66A91"/>
    <w:rPr>
      <w:rFonts w:asciiTheme="majorHAnsi" w:eastAsiaTheme="majorEastAsia" w:hAnsiTheme="majorHAnsi" w:cstheme="majorBidi"/>
      <w:color w:val="FFFFFF" w:themeColor="background1"/>
      <w:kern w:val="28"/>
      <w:sz w:val="48"/>
      <w:szCs w:val="52"/>
    </w:rPr>
  </w:style>
  <w:style w:type="paragraph" w:styleId="TOCHeading">
    <w:name w:val="TOC Heading"/>
    <w:basedOn w:val="Heading1"/>
    <w:next w:val="Normal"/>
    <w:uiPriority w:val="39"/>
    <w:semiHidden/>
    <w:unhideWhenUsed/>
    <w:rsid w:val="000D13AF"/>
    <w:pPr>
      <w:numPr>
        <w:numId w:val="0"/>
      </w:numPr>
      <w:spacing w:line="240" w:lineRule="atLeast"/>
      <w:outlineLvl w:val="9"/>
    </w:pPr>
    <w:rPr>
      <w:sz w:val="28"/>
    </w:rPr>
  </w:style>
  <w:style w:type="paragraph" w:styleId="Subtitle">
    <w:name w:val="Subtitle"/>
    <w:basedOn w:val="Normal"/>
    <w:next w:val="Normal"/>
    <w:link w:val="SubtitleChar"/>
    <w:uiPriority w:val="11"/>
    <w:semiHidden/>
    <w:unhideWhenUsed/>
    <w:rsid w:val="00AA75D4"/>
    <w:pPr>
      <w:numPr>
        <w:ilvl w:val="1"/>
      </w:numPr>
    </w:pPr>
    <w:rPr>
      <w:rFonts w:asciiTheme="majorHAnsi" w:eastAsiaTheme="majorEastAsia" w:hAnsiTheme="majorHAnsi" w:cstheme="majorBidi"/>
      <w:iCs/>
      <w:color w:val="FFFFFF" w:themeColor="background1"/>
      <w:sz w:val="24"/>
      <w:szCs w:val="24"/>
    </w:rPr>
  </w:style>
  <w:style w:type="character" w:customStyle="1" w:styleId="SubtitleChar">
    <w:name w:val="Subtitle Char"/>
    <w:basedOn w:val="DefaultParagraphFont"/>
    <w:link w:val="Subtitle"/>
    <w:uiPriority w:val="11"/>
    <w:semiHidden/>
    <w:rsid w:val="00F66A91"/>
    <w:rPr>
      <w:rFonts w:asciiTheme="majorHAnsi" w:eastAsiaTheme="majorEastAsia" w:hAnsiTheme="majorHAnsi" w:cstheme="majorBidi"/>
      <w:iCs/>
      <w:color w:val="FFFFFF" w:themeColor="background1"/>
      <w:kern w:val="18"/>
      <w:sz w:val="24"/>
      <w:szCs w:val="24"/>
    </w:rPr>
  </w:style>
  <w:style w:type="paragraph" w:styleId="TOC1">
    <w:name w:val="toc 1"/>
    <w:basedOn w:val="Normal"/>
    <w:next w:val="Normal"/>
    <w:autoRedefine/>
    <w:uiPriority w:val="39"/>
    <w:unhideWhenUsed/>
    <w:rsid w:val="003964F2"/>
    <w:pPr>
      <w:tabs>
        <w:tab w:val="clear" w:pos="284"/>
        <w:tab w:val="right" w:leader="dot" w:pos="9354"/>
      </w:tabs>
      <w:spacing w:after="40"/>
      <w:ind w:left="567" w:right="522" w:hanging="567"/>
    </w:pPr>
    <w:rPr>
      <w:rFonts w:asciiTheme="majorHAnsi" w:hAnsiTheme="majorHAnsi"/>
    </w:rPr>
  </w:style>
  <w:style w:type="paragraph" w:styleId="TOC2">
    <w:name w:val="toc 2"/>
    <w:basedOn w:val="Normal"/>
    <w:next w:val="Normal"/>
    <w:autoRedefine/>
    <w:uiPriority w:val="39"/>
    <w:unhideWhenUsed/>
    <w:rsid w:val="003964F2"/>
    <w:pPr>
      <w:tabs>
        <w:tab w:val="clear" w:pos="284"/>
        <w:tab w:val="right" w:leader="dot" w:pos="9354"/>
      </w:tabs>
      <w:spacing w:after="40"/>
      <w:ind w:left="1134" w:right="522" w:hanging="567"/>
    </w:pPr>
  </w:style>
  <w:style w:type="paragraph" w:styleId="TOC3">
    <w:name w:val="toc 3"/>
    <w:basedOn w:val="Normal"/>
    <w:next w:val="Normal"/>
    <w:autoRedefine/>
    <w:uiPriority w:val="39"/>
    <w:unhideWhenUsed/>
    <w:rsid w:val="003964F2"/>
    <w:pPr>
      <w:tabs>
        <w:tab w:val="clear" w:pos="284"/>
        <w:tab w:val="right" w:leader="dot" w:pos="9354"/>
      </w:tabs>
      <w:spacing w:after="40"/>
      <w:ind w:left="1134" w:hanging="567"/>
    </w:pPr>
  </w:style>
  <w:style w:type="paragraph" w:customStyle="1" w:styleId="Coverdata">
    <w:name w:val="Cover data"/>
    <w:basedOn w:val="Subtitle"/>
    <w:uiPriority w:val="1"/>
    <w:semiHidden/>
    <w:unhideWhenUsed/>
    <w:rsid w:val="00DA79BC"/>
    <w:pPr>
      <w:jc w:val="right"/>
    </w:pPr>
    <w:rPr>
      <w:sz w:val="16"/>
    </w:rPr>
  </w:style>
  <w:style w:type="paragraph" w:customStyle="1" w:styleId="Coverfooter">
    <w:name w:val="Cover footer"/>
    <w:basedOn w:val="Coverdata"/>
    <w:uiPriority w:val="1"/>
    <w:semiHidden/>
    <w:unhideWhenUsed/>
    <w:rsid w:val="00B97816"/>
    <w:pPr>
      <w:spacing w:line="200" w:lineRule="atLeast"/>
      <w:jc w:val="left"/>
    </w:pPr>
    <w:rPr>
      <w:rFonts w:asciiTheme="minorHAnsi" w:hAnsiTheme="minorHAnsi"/>
    </w:rPr>
  </w:style>
  <w:style w:type="paragraph" w:customStyle="1" w:styleId="Subtitleheading">
    <w:name w:val="Subtitle heading"/>
    <w:basedOn w:val="Subtitle"/>
    <w:uiPriority w:val="1"/>
    <w:semiHidden/>
    <w:unhideWhenUsed/>
    <w:rsid w:val="00AA75D4"/>
  </w:style>
  <w:style w:type="character" w:styleId="Strong">
    <w:name w:val="Strong"/>
    <w:basedOn w:val="DefaultParagraphFont"/>
    <w:uiPriority w:val="22"/>
    <w:semiHidden/>
    <w:unhideWhenUsed/>
    <w:rsid w:val="00542F08"/>
    <w:rPr>
      <w:b/>
      <w:bCs/>
    </w:rPr>
  </w:style>
  <w:style w:type="paragraph" w:styleId="CommentText">
    <w:name w:val="annotation text"/>
    <w:basedOn w:val="Normal"/>
    <w:link w:val="CommentTextChar"/>
    <w:uiPriority w:val="99"/>
    <w:unhideWhenUsed/>
    <w:rsid w:val="00542F08"/>
    <w:pPr>
      <w:spacing w:line="240" w:lineRule="auto"/>
    </w:pPr>
    <w:rPr>
      <w:szCs w:val="20"/>
    </w:rPr>
  </w:style>
  <w:style w:type="character" w:customStyle="1" w:styleId="CommentTextChar">
    <w:name w:val="Comment Text Char"/>
    <w:basedOn w:val="DefaultParagraphFont"/>
    <w:link w:val="CommentText"/>
    <w:uiPriority w:val="99"/>
    <w:rsid w:val="00F66A91"/>
    <w:rPr>
      <w:kern w:val="18"/>
      <w:sz w:val="20"/>
      <w:szCs w:val="20"/>
    </w:rPr>
  </w:style>
  <w:style w:type="paragraph" w:styleId="CommentSubject">
    <w:name w:val="annotation subject"/>
    <w:basedOn w:val="CommentText"/>
    <w:next w:val="CommentText"/>
    <w:link w:val="CommentSubjectChar"/>
    <w:uiPriority w:val="99"/>
    <w:semiHidden/>
    <w:unhideWhenUsed/>
    <w:rsid w:val="00542F08"/>
    <w:rPr>
      <w:b/>
      <w:bCs/>
    </w:rPr>
  </w:style>
  <w:style w:type="character" w:customStyle="1" w:styleId="CommentSubjectChar">
    <w:name w:val="Comment Subject Char"/>
    <w:basedOn w:val="CommentTextChar"/>
    <w:link w:val="CommentSubject"/>
    <w:uiPriority w:val="99"/>
    <w:semiHidden/>
    <w:rsid w:val="00F66A91"/>
    <w:rPr>
      <w:b/>
      <w:bCs/>
      <w:kern w:val="18"/>
      <w:sz w:val="20"/>
      <w:szCs w:val="20"/>
    </w:rPr>
  </w:style>
  <w:style w:type="paragraph" w:customStyle="1" w:styleId="Heading">
    <w:name w:val="Heading"/>
    <w:basedOn w:val="BodyText"/>
    <w:next w:val="BodyText"/>
    <w:uiPriority w:val="1"/>
    <w:unhideWhenUsed/>
    <w:rsid w:val="008952D6"/>
    <w:pPr>
      <w:spacing w:after="120"/>
    </w:pPr>
    <w:rPr>
      <w:rFonts w:asciiTheme="majorHAnsi" w:hAnsiTheme="majorHAnsi" w:cstheme="majorHAnsi"/>
      <w:color w:val="000000" w:themeColor="text2"/>
      <w:sz w:val="24"/>
    </w:rPr>
  </w:style>
  <w:style w:type="paragraph" w:styleId="TableofFigures">
    <w:name w:val="table of figures"/>
    <w:basedOn w:val="Normal"/>
    <w:next w:val="Normal"/>
    <w:uiPriority w:val="99"/>
    <w:unhideWhenUsed/>
    <w:rsid w:val="00A34EE8"/>
    <w:pPr>
      <w:tabs>
        <w:tab w:val="clear" w:pos="284"/>
        <w:tab w:val="right" w:leader="dot" w:pos="9354"/>
      </w:tabs>
    </w:pPr>
  </w:style>
  <w:style w:type="numbering" w:customStyle="1" w:styleId="AECOMSectionnumbering">
    <w:name w:val="AECOM Section numbering"/>
    <w:uiPriority w:val="99"/>
    <w:semiHidden/>
    <w:unhideWhenUsed/>
    <w:rsid w:val="0055609F"/>
    <w:pPr>
      <w:numPr>
        <w:numId w:val="5"/>
      </w:numPr>
    </w:pPr>
  </w:style>
  <w:style w:type="paragraph" w:styleId="BalloonText">
    <w:name w:val="Balloon Text"/>
    <w:basedOn w:val="Normal"/>
    <w:link w:val="BalloonTextChar"/>
    <w:uiPriority w:val="99"/>
    <w:semiHidden/>
    <w:unhideWhenUsed/>
    <w:rsid w:val="00F97FC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6A91"/>
    <w:rPr>
      <w:rFonts w:ascii="Tahoma" w:hAnsi="Tahoma" w:cs="Tahoma"/>
      <w:kern w:val="18"/>
      <w:sz w:val="16"/>
      <w:szCs w:val="16"/>
    </w:rPr>
  </w:style>
  <w:style w:type="paragraph" w:styleId="Quote">
    <w:name w:val="Quote"/>
    <w:basedOn w:val="Normal"/>
    <w:next w:val="Normal"/>
    <w:link w:val="QuoteChar"/>
    <w:uiPriority w:val="22"/>
    <w:qFormat/>
    <w:rsid w:val="00292BCA"/>
    <w:pPr>
      <w:spacing w:after="120"/>
      <w:ind w:left="567" w:right="567"/>
    </w:pPr>
    <w:rPr>
      <w:i/>
      <w:iCs/>
      <w:color w:val="000000" w:themeColor="text1"/>
    </w:rPr>
  </w:style>
  <w:style w:type="character" w:customStyle="1" w:styleId="QuoteChar">
    <w:name w:val="Quote Char"/>
    <w:basedOn w:val="DefaultParagraphFont"/>
    <w:link w:val="Quote"/>
    <w:uiPriority w:val="22"/>
    <w:rsid w:val="00292BCA"/>
    <w:rPr>
      <w:i/>
      <w:iCs/>
      <w:color w:val="000000" w:themeColor="text1"/>
      <w:kern w:val="18"/>
      <w:sz w:val="20"/>
    </w:rPr>
  </w:style>
  <w:style w:type="numbering" w:styleId="111111">
    <w:name w:val="Outline List 2"/>
    <w:basedOn w:val="NoList"/>
    <w:uiPriority w:val="99"/>
    <w:semiHidden/>
    <w:unhideWhenUsed/>
    <w:rsid w:val="004C255D"/>
    <w:pPr>
      <w:numPr>
        <w:numId w:val="6"/>
      </w:numPr>
    </w:pPr>
  </w:style>
  <w:style w:type="numbering" w:styleId="1ai">
    <w:name w:val="Outline List 1"/>
    <w:basedOn w:val="NoList"/>
    <w:uiPriority w:val="99"/>
    <w:semiHidden/>
    <w:unhideWhenUsed/>
    <w:rsid w:val="004C255D"/>
    <w:pPr>
      <w:numPr>
        <w:numId w:val="7"/>
      </w:numPr>
    </w:pPr>
  </w:style>
  <w:style w:type="numbering" w:styleId="ArticleSection">
    <w:name w:val="Outline List 3"/>
    <w:basedOn w:val="NoList"/>
    <w:uiPriority w:val="99"/>
    <w:semiHidden/>
    <w:unhideWhenUsed/>
    <w:rsid w:val="004C255D"/>
    <w:pPr>
      <w:numPr>
        <w:numId w:val="8"/>
      </w:numPr>
    </w:pPr>
  </w:style>
  <w:style w:type="paragraph" w:styleId="Bibliography">
    <w:name w:val="Bibliography"/>
    <w:basedOn w:val="Normal"/>
    <w:next w:val="Normal"/>
    <w:uiPriority w:val="37"/>
    <w:semiHidden/>
    <w:unhideWhenUsed/>
    <w:rsid w:val="004C255D"/>
  </w:style>
  <w:style w:type="paragraph" w:styleId="BlockText">
    <w:name w:val="Block Text"/>
    <w:basedOn w:val="Normal"/>
    <w:uiPriority w:val="99"/>
    <w:semiHidden/>
    <w:unhideWhenUsed/>
    <w:rsid w:val="004C255D"/>
    <w:pPr>
      <w:pBdr>
        <w:top w:val="single" w:sz="2" w:space="10" w:color="008768" w:themeColor="accent1" w:shadow="1" w:frame="1"/>
        <w:left w:val="single" w:sz="2" w:space="10" w:color="008768" w:themeColor="accent1" w:shadow="1" w:frame="1"/>
        <w:bottom w:val="single" w:sz="2" w:space="10" w:color="008768" w:themeColor="accent1" w:shadow="1" w:frame="1"/>
        <w:right w:val="single" w:sz="2" w:space="10" w:color="008768" w:themeColor="accent1" w:shadow="1" w:frame="1"/>
      </w:pBdr>
      <w:ind w:left="1152" w:right="1152"/>
    </w:pPr>
    <w:rPr>
      <w:rFonts w:eastAsiaTheme="minorEastAsia"/>
      <w:i/>
      <w:iCs/>
      <w:color w:val="008768" w:themeColor="accent1"/>
    </w:rPr>
  </w:style>
  <w:style w:type="paragraph" w:styleId="BodyText2">
    <w:name w:val="Body Text 2"/>
    <w:basedOn w:val="Normal"/>
    <w:link w:val="BodyText2Char"/>
    <w:uiPriority w:val="99"/>
    <w:semiHidden/>
    <w:unhideWhenUsed/>
    <w:rsid w:val="004C255D"/>
    <w:pPr>
      <w:spacing w:after="120" w:line="480" w:lineRule="auto"/>
    </w:pPr>
  </w:style>
  <w:style w:type="character" w:customStyle="1" w:styleId="BodyText2Char">
    <w:name w:val="Body Text 2 Char"/>
    <w:basedOn w:val="DefaultParagraphFont"/>
    <w:link w:val="BodyText2"/>
    <w:uiPriority w:val="99"/>
    <w:semiHidden/>
    <w:rsid w:val="00F66A91"/>
    <w:rPr>
      <w:kern w:val="18"/>
    </w:rPr>
  </w:style>
  <w:style w:type="paragraph" w:styleId="BodyText3">
    <w:name w:val="Body Text 3"/>
    <w:basedOn w:val="Normal"/>
    <w:link w:val="BodyText3Char"/>
    <w:uiPriority w:val="99"/>
    <w:semiHidden/>
    <w:unhideWhenUsed/>
    <w:rsid w:val="004C255D"/>
    <w:pPr>
      <w:spacing w:after="120"/>
    </w:pPr>
    <w:rPr>
      <w:sz w:val="16"/>
      <w:szCs w:val="16"/>
    </w:rPr>
  </w:style>
  <w:style w:type="character" w:customStyle="1" w:styleId="BodyText3Char">
    <w:name w:val="Body Text 3 Char"/>
    <w:basedOn w:val="DefaultParagraphFont"/>
    <w:link w:val="BodyText3"/>
    <w:uiPriority w:val="99"/>
    <w:semiHidden/>
    <w:rsid w:val="00F66A91"/>
    <w:rPr>
      <w:kern w:val="18"/>
      <w:sz w:val="16"/>
      <w:szCs w:val="16"/>
    </w:rPr>
  </w:style>
  <w:style w:type="paragraph" w:styleId="BodyTextFirstIndent">
    <w:name w:val="Body Text First Indent"/>
    <w:basedOn w:val="BodyText"/>
    <w:link w:val="BodyTextFirstIndentChar"/>
    <w:uiPriority w:val="99"/>
    <w:semiHidden/>
    <w:unhideWhenUsed/>
    <w:rsid w:val="004C255D"/>
    <w:pPr>
      <w:spacing w:after="0"/>
      <w:ind w:firstLine="360"/>
    </w:pPr>
  </w:style>
  <w:style w:type="character" w:customStyle="1" w:styleId="BodyTextFirstIndentChar">
    <w:name w:val="Body Text First Indent Char"/>
    <w:basedOn w:val="BodyTextChar"/>
    <w:link w:val="BodyTextFirstIndent"/>
    <w:uiPriority w:val="99"/>
    <w:semiHidden/>
    <w:rsid w:val="00F66A91"/>
    <w:rPr>
      <w:kern w:val="18"/>
    </w:rPr>
  </w:style>
  <w:style w:type="paragraph" w:styleId="BodyTextIndent">
    <w:name w:val="Body Text Indent"/>
    <w:basedOn w:val="Normal"/>
    <w:link w:val="BodyTextIndentChar"/>
    <w:uiPriority w:val="99"/>
    <w:semiHidden/>
    <w:unhideWhenUsed/>
    <w:rsid w:val="004C255D"/>
    <w:pPr>
      <w:spacing w:after="120"/>
      <w:ind w:left="283"/>
    </w:pPr>
  </w:style>
  <w:style w:type="character" w:customStyle="1" w:styleId="BodyTextIndentChar">
    <w:name w:val="Body Text Indent Char"/>
    <w:basedOn w:val="DefaultParagraphFont"/>
    <w:link w:val="BodyTextIndent"/>
    <w:uiPriority w:val="99"/>
    <w:semiHidden/>
    <w:rsid w:val="00F66A91"/>
    <w:rPr>
      <w:kern w:val="18"/>
    </w:rPr>
  </w:style>
  <w:style w:type="paragraph" w:styleId="BodyTextFirstIndent2">
    <w:name w:val="Body Text First Indent 2"/>
    <w:basedOn w:val="BodyTextIndent"/>
    <w:link w:val="BodyTextFirstIndent2Char"/>
    <w:uiPriority w:val="99"/>
    <w:semiHidden/>
    <w:unhideWhenUsed/>
    <w:rsid w:val="004C255D"/>
    <w:pPr>
      <w:spacing w:after="0"/>
      <w:ind w:left="360" w:firstLine="360"/>
    </w:pPr>
  </w:style>
  <w:style w:type="character" w:customStyle="1" w:styleId="BodyTextFirstIndent2Char">
    <w:name w:val="Body Text First Indent 2 Char"/>
    <w:basedOn w:val="BodyTextIndentChar"/>
    <w:link w:val="BodyTextFirstIndent2"/>
    <w:uiPriority w:val="99"/>
    <w:semiHidden/>
    <w:rsid w:val="00F66A91"/>
    <w:rPr>
      <w:kern w:val="18"/>
    </w:rPr>
  </w:style>
  <w:style w:type="paragraph" w:styleId="BodyTextIndent2">
    <w:name w:val="Body Text Indent 2"/>
    <w:basedOn w:val="Normal"/>
    <w:link w:val="BodyTextIndent2Char"/>
    <w:uiPriority w:val="99"/>
    <w:semiHidden/>
    <w:unhideWhenUsed/>
    <w:rsid w:val="004C255D"/>
    <w:pPr>
      <w:spacing w:after="120" w:line="480" w:lineRule="auto"/>
      <w:ind w:left="283"/>
    </w:pPr>
  </w:style>
  <w:style w:type="character" w:customStyle="1" w:styleId="BodyTextIndent2Char">
    <w:name w:val="Body Text Indent 2 Char"/>
    <w:basedOn w:val="DefaultParagraphFont"/>
    <w:link w:val="BodyTextIndent2"/>
    <w:uiPriority w:val="99"/>
    <w:semiHidden/>
    <w:rsid w:val="00F66A91"/>
    <w:rPr>
      <w:kern w:val="18"/>
    </w:rPr>
  </w:style>
  <w:style w:type="paragraph" w:styleId="BodyTextIndent3">
    <w:name w:val="Body Text Indent 3"/>
    <w:basedOn w:val="Normal"/>
    <w:link w:val="BodyTextIndent3Char"/>
    <w:uiPriority w:val="99"/>
    <w:semiHidden/>
    <w:unhideWhenUsed/>
    <w:rsid w:val="004C255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66A91"/>
    <w:rPr>
      <w:kern w:val="18"/>
      <w:sz w:val="16"/>
      <w:szCs w:val="16"/>
    </w:rPr>
  </w:style>
  <w:style w:type="character" w:styleId="BookTitle">
    <w:name w:val="Book Title"/>
    <w:basedOn w:val="DefaultParagraphFont"/>
    <w:uiPriority w:val="33"/>
    <w:semiHidden/>
    <w:unhideWhenUsed/>
    <w:rsid w:val="004C255D"/>
    <w:rPr>
      <w:b/>
      <w:bCs/>
      <w:smallCaps/>
      <w:spacing w:val="5"/>
    </w:rPr>
  </w:style>
  <w:style w:type="paragraph" w:styleId="Closing">
    <w:name w:val="Closing"/>
    <w:basedOn w:val="Normal"/>
    <w:link w:val="ClosingChar"/>
    <w:uiPriority w:val="99"/>
    <w:semiHidden/>
    <w:unhideWhenUsed/>
    <w:rsid w:val="004C255D"/>
    <w:pPr>
      <w:spacing w:line="240" w:lineRule="auto"/>
      <w:ind w:left="4252"/>
    </w:pPr>
  </w:style>
  <w:style w:type="character" w:customStyle="1" w:styleId="ClosingChar">
    <w:name w:val="Closing Char"/>
    <w:basedOn w:val="DefaultParagraphFont"/>
    <w:link w:val="Closing"/>
    <w:uiPriority w:val="99"/>
    <w:semiHidden/>
    <w:rsid w:val="00F66A91"/>
    <w:rPr>
      <w:kern w:val="18"/>
    </w:rPr>
  </w:style>
  <w:style w:type="character" w:styleId="CommentReference">
    <w:name w:val="annotation reference"/>
    <w:basedOn w:val="DefaultParagraphFont"/>
    <w:uiPriority w:val="99"/>
    <w:semiHidden/>
    <w:unhideWhenUsed/>
    <w:rsid w:val="004C255D"/>
    <w:rPr>
      <w:sz w:val="16"/>
      <w:szCs w:val="16"/>
    </w:rPr>
  </w:style>
  <w:style w:type="paragraph" w:styleId="Date">
    <w:name w:val="Date"/>
    <w:basedOn w:val="Normal"/>
    <w:next w:val="Normal"/>
    <w:link w:val="DateChar"/>
    <w:uiPriority w:val="99"/>
    <w:semiHidden/>
    <w:unhideWhenUsed/>
    <w:rsid w:val="004C255D"/>
  </w:style>
  <w:style w:type="character" w:customStyle="1" w:styleId="DateChar">
    <w:name w:val="Date Char"/>
    <w:basedOn w:val="DefaultParagraphFont"/>
    <w:link w:val="Date"/>
    <w:uiPriority w:val="99"/>
    <w:semiHidden/>
    <w:rsid w:val="00F66A91"/>
    <w:rPr>
      <w:kern w:val="18"/>
    </w:rPr>
  </w:style>
  <w:style w:type="paragraph" w:styleId="DocumentMap">
    <w:name w:val="Document Map"/>
    <w:basedOn w:val="Normal"/>
    <w:link w:val="DocumentMapChar"/>
    <w:uiPriority w:val="99"/>
    <w:semiHidden/>
    <w:unhideWhenUsed/>
    <w:rsid w:val="004C255D"/>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66A91"/>
    <w:rPr>
      <w:rFonts w:ascii="Tahoma" w:hAnsi="Tahoma" w:cs="Tahoma"/>
      <w:kern w:val="18"/>
      <w:sz w:val="16"/>
      <w:szCs w:val="16"/>
    </w:rPr>
  </w:style>
  <w:style w:type="paragraph" w:styleId="EmailSignature">
    <w:name w:val="E-mail Signature"/>
    <w:basedOn w:val="Normal"/>
    <w:link w:val="EmailSignatureChar"/>
    <w:uiPriority w:val="99"/>
    <w:semiHidden/>
    <w:unhideWhenUsed/>
    <w:rsid w:val="004C255D"/>
    <w:pPr>
      <w:spacing w:line="240" w:lineRule="auto"/>
    </w:pPr>
  </w:style>
  <w:style w:type="character" w:customStyle="1" w:styleId="EmailSignatureChar">
    <w:name w:val="Email Signature Char"/>
    <w:basedOn w:val="DefaultParagraphFont"/>
    <w:link w:val="EmailSignature"/>
    <w:uiPriority w:val="99"/>
    <w:semiHidden/>
    <w:rsid w:val="00F66A91"/>
    <w:rPr>
      <w:kern w:val="18"/>
    </w:rPr>
  </w:style>
  <w:style w:type="character" w:styleId="Emphasis">
    <w:name w:val="Emphasis"/>
    <w:basedOn w:val="DefaultParagraphFont"/>
    <w:uiPriority w:val="20"/>
    <w:semiHidden/>
    <w:unhideWhenUsed/>
    <w:rsid w:val="004C255D"/>
    <w:rPr>
      <w:i/>
      <w:iCs/>
    </w:rPr>
  </w:style>
  <w:style w:type="character" w:styleId="EndnoteReference">
    <w:name w:val="endnote reference"/>
    <w:basedOn w:val="DefaultParagraphFont"/>
    <w:uiPriority w:val="99"/>
    <w:semiHidden/>
    <w:unhideWhenUsed/>
    <w:rsid w:val="004C255D"/>
    <w:rPr>
      <w:vertAlign w:val="superscript"/>
    </w:rPr>
  </w:style>
  <w:style w:type="paragraph" w:styleId="EndnoteText">
    <w:name w:val="endnote text"/>
    <w:basedOn w:val="Normal"/>
    <w:link w:val="EndnoteTextChar"/>
    <w:uiPriority w:val="99"/>
    <w:semiHidden/>
    <w:unhideWhenUsed/>
    <w:rsid w:val="004C255D"/>
    <w:pPr>
      <w:spacing w:line="240" w:lineRule="auto"/>
    </w:pPr>
    <w:rPr>
      <w:szCs w:val="20"/>
    </w:rPr>
  </w:style>
  <w:style w:type="character" w:customStyle="1" w:styleId="EndnoteTextChar">
    <w:name w:val="Endnote Text Char"/>
    <w:basedOn w:val="DefaultParagraphFont"/>
    <w:link w:val="EndnoteText"/>
    <w:uiPriority w:val="99"/>
    <w:semiHidden/>
    <w:rsid w:val="00F66A91"/>
    <w:rPr>
      <w:kern w:val="18"/>
      <w:sz w:val="20"/>
      <w:szCs w:val="20"/>
    </w:rPr>
  </w:style>
  <w:style w:type="paragraph" w:styleId="EnvelopeAddress">
    <w:name w:val="envelope address"/>
    <w:basedOn w:val="Normal"/>
    <w:uiPriority w:val="99"/>
    <w:semiHidden/>
    <w:unhideWhenUsed/>
    <w:rsid w:val="004C255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4C255D"/>
    <w:pPr>
      <w:spacing w:line="240" w:lineRule="auto"/>
    </w:pPr>
    <w:rPr>
      <w:rFonts w:asciiTheme="majorHAnsi" w:eastAsiaTheme="majorEastAsia" w:hAnsiTheme="majorHAnsi" w:cstheme="majorBidi"/>
      <w:szCs w:val="20"/>
    </w:rPr>
  </w:style>
  <w:style w:type="character" w:styleId="HTMLAcronym">
    <w:name w:val="HTML Acronym"/>
    <w:basedOn w:val="DefaultParagraphFont"/>
    <w:uiPriority w:val="99"/>
    <w:semiHidden/>
    <w:unhideWhenUsed/>
    <w:rsid w:val="004C255D"/>
  </w:style>
  <w:style w:type="paragraph" w:styleId="HTMLAddress">
    <w:name w:val="HTML Address"/>
    <w:basedOn w:val="Normal"/>
    <w:link w:val="HTMLAddressChar"/>
    <w:uiPriority w:val="99"/>
    <w:semiHidden/>
    <w:unhideWhenUsed/>
    <w:rsid w:val="004C255D"/>
    <w:pPr>
      <w:spacing w:line="240" w:lineRule="auto"/>
    </w:pPr>
    <w:rPr>
      <w:i/>
      <w:iCs/>
    </w:rPr>
  </w:style>
  <w:style w:type="character" w:customStyle="1" w:styleId="HTMLAddressChar">
    <w:name w:val="HTML Address Char"/>
    <w:basedOn w:val="DefaultParagraphFont"/>
    <w:link w:val="HTMLAddress"/>
    <w:uiPriority w:val="99"/>
    <w:semiHidden/>
    <w:rsid w:val="00F66A91"/>
    <w:rPr>
      <w:i/>
      <w:iCs/>
      <w:kern w:val="18"/>
    </w:rPr>
  </w:style>
  <w:style w:type="character" w:styleId="HTMLCite">
    <w:name w:val="HTML Cite"/>
    <w:basedOn w:val="DefaultParagraphFont"/>
    <w:uiPriority w:val="99"/>
    <w:semiHidden/>
    <w:unhideWhenUsed/>
    <w:rsid w:val="004C255D"/>
    <w:rPr>
      <w:i/>
      <w:iCs/>
    </w:rPr>
  </w:style>
  <w:style w:type="character" w:styleId="HTMLCode">
    <w:name w:val="HTML Code"/>
    <w:basedOn w:val="DefaultParagraphFont"/>
    <w:uiPriority w:val="99"/>
    <w:semiHidden/>
    <w:unhideWhenUsed/>
    <w:rsid w:val="004C255D"/>
    <w:rPr>
      <w:rFonts w:ascii="Consolas" w:hAnsi="Consolas"/>
      <w:sz w:val="20"/>
      <w:szCs w:val="20"/>
    </w:rPr>
  </w:style>
  <w:style w:type="character" w:styleId="HTMLDefinition">
    <w:name w:val="HTML Definition"/>
    <w:basedOn w:val="DefaultParagraphFont"/>
    <w:uiPriority w:val="99"/>
    <w:semiHidden/>
    <w:unhideWhenUsed/>
    <w:rsid w:val="004C255D"/>
    <w:rPr>
      <w:i/>
      <w:iCs/>
    </w:rPr>
  </w:style>
  <w:style w:type="character" w:styleId="HTMLKeyboard">
    <w:name w:val="HTML Keyboard"/>
    <w:basedOn w:val="DefaultParagraphFont"/>
    <w:uiPriority w:val="99"/>
    <w:semiHidden/>
    <w:unhideWhenUsed/>
    <w:rsid w:val="004C255D"/>
    <w:rPr>
      <w:rFonts w:ascii="Consolas" w:hAnsi="Consolas"/>
      <w:sz w:val="20"/>
      <w:szCs w:val="20"/>
    </w:rPr>
  </w:style>
  <w:style w:type="paragraph" w:styleId="HTMLPreformatted">
    <w:name w:val="HTML Preformatted"/>
    <w:basedOn w:val="Normal"/>
    <w:link w:val="HTMLPreformattedChar"/>
    <w:uiPriority w:val="99"/>
    <w:semiHidden/>
    <w:unhideWhenUsed/>
    <w:rsid w:val="004C255D"/>
    <w:pPr>
      <w:spacing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F66A91"/>
    <w:rPr>
      <w:rFonts w:ascii="Consolas" w:hAnsi="Consolas"/>
      <w:kern w:val="18"/>
      <w:sz w:val="20"/>
      <w:szCs w:val="20"/>
    </w:rPr>
  </w:style>
  <w:style w:type="character" w:styleId="HTMLSample">
    <w:name w:val="HTML Sample"/>
    <w:basedOn w:val="DefaultParagraphFont"/>
    <w:uiPriority w:val="99"/>
    <w:semiHidden/>
    <w:unhideWhenUsed/>
    <w:rsid w:val="004C255D"/>
    <w:rPr>
      <w:rFonts w:ascii="Consolas" w:hAnsi="Consolas"/>
      <w:sz w:val="24"/>
      <w:szCs w:val="24"/>
    </w:rPr>
  </w:style>
  <w:style w:type="character" w:styleId="HTMLTypewriter">
    <w:name w:val="HTML Typewriter"/>
    <w:basedOn w:val="DefaultParagraphFont"/>
    <w:uiPriority w:val="99"/>
    <w:semiHidden/>
    <w:unhideWhenUsed/>
    <w:rsid w:val="004C255D"/>
    <w:rPr>
      <w:rFonts w:ascii="Consolas" w:hAnsi="Consolas"/>
      <w:sz w:val="20"/>
      <w:szCs w:val="20"/>
    </w:rPr>
  </w:style>
  <w:style w:type="character" w:styleId="HTMLVariable">
    <w:name w:val="HTML Variable"/>
    <w:basedOn w:val="DefaultParagraphFont"/>
    <w:uiPriority w:val="99"/>
    <w:semiHidden/>
    <w:unhideWhenUsed/>
    <w:rsid w:val="004C255D"/>
    <w:rPr>
      <w:i/>
      <w:iCs/>
    </w:rPr>
  </w:style>
  <w:style w:type="paragraph" w:styleId="Index1">
    <w:name w:val="index 1"/>
    <w:basedOn w:val="Normal"/>
    <w:next w:val="Normal"/>
    <w:autoRedefine/>
    <w:uiPriority w:val="99"/>
    <w:semiHidden/>
    <w:unhideWhenUsed/>
    <w:rsid w:val="004C255D"/>
    <w:pPr>
      <w:tabs>
        <w:tab w:val="clear" w:pos="284"/>
      </w:tabs>
      <w:spacing w:line="240" w:lineRule="auto"/>
      <w:ind w:left="180" w:hanging="180"/>
    </w:pPr>
  </w:style>
  <w:style w:type="paragraph" w:styleId="Index2">
    <w:name w:val="index 2"/>
    <w:basedOn w:val="Normal"/>
    <w:next w:val="Normal"/>
    <w:autoRedefine/>
    <w:uiPriority w:val="99"/>
    <w:semiHidden/>
    <w:unhideWhenUsed/>
    <w:rsid w:val="004C255D"/>
    <w:pPr>
      <w:tabs>
        <w:tab w:val="clear" w:pos="284"/>
      </w:tabs>
      <w:spacing w:line="240" w:lineRule="auto"/>
      <w:ind w:left="360" w:hanging="180"/>
    </w:pPr>
  </w:style>
  <w:style w:type="paragraph" w:styleId="Index3">
    <w:name w:val="index 3"/>
    <w:basedOn w:val="Normal"/>
    <w:next w:val="Normal"/>
    <w:autoRedefine/>
    <w:uiPriority w:val="99"/>
    <w:semiHidden/>
    <w:unhideWhenUsed/>
    <w:rsid w:val="004C255D"/>
    <w:pPr>
      <w:tabs>
        <w:tab w:val="clear" w:pos="284"/>
      </w:tabs>
      <w:spacing w:line="240" w:lineRule="auto"/>
      <w:ind w:left="540" w:hanging="180"/>
    </w:pPr>
  </w:style>
  <w:style w:type="paragraph" w:styleId="Index4">
    <w:name w:val="index 4"/>
    <w:basedOn w:val="Normal"/>
    <w:next w:val="Normal"/>
    <w:autoRedefine/>
    <w:uiPriority w:val="99"/>
    <w:semiHidden/>
    <w:unhideWhenUsed/>
    <w:rsid w:val="004C255D"/>
    <w:pPr>
      <w:tabs>
        <w:tab w:val="clear" w:pos="284"/>
      </w:tabs>
      <w:spacing w:line="240" w:lineRule="auto"/>
      <w:ind w:left="720" w:hanging="180"/>
    </w:pPr>
  </w:style>
  <w:style w:type="paragraph" w:styleId="Index5">
    <w:name w:val="index 5"/>
    <w:basedOn w:val="Normal"/>
    <w:next w:val="Normal"/>
    <w:autoRedefine/>
    <w:uiPriority w:val="99"/>
    <w:semiHidden/>
    <w:unhideWhenUsed/>
    <w:rsid w:val="004C255D"/>
    <w:pPr>
      <w:tabs>
        <w:tab w:val="clear" w:pos="284"/>
      </w:tabs>
      <w:spacing w:line="240" w:lineRule="auto"/>
      <w:ind w:left="900" w:hanging="180"/>
    </w:pPr>
  </w:style>
  <w:style w:type="paragraph" w:styleId="Index6">
    <w:name w:val="index 6"/>
    <w:basedOn w:val="Normal"/>
    <w:next w:val="Normal"/>
    <w:autoRedefine/>
    <w:uiPriority w:val="99"/>
    <w:semiHidden/>
    <w:unhideWhenUsed/>
    <w:rsid w:val="004C255D"/>
    <w:pPr>
      <w:tabs>
        <w:tab w:val="clear" w:pos="284"/>
      </w:tabs>
      <w:spacing w:line="240" w:lineRule="auto"/>
      <w:ind w:left="1080" w:hanging="180"/>
    </w:pPr>
  </w:style>
  <w:style w:type="paragraph" w:styleId="Index7">
    <w:name w:val="index 7"/>
    <w:basedOn w:val="Normal"/>
    <w:next w:val="Normal"/>
    <w:autoRedefine/>
    <w:uiPriority w:val="99"/>
    <w:semiHidden/>
    <w:unhideWhenUsed/>
    <w:rsid w:val="004C255D"/>
    <w:pPr>
      <w:tabs>
        <w:tab w:val="clear" w:pos="284"/>
      </w:tabs>
      <w:spacing w:line="240" w:lineRule="auto"/>
      <w:ind w:left="1260" w:hanging="180"/>
    </w:pPr>
  </w:style>
  <w:style w:type="paragraph" w:styleId="Index8">
    <w:name w:val="index 8"/>
    <w:basedOn w:val="Normal"/>
    <w:next w:val="Normal"/>
    <w:autoRedefine/>
    <w:uiPriority w:val="99"/>
    <w:semiHidden/>
    <w:unhideWhenUsed/>
    <w:rsid w:val="004C255D"/>
    <w:pPr>
      <w:tabs>
        <w:tab w:val="clear" w:pos="284"/>
      </w:tabs>
      <w:spacing w:line="240" w:lineRule="auto"/>
      <w:ind w:left="1440" w:hanging="180"/>
    </w:pPr>
  </w:style>
  <w:style w:type="paragraph" w:styleId="Index9">
    <w:name w:val="index 9"/>
    <w:basedOn w:val="Normal"/>
    <w:next w:val="Normal"/>
    <w:autoRedefine/>
    <w:uiPriority w:val="99"/>
    <w:semiHidden/>
    <w:unhideWhenUsed/>
    <w:rsid w:val="004C255D"/>
    <w:pPr>
      <w:tabs>
        <w:tab w:val="clear" w:pos="284"/>
      </w:tabs>
      <w:spacing w:line="240" w:lineRule="auto"/>
      <w:ind w:left="1620" w:hanging="180"/>
    </w:pPr>
  </w:style>
  <w:style w:type="paragraph" w:styleId="IndexHeading">
    <w:name w:val="index heading"/>
    <w:basedOn w:val="Normal"/>
    <w:next w:val="Index1"/>
    <w:uiPriority w:val="99"/>
    <w:semiHidden/>
    <w:unhideWhenUsed/>
    <w:rsid w:val="004C255D"/>
    <w:rPr>
      <w:rFonts w:asciiTheme="majorHAnsi" w:eastAsiaTheme="majorEastAsia" w:hAnsiTheme="majorHAnsi" w:cstheme="majorBidi"/>
      <w:b/>
      <w:bCs/>
    </w:rPr>
  </w:style>
  <w:style w:type="character" w:styleId="IntenseEmphasis">
    <w:name w:val="Intense Emphasis"/>
    <w:basedOn w:val="DefaultParagraphFont"/>
    <w:uiPriority w:val="21"/>
    <w:semiHidden/>
    <w:unhideWhenUsed/>
    <w:rsid w:val="004C255D"/>
    <w:rPr>
      <w:b/>
      <w:bCs/>
      <w:i/>
      <w:iCs/>
      <w:color w:val="008768" w:themeColor="accent1"/>
    </w:rPr>
  </w:style>
  <w:style w:type="paragraph" w:styleId="IntenseQuote">
    <w:name w:val="Intense Quote"/>
    <w:basedOn w:val="Normal"/>
    <w:next w:val="Normal"/>
    <w:link w:val="IntenseQuoteChar"/>
    <w:uiPriority w:val="30"/>
    <w:semiHidden/>
    <w:unhideWhenUsed/>
    <w:rsid w:val="004C255D"/>
    <w:pPr>
      <w:pBdr>
        <w:bottom w:val="single" w:sz="4" w:space="4" w:color="008768" w:themeColor="accent1"/>
      </w:pBdr>
      <w:spacing w:before="200" w:after="280"/>
      <w:ind w:left="936" w:right="936"/>
    </w:pPr>
    <w:rPr>
      <w:b/>
      <w:bCs/>
      <w:i/>
      <w:iCs/>
      <w:color w:val="008768" w:themeColor="accent1"/>
    </w:rPr>
  </w:style>
  <w:style w:type="character" w:customStyle="1" w:styleId="IntenseQuoteChar">
    <w:name w:val="Intense Quote Char"/>
    <w:basedOn w:val="DefaultParagraphFont"/>
    <w:link w:val="IntenseQuote"/>
    <w:uiPriority w:val="30"/>
    <w:semiHidden/>
    <w:rsid w:val="00F66A91"/>
    <w:rPr>
      <w:b/>
      <w:bCs/>
      <w:i/>
      <w:iCs/>
      <w:color w:val="008768" w:themeColor="accent1"/>
      <w:kern w:val="18"/>
    </w:rPr>
  </w:style>
  <w:style w:type="character" w:styleId="IntenseReference">
    <w:name w:val="Intense Reference"/>
    <w:basedOn w:val="DefaultParagraphFont"/>
    <w:uiPriority w:val="32"/>
    <w:semiHidden/>
    <w:unhideWhenUsed/>
    <w:rsid w:val="004C255D"/>
    <w:rPr>
      <w:b/>
      <w:bCs/>
      <w:smallCaps/>
      <w:color w:val="00353E" w:themeColor="accent2"/>
      <w:spacing w:val="5"/>
      <w:u w:val="single"/>
    </w:rPr>
  </w:style>
  <w:style w:type="character" w:styleId="LineNumber">
    <w:name w:val="line number"/>
    <w:basedOn w:val="DefaultParagraphFont"/>
    <w:uiPriority w:val="99"/>
    <w:semiHidden/>
    <w:unhideWhenUsed/>
    <w:rsid w:val="004C255D"/>
  </w:style>
  <w:style w:type="paragraph" w:styleId="List">
    <w:name w:val="List"/>
    <w:basedOn w:val="Normal"/>
    <w:uiPriority w:val="99"/>
    <w:semiHidden/>
    <w:unhideWhenUsed/>
    <w:rsid w:val="004C255D"/>
    <w:pPr>
      <w:ind w:left="283" w:hanging="283"/>
      <w:contextualSpacing/>
    </w:pPr>
  </w:style>
  <w:style w:type="paragraph" w:styleId="List2">
    <w:name w:val="List 2"/>
    <w:basedOn w:val="Normal"/>
    <w:uiPriority w:val="99"/>
    <w:semiHidden/>
    <w:unhideWhenUsed/>
    <w:rsid w:val="004C255D"/>
    <w:pPr>
      <w:ind w:left="566" w:hanging="283"/>
      <w:contextualSpacing/>
    </w:pPr>
  </w:style>
  <w:style w:type="paragraph" w:styleId="List3">
    <w:name w:val="List 3"/>
    <w:basedOn w:val="Normal"/>
    <w:uiPriority w:val="99"/>
    <w:semiHidden/>
    <w:unhideWhenUsed/>
    <w:rsid w:val="004C255D"/>
    <w:pPr>
      <w:ind w:left="849" w:hanging="283"/>
      <w:contextualSpacing/>
    </w:pPr>
  </w:style>
  <w:style w:type="paragraph" w:styleId="List4">
    <w:name w:val="List 4"/>
    <w:basedOn w:val="Normal"/>
    <w:uiPriority w:val="99"/>
    <w:semiHidden/>
    <w:unhideWhenUsed/>
    <w:rsid w:val="004C255D"/>
    <w:pPr>
      <w:ind w:left="1132" w:hanging="283"/>
      <w:contextualSpacing/>
    </w:pPr>
  </w:style>
  <w:style w:type="paragraph" w:styleId="List5">
    <w:name w:val="List 5"/>
    <w:basedOn w:val="Normal"/>
    <w:uiPriority w:val="99"/>
    <w:semiHidden/>
    <w:unhideWhenUsed/>
    <w:rsid w:val="004C255D"/>
    <w:pPr>
      <w:ind w:left="1415" w:hanging="283"/>
      <w:contextualSpacing/>
    </w:pPr>
  </w:style>
  <w:style w:type="paragraph" w:styleId="ListBullet4">
    <w:name w:val="List Bullet 4"/>
    <w:basedOn w:val="Normal"/>
    <w:uiPriority w:val="99"/>
    <w:semiHidden/>
    <w:unhideWhenUsed/>
    <w:rsid w:val="004C255D"/>
    <w:pPr>
      <w:numPr>
        <w:numId w:val="7"/>
      </w:numPr>
      <w:tabs>
        <w:tab w:val="clear" w:pos="1209"/>
      </w:tabs>
      <w:ind w:left="360"/>
      <w:contextualSpacing/>
    </w:pPr>
  </w:style>
  <w:style w:type="paragraph" w:styleId="ListBullet5">
    <w:name w:val="List Bullet 5"/>
    <w:basedOn w:val="Normal"/>
    <w:uiPriority w:val="99"/>
    <w:semiHidden/>
    <w:unhideWhenUsed/>
    <w:rsid w:val="004C255D"/>
    <w:pPr>
      <w:numPr>
        <w:numId w:val="8"/>
      </w:numPr>
      <w:tabs>
        <w:tab w:val="clear" w:pos="1492"/>
      </w:tabs>
      <w:ind w:left="0" w:firstLine="0"/>
      <w:contextualSpacing/>
    </w:pPr>
  </w:style>
  <w:style w:type="paragraph" w:styleId="ListContinue">
    <w:name w:val="List Continue"/>
    <w:basedOn w:val="Normal"/>
    <w:uiPriority w:val="99"/>
    <w:semiHidden/>
    <w:unhideWhenUsed/>
    <w:rsid w:val="004C255D"/>
    <w:pPr>
      <w:spacing w:after="120"/>
      <w:ind w:left="283"/>
      <w:contextualSpacing/>
    </w:pPr>
  </w:style>
  <w:style w:type="paragraph" w:styleId="ListContinue2">
    <w:name w:val="List Continue 2"/>
    <w:basedOn w:val="Normal"/>
    <w:uiPriority w:val="99"/>
    <w:semiHidden/>
    <w:unhideWhenUsed/>
    <w:rsid w:val="004C255D"/>
    <w:pPr>
      <w:spacing w:after="120"/>
      <w:ind w:left="566"/>
      <w:contextualSpacing/>
    </w:pPr>
  </w:style>
  <w:style w:type="paragraph" w:styleId="ListContinue3">
    <w:name w:val="List Continue 3"/>
    <w:basedOn w:val="Normal"/>
    <w:uiPriority w:val="99"/>
    <w:semiHidden/>
    <w:unhideWhenUsed/>
    <w:rsid w:val="004C255D"/>
    <w:pPr>
      <w:spacing w:after="120"/>
      <w:ind w:left="849"/>
      <w:contextualSpacing/>
    </w:pPr>
  </w:style>
  <w:style w:type="paragraph" w:styleId="ListContinue4">
    <w:name w:val="List Continue 4"/>
    <w:basedOn w:val="Normal"/>
    <w:uiPriority w:val="99"/>
    <w:semiHidden/>
    <w:unhideWhenUsed/>
    <w:rsid w:val="004C255D"/>
    <w:pPr>
      <w:spacing w:after="120"/>
      <w:ind w:left="1132"/>
      <w:contextualSpacing/>
    </w:pPr>
  </w:style>
  <w:style w:type="paragraph" w:styleId="ListContinue5">
    <w:name w:val="List Continue 5"/>
    <w:basedOn w:val="Normal"/>
    <w:uiPriority w:val="99"/>
    <w:semiHidden/>
    <w:unhideWhenUsed/>
    <w:rsid w:val="004C255D"/>
    <w:pPr>
      <w:spacing w:after="120"/>
      <w:ind w:left="1415"/>
      <w:contextualSpacing/>
    </w:pPr>
  </w:style>
  <w:style w:type="paragraph" w:styleId="ListNumber4">
    <w:name w:val="List Number 4"/>
    <w:basedOn w:val="Normal"/>
    <w:uiPriority w:val="99"/>
    <w:semiHidden/>
    <w:unhideWhenUsed/>
    <w:rsid w:val="004C255D"/>
    <w:pPr>
      <w:numPr>
        <w:numId w:val="9"/>
      </w:numPr>
      <w:tabs>
        <w:tab w:val="clear" w:pos="1209"/>
        <w:tab w:val="num" w:pos="425"/>
      </w:tabs>
      <w:ind w:left="425" w:hanging="425"/>
      <w:contextualSpacing/>
    </w:pPr>
  </w:style>
  <w:style w:type="paragraph" w:styleId="ListNumber5">
    <w:name w:val="List Number 5"/>
    <w:basedOn w:val="Normal"/>
    <w:uiPriority w:val="99"/>
    <w:semiHidden/>
    <w:unhideWhenUsed/>
    <w:rsid w:val="004C255D"/>
    <w:pPr>
      <w:numPr>
        <w:numId w:val="10"/>
      </w:numPr>
      <w:tabs>
        <w:tab w:val="clear" w:pos="1492"/>
      </w:tabs>
      <w:ind w:left="425" w:hanging="425"/>
      <w:contextualSpacing/>
    </w:pPr>
  </w:style>
  <w:style w:type="paragraph" w:styleId="ListParagraph">
    <w:name w:val="List Paragraph"/>
    <w:basedOn w:val="Normal"/>
    <w:uiPriority w:val="34"/>
    <w:semiHidden/>
    <w:unhideWhenUsed/>
    <w:rsid w:val="004C255D"/>
    <w:pPr>
      <w:ind w:left="720"/>
      <w:contextualSpacing/>
    </w:pPr>
  </w:style>
  <w:style w:type="paragraph" w:styleId="MacroText">
    <w:name w:val="macro"/>
    <w:link w:val="MacroTextChar"/>
    <w:uiPriority w:val="99"/>
    <w:semiHidden/>
    <w:unhideWhenUsed/>
    <w:rsid w:val="004C255D"/>
    <w:pPr>
      <w:tabs>
        <w:tab w:val="left" w:pos="480"/>
        <w:tab w:val="left" w:pos="960"/>
        <w:tab w:val="left" w:pos="1440"/>
        <w:tab w:val="left" w:pos="1920"/>
        <w:tab w:val="left" w:pos="2400"/>
        <w:tab w:val="left" w:pos="2880"/>
        <w:tab w:val="left" w:pos="3360"/>
        <w:tab w:val="left" w:pos="3840"/>
        <w:tab w:val="left" w:pos="4320"/>
      </w:tabs>
      <w:spacing w:line="240" w:lineRule="atLeast"/>
    </w:pPr>
    <w:rPr>
      <w:rFonts w:ascii="Consolas" w:hAnsi="Consolas"/>
      <w:sz w:val="20"/>
      <w:szCs w:val="20"/>
    </w:rPr>
  </w:style>
  <w:style w:type="character" w:customStyle="1" w:styleId="MacroTextChar">
    <w:name w:val="Macro Text Char"/>
    <w:basedOn w:val="DefaultParagraphFont"/>
    <w:link w:val="MacroText"/>
    <w:uiPriority w:val="99"/>
    <w:semiHidden/>
    <w:rsid w:val="00F66A91"/>
    <w:rPr>
      <w:rFonts w:ascii="Consolas" w:hAnsi="Consolas"/>
      <w:sz w:val="20"/>
      <w:szCs w:val="20"/>
    </w:rPr>
  </w:style>
  <w:style w:type="paragraph" w:styleId="MessageHeader">
    <w:name w:val="Message Header"/>
    <w:basedOn w:val="Normal"/>
    <w:link w:val="MessageHeaderChar"/>
    <w:uiPriority w:val="99"/>
    <w:semiHidden/>
    <w:unhideWhenUsed/>
    <w:rsid w:val="004C255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F66A91"/>
    <w:rPr>
      <w:rFonts w:asciiTheme="majorHAnsi" w:eastAsiaTheme="majorEastAsia" w:hAnsiTheme="majorHAnsi" w:cstheme="majorBidi"/>
      <w:kern w:val="18"/>
      <w:sz w:val="24"/>
      <w:szCs w:val="24"/>
      <w:shd w:val="pct20" w:color="auto" w:fill="auto"/>
    </w:rPr>
  </w:style>
  <w:style w:type="paragraph" w:styleId="NoSpacing">
    <w:name w:val="No Spacing"/>
    <w:uiPriority w:val="1"/>
    <w:semiHidden/>
    <w:unhideWhenUsed/>
    <w:rsid w:val="004C255D"/>
    <w:pPr>
      <w:tabs>
        <w:tab w:val="left" w:pos="284"/>
      </w:tabs>
    </w:pPr>
  </w:style>
  <w:style w:type="paragraph" w:styleId="NormalWeb">
    <w:name w:val="Normal (Web)"/>
    <w:basedOn w:val="Normal"/>
    <w:uiPriority w:val="99"/>
    <w:semiHidden/>
    <w:unhideWhenUsed/>
    <w:rsid w:val="004C255D"/>
    <w:rPr>
      <w:rFonts w:ascii="Times New Roman" w:hAnsi="Times New Roman" w:cs="Times New Roman"/>
      <w:sz w:val="24"/>
      <w:szCs w:val="24"/>
    </w:rPr>
  </w:style>
  <w:style w:type="paragraph" w:styleId="NormalIndent">
    <w:name w:val="Normal Indent"/>
    <w:basedOn w:val="Normal"/>
    <w:uiPriority w:val="99"/>
    <w:semiHidden/>
    <w:unhideWhenUsed/>
    <w:rsid w:val="004C255D"/>
    <w:pPr>
      <w:ind w:left="720"/>
    </w:pPr>
  </w:style>
  <w:style w:type="paragraph" w:styleId="NoteHeading">
    <w:name w:val="Note Heading"/>
    <w:basedOn w:val="Normal"/>
    <w:next w:val="Normal"/>
    <w:link w:val="NoteHeadingChar"/>
    <w:uiPriority w:val="99"/>
    <w:semiHidden/>
    <w:unhideWhenUsed/>
    <w:rsid w:val="004C255D"/>
    <w:pPr>
      <w:spacing w:line="240" w:lineRule="auto"/>
    </w:pPr>
  </w:style>
  <w:style w:type="character" w:customStyle="1" w:styleId="NoteHeadingChar">
    <w:name w:val="Note Heading Char"/>
    <w:basedOn w:val="DefaultParagraphFont"/>
    <w:link w:val="NoteHeading"/>
    <w:uiPriority w:val="99"/>
    <w:semiHidden/>
    <w:rsid w:val="00F66A91"/>
    <w:rPr>
      <w:kern w:val="18"/>
    </w:rPr>
  </w:style>
  <w:style w:type="character" w:styleId="PageNumber">
    <w:name w:val="page number"/>
    <w:basedOn w:val="DefaultParagraphFont"/>
    <w:uiPriority w:val="99"/>
    <w:semiHidden/>
    <w:unhideWhenUsed/>
    <w:rsid w:val="004C255D"/>
  </w:style>
  <w:style w:type="character" w:styleId="PlaceholderText">
    <w:name w:val="Placeholder Text"/>
    <w:basedOn w:val="DefaultParagraphFont"/>
    <w:uiPriority w:val="99"/>
    <w:semiHidden/>
    <w:unhideWhenUsed/>
    <w:rsid w:val="004C255D"/>
    <w:rPr>
      <w:color w:val="808080"/>
    </w:rPr>
  </w:style>
  <w:style w:type="paragraph" w:styleId="PlainText">
    <w:name w:val="Plain Text"/>
    <w:basedOn w:val="Normal"/>
    <w:link w:val="PlainTextChar"/>
    <w:uiPriority w:val="99"/>
    <w:semiHidden/>
    <w:unhideWhenUsed/>
    <w:rsid w:val="004C255D"/>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F66A91"/>
    <w:rPr>
      <w:rFonts w:ascii="Consolas" w:hAnsi="Consolas"/>
      <w:kern w:val="18"/>
      <w:sz w:val="21"/>
      <w:szCs w:val="21"/>
    </w:rPr>
  </w:style>
  <w:style w:type="paragraph" w:styleId="Salutation">
    <w:name w:val="Salutation"/>
    <w:basedOn w:val="Normal"/>
    <w:next w:val="Normal"/>
    <w:link w:val="SalutationChar"/>
    <w:uiPriority w:val="99"/>
    <w:semiHidden/>
    <w:unhideWhenUsed/>
    <w:rsid w:val="004C255D"/>
  </w:style>
  <w:style w:type="character" w:customStyle="1" w:styleId="SalutationChar">
    <w:name w:val="Salutation Char"/>
    <w:basedOn w:val="DefaultParagraphFont"/>
    <w:link w:val="Salutation"/>
    <w:uiPriority w:val="99"/>
    <w:semiHidden/>
    <w:rsid w:val="00F66A91"/>
    <w:rPr>
      <w:kern w:val="18"/>
    </w:rPr>
  </w:style>
  <w:style w:type="paragraph" w:styleId="Signature">
    <w:name w:val="Signature"/>
    <w:basedOn w:val="Normal"/>
    <w:link w:val="SignatureChar"/>
    <w:uiPriority w:val="99"/>
    <w:semiHidden/>
    <w:unhideWhenUsed/>
    <w:rsid w:val="004C255D"/>
    <w:pPr>
      <w:spacing w:line="240" w:lineRule="auto"/>
      <w:ind w:left="4252"/>
    </w:pPr>
  </w:style>
  <w:style w:type="character" w:customStyle="1" w:styleId="SignatureChar">
    <w:name w:val="Signature Char"/>
    <w:basedOn w:val="DefaultParagraphFont"/>
    <w:link w:val="Signature"/>
    <w:uiPriority w:val="99"/>
    <w:semiHidden/>
    <w:rsid w:val="00F66A91"/>
    <w:rPr>
      <w:kern w:val="18"/>
    </w:rPr>
  </w:style>
  <w:style w:type="character" w:styleId="SubtleEmphasis">
    <w:name w:val="Subtle Emphasis"/>
    <w:basedOn w:val="DefaultParagraphFont"/>
    <w:uiPriority w:val="19"/>
    <w:semiHidden/>
    <w:unhideWhenUsed/>
    <w:rsid w:val="004C255D"/>
    <w:rPr>
      <w:i/>
      <w:iCs/>
      <w:color w:val="808080" w:themeColor="text1" w:themeTint="7F"/>
    </w:rPr>
  </w:style>
  <w:style w:type="character" w:styleId="SubtleReference">
    <w:name w:val="Subtle Reference"/>
    <w:basedOn w:val="DefaultParagraphFont"/>
    <w:uiPriority w:val="31"/>
    <w:semiHidden/>
    <w:unhideWhenUsed/>
    <w:rsid w:val="004C255D"/>
    <w:rPr>
      <w:smallCaps/>
      <w:color w:val="00353E" w:themeColor="accent2"/>
      <w:u w:val="single"/>
    </w:rPr>
  </w:style>
  <w:style w:type="paragraph" w:styleId="TableofAuthorities">
    <w:name w:val="table of authorities"/>
    <w:basedOn w:val="Normal"/>
    <w:next w:val="Normal"/>
    <w:uiPriority w:val="99"/>
    <w:semiHidden/>
    <w:unhideWhenUsed/>
    <w:rsid w:val="004C255D"/>
    <w:pPr>
      <w:tabs>
        <w:tab w:val="clear" w:pos="284"/>
      </w:tabs>
      <w:ind w:left="180" w:hanging="180"/>
    </w:pPr>
  </w:style>
  <w:style w:type="paragraph" w:styleId="TOAHeading">
    <w:name w:val="toa heading"/>
    <w:basedOn w:val="Normal"/>
    <w:next w:val="Normal"/>
    <w:uiPriority w:val="99"/>
    <w:semiHidden/>
    <w:unhideWhenUsed/>
    <w:rsid w:val="004C255D"/>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uiPriority w:val="39"/>
    <w:unhideWhenUsed/>
    <w:rsid w:val="003964F2"/>
    <w:pPr>
      <w:tabs>
        <w:tab w:val="clear" w:pos="284"/>
        <w:tab w:val="right" w:leader="dot" w:pos="9354"/>
      </w:tabs>
      <w:spacing w:after="40"/>
      <w:ind w:left="1134" w:hanging="567"/>
    </w:pPr>
  </w:style>
  <w:style w:type="paragraph" w:styleId="TOC5">
    <w:name w:val="toc 5"/>
    <w:basedOn w:val="Normal"/>
    <w:next w:val="Normal"/>
    <w:autoRedefine/>
    <w:uiPriority w:val="39"/>
    <w:semiHidden/>
    <w:unhideWhenUsed/>
    <w:rsid w:val="004C255D"/>
    <w:pPr>
      <w:tabs>
        <w:tab w:val="clear" w:pos="284"/>
      </w:tabs>
      <w:spacing w:after="100"/>
      <w:ind w:left="720"/>
    </w:pPr>
  </w:style>
  <w:style w:type="paragraph" w:styleId="TOC6">
    <w:name w:val="toc 6"/>
    <w:basedOn w:val="Normal"/>
    <w:next w:val="Normal"/>
    <w:autoRedefine/>
    <w:uiPriority w:val="39"/>
    <w:semiHidden/>
    <w:unhideWhenUsed/>
    <w:rsid w:val="004C255D"/>
    <w:pPr>
      <w:tabs>
        <w:tab w:val="clear" w:pos="284"/>
      </w:tabs>
      <w:spacing w:after="100"/>
      <w:ind w:left="900"/>
    </w:pPr>
  </w:style>
  <w:style w:type="paragraph" w:styleId="TOC7">
    <w:name w:val="toc 7"/>
    <w:basedOn w:val="Normal"/>
    <w:next w:val="Normal"/>
    <w:autoRedefine/>
    <w:uiPriority w:val="39"/>
    <w:semiHidden/>
    <w:unhideWhenUsed/>
    <w:rsid w:val="004C255D"/>
    <w:pPr>
      <w:tabs>
        <w:tab w:val="clear" w:pos="284"/>
      </w:tabs>
      <w:spacing w:after="100"/>
      <w:ind w:left="1080"/>
    </w:pPr>
  </w:style>
  <w:style w:type="paragraph" w:styleId="TOC8">
    <w:name w:val="toc 8"/>
    <w:basedOn w:val="Normal"/>
    <w:next w:val="Normal"/>
    <w:autoRedefine/>
    <w:uiPriority w:val="39"/>
    <w:semiHidden/>
    <w:unhideWhenUsed/>
    <w:rsid w:val="004C255D"/>
    <w:pPr>
      <w:tabs>
        <w:tab w:val="clear" w:pos="284"/>
      </w:tabs>
      <w:spacing w:after="100"/>
      <w:ind w:left="1260"/>
    </w:pPr>
  </w:style>
  <w:style w:type="paragraph" w:styleId="TOC9">
    <w:name w:val="toc 9"/>
    <w:basedOn w:val="Normal"/>
    <w:next w:val="Normal"/>
    <w:autoRedefine/>
    <w:uiPriority w:val="39"/>
    <w:semiHidden/>
    <w:unhideWhenUsed/>
    <w:rsid w:val="004C255D"/>
    <w:pPr>
      <w:tabs>
        <w:tab w:val="clear" w:pos="284"/>
      </w:tabs>
      <w:spacing w:after="100"/>
      <w:ind w:left="1440"/>
    </w:pPr>
  </w:style>
  <w:style w:type="paragraph" w:customStyle="1" w:styleId="CVHeading">
    <w:name w:val="CV Heading"/>
    <w:basedOn w:val="BodyText"/>
    <w:uiPriority w:val="24"/>
    <w:qFormat/>
    <w:rsid w:val="004C255D"/>
    <w:rPr>
      <w:rFonts w:asciiTheme="majorHAnsi" w:hAnsiTheme="majorHAnsi"/>
      <w:b/>
      <w:sz w:val="24"/>
    </w:rPr>
  </w:style>
  <w:style w:type="paragraph" w:customStyle="1" w:styleId="CVIntroduction">
    <w:name w:val="CV Introduction"/>
    <w:basedOn w:val="BodyText"/>
    <w:uiPriority w:val="23"/>
    <w:qFormat/>
    <w:rsid w:val="004C255D"/>
    <w:pPr>
      <w:pBdr>
        <w:top w:val="single" w:sz="4" w:space="6" w:color="auto"/>
        <w:bottom w:val="single" w:sz="4" w:space="6" w:color="auto"/>
      </w:pBdr>
    </w:pPr>
    <w:rPr>
      <w:sz w:val="28"/>
    </w:rPr>
  </w:style>
  <w:style w:type="paragraph" w:customStyle="1" w:styleId="CVTitle">
    <w:name w:val="CV Title"/>
    <w:basedOn w:val="Normal"/>
    <w:uiPriority w:val="1"/>
    <w:semiHidden/>
    <w:unhideWhenUsed/>
    <w:rsid w:val="004C255D"/>
    <w:pPr>
      <w:tabs>
        <w:tab w:val="clear" w:pos="284"/>
      </w:tabs>
    </w:pPr>
    <w:rPr>
      <w:rFonts w:asciiTheme="majorHAnsi" w:hAnsiTheme="majorHAnsi"/>
      <w:color w:val="000000" w:themeColor="text1"/>
      <w:sz w:val="32"/>
    </w:rPr>
  </w:style>
  <w:style w:type="table" w:customStyle="1" w:styleId="Tablenoborders">
    <w:name w:val="Table no borders"/>
    <w:basedOn w:val="TableNormal"/>
    <w:uiPriority w:val="99"/>
    <w:semiHidden/>
    <w:unhideWhenUsed/>
    <w:rsid w:val="00C314D3"/>
    <w:tblPr>
      <w:tblCellMar>
        <w:left w:w="0" w:type="dxa"/>
        <w:right w:w="0" w:type="dxa"/>
      </w:tblCellMar>
    </w:tblPr>
  </w:style>
  <w:style w:type="numbering" w:customStyle="1" w:styleId="AECOMTableBullets">
    <w:name w:val="AECOM Table Bullets"/>
    <w:uiPriority w:val="99"/>
    <w:semiHidden/>
    <w:unhideWhenUsed/>
    <w:rsid w:val="002740A7"/>
    <w:pPr>
      <w:numPr>
        <w:numId w:val="11"/>
      </w:numPr>
    </w:pPr>
  </w:style>
  <w:style w:type="numbering" w:customStyle="1" w:styleId="AECOMTableNumbering">
    <w:name w:val="AECOM Table Numbering"/>
    <w:uiPriority w:val="99"/>
    <w:semiHidden/>
    <w:unhideWhenUsed/>
    <w:rsid w:val="002740A7"/>
    <w:pPr>
      <w:numPr>
        <w:numId w:val="15"/>
      </w:numPr>
    </w:pPr>
  </w:style>
  <w:style w:type="paragraph" w:customStyle="1" w:styleId="TableListBullet">
    <w:name w:val="Table List Bullet"/>
    <w:basedOn w:val="Normal"/>
    <w:uiPriority w:val="16"/>
    <w:qFormat/>
    <w:rsid w:val="002740A7"/>
    <w:pPr>
      <w:numPr>
        <w:numId w:val="16"/>
      </w:numPr>
      <w:tabs>
        <w:tab w:val="clear" w:pos="284"/>
      </w:tabs>
      <w:spacing w:after="40" w:line="240" w:lineRule="auto"/>
    </w:pPr>
    <w:rPr>
      <w:sz w:val="16"/>
    </w:rPr>
  </w:style>
  <w:style w:type="paragraph" w:customStyle="1" w:styleId="TableListBullet2">
    <w:name w:val="Table List Bullet 2"/>
    <w:basedOn w:val="Normal"/>
    <w:uiPriority w:val="17"/>
    <w:qFormat/>
    <w:rsid w:val="002740A7"/>
    <w:pPr>
      <w:numPr>
        <w:ilvl w:val="1"/>
        <w:numId w:val="16"/>
      </w:numPr>
      <w:tabs>
        <w:tab w:val="clear" w:pos="284"/>
      </w:tabs>
      <w:spacing w:after="40" w:line="240" w:lineRule="auto"/>
    </w:pPr>
    <w:rPr>
      <w:sz w:val="16"/>
    </w:rPr>
  </w:style>
  <w:style w:type="paragraph" w:customStyle="1" w:styleId="TableListBullet3">
    <w:name w:val="Table List Bullet 3"/>
    <w:basedOn w:val="Normal"/>
    <w:uiPriority w:val="18"/>
    <w:qFormat/>
    <w:rsid w:val="002740A7"/>
    <w:pPr>
      <w:numPr>
        <w:ilvl w:val="2"/>
        <w:numId w:val="16"/>
      </w:numPr>
      <w:tabs>
        <w:tab w:val="clear" w:pos="284"/>
      </w:tabs>
      <w:spacing w:after="40" w:line="240" w:lineRule="auto"/>
    </w:pPr>
    <w:rPr>
      <w:sz w:val="16"/>
    </w:rPr>
  </w:style>
  <w:style w:type="paragraph" w:customStyle="1" w:styleId="TableListNumber">
    <w:name w:val="Table List Number"/>
    <w:basedOn w:val="BodyText"/>
    <w:uiPriority w:val="19"/>
    <w:qFormat/>
    <w:rsid w:val="002740A7"/>
    <w:pPr>
      <w:numPr>
        <w:numId w:val="15"/>
      </w:numPr>
      <w:spacing w:after="40" w:line="240" w:lineRule="auto"/>
    </w:pPr>
    <w:rPr>
      <w:sz w:val="16"/>
    </w:rPr>
  </w:style>
  <w:style w:type="paragraph" w:customStyle="1" w:styleId="TableListNumber2">
    <w:name w:val="Table List Number 2"/>
    <w:basedOn w:val="Normal"/>
    <w:uiPriority w:val="20"/>
    <w:qFormat/>
    <w:rsid w:val="002740A7"/>
    <w:pPr>
      <w:numPr>
        <w:ilvl w:val="1"/>
        <w:numId w:val="15"/>
      </w:numPr>
      <w:tabs>
        <w:tab w:val="clear" w:pos="284"/>
      </w:tabs>
      <w:spacing w:after="40" w:line="240" w:lineRule="auto"/>
    </w:pPr>
    <w:rPr>
      <w:sz w:val="16"/>
    </w:rPr>
  </w:style>
  <w:style w:type="paragraph" w:customStyle="1" w:styleId="TableListNumber3">
    <w:name w:val="Table List Number 3"/>
    <w:basedOn w:val="Normal"/>
    <w:uiPriority w:val="21"/>
    <w:qFormat/>
    <w:rsid w:val="002740A7"/>
    <w:pPr>
      <w:numPr>
        <w:ilvl w:val="2"/>
        <w:numId w:val="15"/>
      </w:numPr>
      <w:tabs>
        <w:tab w:val="clear" w:pos="284"/>
      </w:tabs>
      <w:spacing w:after="40" w:line="240" w:lineRule="auto"/>
    </w:pPr>
    <w:rPr>
      <w:sz w:val="16"/>
    </w:rPr>
  </w:style>
  <w:style w:type="paragraph" w:customStyle="1" w:styleId="Tabletext">
    <w:name w:val="Table text"/>
    <w:basedOn w:val="BodyText"/>
    <w:link w:val="TabletextChar"/>
    <w:uiPriority w:val="1"/>
    <w:qFormat/>
    <w:rsid w:val="002C5B28"/>
    <w:pPr>
      <w:spacing w:before="40" w:after="40" w:line="240" w:lineRule="auto"/>
    </w:pPr>
    <w:rPr>
      <w:sz w:val="18"/>
    </w:rPr>
  </w:style>
  <w:style w:type="paragraph" w:customStyle="1" w:styleId="Callout">
    <w:name w:val="Callout"/>
    <w:basedOn w:val="BodyText"/>
    <w:uiPriority w:val="1"/>
    <w:semiHidden/>
    <w:unhideWhenUsed/>
    <w:rsid w:val="00F352C7"/>
    <w:pPr>
      <w:spacing w:after="60"/>
    </w:pPr>
  </w:style>
  <w:style w:type="paragraph" w:customStyle="1" w:styleId="SQL">
    <w:name w:val="SQL"/>
    <w:uiPriority w:val="1"/>
    <w:semiHidden/>
    <w:unhideWhenUsed/>
    <w:rsid w:val="004D4675"/>
    <w:pPr>
      <w:spacing w:after="120" w:line="240" w:lineRule="atLeast"/>
    </w:pPr>
    <w:rPr>
      <w:sz w:val="16"/>
      <w:lang w:val="en-CA"/>
    </w:rPr>
  </w:style>
  <w:style w:type="table" w:customStyle="1" w:styleId="AECOMcolouredtable">
    <w:name w:val="AECOM coloured table"/>
    <w:basedOn w:val="TableNormal"/>
    <w:uiPriority w:val="99"/>
    <w:semiHidden/>
    <w:unhideWhenUsed/>
    <w:rsid w:val="00890ADA"/>
    <w:tblPr>
      <w:tblStyleRowBandSize w:val="1"/>
    </w:tblPr>
    <w:tblStylePr w:type="firstRow">
      <w:rPr>
        <w:b/>
        <w:color w:val="FFFFFF" w:themeColor="background1"/>
      </w:rPr>
      <w:tblPr/>
      <w:tcPr>
        <w:tcBorders>
          <w:bottom w:val="single" w:sz="12" w:space="0" w:color="FFFFFF" w:themeColor="background1"/>
          <w:insideV w:val="single" w:sz="4" w:space="0" w:color="FFFFFF" w:themeColor="background1"/>
        </w:tcBorders>
        <w:shd w:val="clear" w:color="auto" w:fill="008768" w:themeFill="accent1"/>
      </w:tcPr>
    </w:tblStylePr>
    <w:tblStylePr w:type="firstCol">
      <w:rPr>
        <w:b/>
        <w:color w:val="FFFFFF" w:themeColor="background1"/>
      </w:rPr>
      <w:tblPr/>
      <w:tcPr>
        <w:tcBorders>
          <w:right w:val="single" w:sz="12" w:space="0" w:color="FFFFFF" w:themeColor="background1"/>
        </w:tcBorders>
        <w:shd w:val="clear" w:color="auto" w:fill="008768" w:themeFill="accent1"/>
      </w:tcPr>
    </w:tblStylePr>
    <w:tblStylePr w:type="band1Horz">
      <w:tblPr/>
      <w:tcPr>
        <w:shd w:val="clear" w:color="auto" w:fill="B4FFED" w:themeFill="accent1" w:themeFillTint="33"/>
      </w:tcPr>
    </w:tblStylePr>
    <w:tblStylePr w:type="band2Horz">
      <w:tblPr/>
      <w:tcPr>
        <w:shd w:val="clear" w:color="auto" w:fill="69FFDC" w:themeFill="accent1" w:themeFillTint="66"/>
      </w:tcPr>
    </w:tblStylePr>
  </w:style>
  <w:style w:type="paragraph" w:customStyle="1" w:styleId="Appendixheading2">
    <w:name w:val="Appendix heading 2"/>
    <w:basedOn w:val="Heading2"/>
    <w:uiPriority w:val="8"/>
    <w:qFormat/>
    <w:rsid w:val="003934D8"/>
    <w:pPr>
      <w:numPr>
        <w:numId w:val="17"/>
      </w:numPr>
    </w:pPr>
    <w:rPr>
      <w:rFonts w:cstheme="majorHAnsi"/>
      <w:szCs w:val="36"/>
      <w:lang w:val="en-US"/>
    </w:rPr>
  </w:style>
  <w:style w:type="paragraph" w:customStyle="1" w:styleId="Numberedtext">
    <w:name w:val="Numbered text"/>
    <w:basedOn w:val="Heading2"/>
    <w:link w:val="NumberedtextChar"/>
    <w:uiPriority w:val="2"/>
    <w:qFormat/>
    <w:rsid w:val="00FD338E"/>
    <w:pPr>
      <w:keepNext w:val="0"/>
      <w:keepLines w:val="0"/>
      <w:spacing w:before="0" w:after="180" w:line="240" w:lineRule="atLeast"/>
      <w:outlineLvl w:val="9"/>
    </w:pPr>
    <w:rPr>
      <w:rFonts w:asciiTheme="minorHAnsi" w:hAnsiTheme="minorHAnsi" w:cstheme="minorHAnsi"/>
      <w:b w:val="0"/>
      <w:color w:val="auto"/>
      <w:sz w:val="18"/>
    </w:rPr>
  </w:style>
  <w:style w:type="paragraph" w:customStyle="1" w:styleId="Heading1NewPage">
    <w:name w:val="Heading 1 New Page"/>
    <w:basedOn w:val="Heading1"/>
    <w:uiPriority w:val="1"/>
    <w:rsid w:val="00DF3C40"/>
  </w:style>
  <w:style w:type="paragraph" w:customStyle="1" w:styleId="Numberedtext2">
    <w:name w:val="Numbered text 2"/>
    <w:basedOn w:val="Heading3"/>
    <w:uiPriority w:val="1"/>
    <w:qFormat/>
    <w:rsid w:val="00B3542E"/>
    <w:pPr>
      <w:keepNext w:val="0"/>
      <w:keepLines w:val="0"/>
      <w:spacing w:before="0" w:after="180" w:line="240" w:lineRule="atLeast"/>
      <w:outlineLvl w:val="9"/>
    </w:pPr>
    <w:rPr>
      <w:rFonts w:asciiTheme="minorHAnsi" w:hAnsiTheme="minorHAnsi" w:cstheme="minorHAnsi"/>
      <w:b w:val="0"/>
      <w:color w:val="auto"/>
      <w:sz w:val="18"/>
    </w:rPr>
  </w:style>
  <w:style w:type="paragraph" w:customStyle="1" w:styleId="Plates">
    <w:name w:val="Plates"/>
    <w:basedOn w:val="Caption"/>
    <w:link w:val="PlatesChar"/>
    <w:uiPriority w:val="1"/>
    <w:qFormat/>
    <w:rsid w:val="00B26855"/>
    <w:pPr>
      <w:keepNext w:val="0"/>
    </w:pPr>
  </w:style>
  <w:style w:type="character" w:customStyle="1" w:styleId="CaptionChar">
    <w:name w:val="Caption Char"/>
    <w:basedOn w:val="DefaultParagraphFont"/>
    <w:link w:val="Caption"/>
    <w:uiPriority w:val="35"/>
    <w:rsid w:val="00B26855"/>
    <w:rPr>
      <w:rFonts w:asciiTheme="majorHAnsi" w:hAnsiTheme="majorHAnsi"/>
      <w:b/>
      <w:bCs/>
      <w:color w:val="008768" w:themeColor="accent1"/>
      <w:kern w:val="18"/>
      <w:sz w:val="20"/>
    </w:rPr>
  </w:style>
  <w:style w:type="character" w:customStyle="1" w:styleId="PlatesChar">
    <w:name w:val="Plates Char"/>
    <w:basedOn w:val="CaptionChar"/>
    <w:link w:val="Plates"/>
    <w:uiPriority w:val="1"/>
    <w:rsid w:val="00B26855"/>
    <w:rPr>
      <w:rFonts w:asciiTheme="majorHAnsi" w:hAnsiTheme="majorHAnsi"/>
      <w:b/>
      <w:bCs/>
      <w:color w:val="008768" w:themeColor="accent1"/>
      <w:kern w:val="18"/>
      <w:sz w:val="20"/>
    </w:rPr>
  </w:style>
  <w:style w:type="character" w:customStyle="1" w:styleId="TabletextChar">
    <w:name w:val="Table text Char"/>
    <w:basedOn w:val="DefaultParagraphFont"/>
    <w:link w:val="Tabletext"/>
    <w:uiPriority w:val="1"/>
    <w:locked/>
    <w:rsid w:val="00002F83"/>
    <w:rPr>
      <w:kern w:val="18"/>
    </w:rPr>
  </w:style>
  <w:style w:type="character" w:customStyle="1" w:styleId="NumberedtextChar">
    <w:name w:val="Numbered text Char"/>
    <w:basedOn w:val="DefaultParagraphFont"/>
    <w:link w:val="Numberedtext"/>
    <w:uiPriority w:val="2"/>
    <w:locked/>
    <w:rsid w:val="00F506D6"/>
    <w:rPr>
      <w:rFonts w:eastAsiaTheme="majorEastAsia" w:cstheme="minorHAnsi"/>
      <w:bCs/>
      <w:kern w:val="18"/>
      <w:szCs w:val="26"/>
    </w:rPr>
  </w:style>
  <w:style w:type="paragraph" w:customStyle="1" w:styleId="BulletPoint1">
    <w:name w:val="Bullet Point 1"/>
    <w:basedOn w:val="Normal"/>
    <w:qFormat/>
    <w:rsid w:val="00CA18C8"/>
    <w:pPr>
      <w:numPr>
        <w:numId w:val="26"/>
      </w:numPr>
      <w:tabs>
        <w:tab w:val="clear" w:pos="284"/>
        <w:tab w:val="num" w:pos="1060"/>
      </w:tabs>
      <w:spacing w:before="120" w:after="120" w:line="240" w:lineRule="exact"/>
      <w:ind w:left="425" w:hanging="425"/>
    </w:pPr>
    <w:rPr>
      <w:rFonts w:ascii="Arial" w:eastAsia="Times New Roman" w:hAnsi="Arial" w:cs="Arial"/>
      <w:kern w:val="0"/>
      <w:szCs w:val="24"/>
    </w:rPr>
  </w:style>
  <w:style w:type="character" w:styleId="Mention">
    <w:name w:val="Mention"/>
    <w:basedOn w:val="DefaultParagraphFont"/>
    <w:uiPriority w:val="99"/>
    <w:unhideWhenUsed/>
    <w:rsid w:val="00EB458D"/>
    <w:rPr>
      <w:color w:val="2B579A"/>
      <w:shd w:val="clear" w:color="auto" w:fill="E1DFDD"/>
    </w:rPr>
  </w:style>
  <w:style w:type="paragraph" w:styleId="Revision">
    <w:name w:val="Revision"/>
    <w:hidden/>
    <w:uiPriority w:val="99"/>
    <w:semiHidden/>
    <w:rsid w:val="00C47946"/>
    <w:rPr>
      <w:kern w:val="18"/>
      <w:sz w:val="20"/>
    </w:rPr>
  </w:style>
  <w:style w:type="character" w:styleId="UnresolvedMention">
    <w:name w:val="Unresolved Mention"/>
    <w:basedOn w:val="DefaultParagraphFont"/>
    <w:uiPriority w:val="99"/>
    <w:semiHidden/>
    <w:unhideWhenUsed/>
    <w:rsid w:val="00287DD9"/>
    <w:rPr>
      <w:color w:val="605E5C"/>
      <w:shd w:val="clear" w:color="auto" w:fill="E1DFDD"/>
    </w:rPr>
  </w:style>
  <w:style w:type="paragraph" w:customStyle="1" w:styleId="tabletext0">
    <w:name w:val="table text"/>
    <w:basedOn w:val="Normal"/>
    <w:link w:val="tabletextChar0"/>
    <w:qFormat/>
    <w:rsid w:val="005B4714"/>
    <w:pPr>
      <w:tabs>
        <w:tab w:val="clear" w:pos="284"/>
      </w:tabs>
      <w:spacing w:before="40" w:after="40" w:line="240" w:lineRule="auto"/>
      <w:jc w:val="left"/>
      <w:textAlignment w:val="baseline"/>
    </w:pPr>
    <w:rPr>
      <w:rFonts w:ascii="Arial" w:eastAsia="Times New Roman" w:hAnsi="Arial" w:cs="Arial"/>
      <w:color w:val="000000"/>
      <w:kern w:val="0"/>
      <w:sz w:val="16"/>
      <w:szCs w:val="16"/>
      <w:lang w:eastAsia="en-GB"/>
    </w:rPr>
  </w:style>
  <w:style w:type="character" w:customStyle="1" w:styleId="tabletextChar0">
    <w:name w:val="table text Char"/>
    <w:basedOn w:val="DefaultParagraphFont"/>
    <w:link w:val="tabletext0"/>
    <w:rsid w:val="005B4714"/>
    <w:rPr>
      <w:rFonts w:ascii="Arial" w:eastAsia="Times New Roman" w:hAnsi="Arial" w:cs="Arial"/>
      <w:color w:val="000000"/>
      <w:sz w:val="16"/>
      <w:szCs w:val="16"/>
      <w:lang w:eastAsia="en-GB"/>
    </w:rPr>
  </w:style>
  <w:style w:type="paragraph" w:customStyle="1" w:styleId="ReportText">
    <w:name w:val="Report Text"/>
    <w:aliases w:val="Left:  0 cm"/>
    <w:qFormat/>
    <w:rsid w:val="007864B8"/>
    <w:pPr>
      <w:numPr>
        <w:ilvl w:val="2"/>
        <w:numId w:val="30"/>
      </w:numPr>
      <w:tabs>
        <w:tab w:val="clear" w:pos="1560"/>
        <w:tab w:val="num" w:pos="1276"/>
      </w:tabs>
      <w:spacing w:before="170" w:after="170" w:line="260" w:lineRule="atLeast"/>
      <w:ind w:left="1134" w:hanging="425"/>
      <w:jc w:val="both"/>
    </w:pPr>
    <w:rPr>
      <w:rFonts w:eastAsia="SimSun" w:cs="Times New Roman"/>
      <w:sz w:val="24"/>
      <w:szCs w:val="24"/>
    </w:rPr>
  </w:style>
  <w:style w:type="paragraph" w:customStyle="1" w:styleId="ReportLevel1">
    <w:name w:val="Report Level 1"/>
    <w:next w:val="ReportText"/>
    <w:qFormat/>
    <w:rsid w:val="007864B8"/>
    <w:pPr>
      <w:keepNext/>
      <w:numPr>
        <w:numId w:val="30"/>
      </w:numPr>
      <w:tabs>
        <w:tab w:val="clear" w:pos="1134"/>
        <w:tab w:val="num" w:pos="425"/>
      </w:tabs>
      <w:spacing w:after="227" w:line="280" w:lineRule="atLeast"/>
      <w:ind w:left="425" w:hanging="425"/>
      <w:outlineLvl w:val="0"/>
    </w:pPr>
    <w:rPr>
      <w:rFonts w:asciiTheme="majorHAnsi" w:eastAsia="SimSun" w:hAnsiTheme="majorHAnsi" w:cs="Times New Roman"/>
      <w:b/>
      <w:caps/>
      <w:color w:val="002060"/>
      <w:sz w:val="28"/>
      <w:szCs w:val="24"/>
    </w:rPr>
  </w:style>
  <w:style w:type="paragraph" w:customStyle="1" w:styleId="ReportLevel2">
    <w:name w:val="Report Level 2"/>
    <w:basedOn w:val="ReportLevel1"/>
    <w:next w:val="ReportText"/>
    <w:qFormat/>
    <w:rsid w:val="007864B8"/>
    <w:pPr>
      <w:numPr>
        <w:ilvl w:val="1"/>
      </w:numPr>
      <w:tabs>
        <w:tab w:val="clear" w:pos="1134"/>
        <w:tab w:val="num" w:pos="851"/>
      </w:tabs>
      <w:spacing w:before="240" w:after="170" w:line="320" w:lineRule="atLeast"/>
      <w:ind w:left="850" w:hanging="425"/>
      <w:outlineLvl w:val="1"/>
    </w:pPr>
    <w:rPr>
      <w:caps w:val="0"/>
    </w:rPr>
  </w:style>
  <w:style w:type="paragraph" w:customStyle="1" w:styleId="ReportLevel4">
    <w:name w:val="Report Level 4"/>
    <w:next w:val="ReportText"/>
    <w:qFormat/>
    <w:rsid w:val="007864B8"/>
    <w:pPr>
      <w:keepNext/>
      <w:numPr>
        <w:ilvl w:val="3"/>
        <w:numId w:val="30"/>
      </w:numPr>
      <w:tabs>
        <w:tab w:val="clear" w:pos="1134"/>
      </w:tabs>
      <w:spacing w:before="170" w:after="170"/>
      <w:ind w:left="1700" w:hanging="425"/>
      <w:outlineLvl w:val="3"/>
    </w:pPr>
    <w:rPr>
      <w:rFonts w:eastAsia="SimSun" w:cs="Times New Roman"/>
      <w:b/>
      <w:i/>
      <w:color w:val="002060"/>
      <w:sz w:val="26"/>
      <w:szCs w:val="26"/>
    </w:rPr>
  </w:style>
  <w:style w:type="paragraph" w:customStyle="1" w:styleId="ReportLevel5">
    <w:name w:val="Report Level 5"/>
    <w:basedOn w:val="ReportLevel4"/>
    <w:next w:val="ReportText"/>
    <w:uiPriority w:val="2"/>
    <w:qFormat/>
    <w:rsid w:val="007864B8"/>
    <w:pPr>
      <w:numPr>
        <w:ilvl w:val="4"/>
      </w:numPr>
      <w:tabs>
        <w:tab w:val="clear" w:pos="1134"/>
      </w:tabs>
      <w:ind w:left="2125" w:hanging="425"/>
      <w:outlineLvl w:val="4"/>
    </w:pPr>
    <w:rPr>
      <w:b w:val="0"/>
      <w:u w:val="single"/>
    </w:rPr>
  </w:style>
  <w:style w:type="paragraph" w:customStyle="1" w:styleId="ReportLevel6">
    <w:name w:val="Report Level 6"/>
    <w:basedOn w:val="Normal"/>
    <w:next w:val="ReportText"/>
    <w:uiPriority w:val="2"/>
    <w:qFormat/>
    <w:rsid w:val="007864B8"/>
    <w:pPr>
      <w:keepNext/>
      <w:numPr>
        <w:ilvl w:val="5"/>
        <w:numId w:val="30"/>
      </w:numPr>
      <w:tabs>
        <w:tab w:val="clear" w:pos="284"/>
        <w:tab w:val="clear" w:pos="1134"/>
        <w:tab w:val="num" w:pos="2346"/>
      </w:tabs>
      <w:spacing w:before="170" w:after="170" w:line="240" w:lineRule="auto"/>
      <w:ind w:left="2550" w:hanging="425"/>
      <w:jc w:val="left"/>
      <w:outlineLvl w:val="5"/>
    </w:pPr>
    <w:rPr>
      <w:rFonts w:eastAsia="SimSun" w:cs="Times New Roman"/>
      <w:color w:val="002060"/>
      <w:kern w:val="0"/>
      <w:sz w:val="26"/>
      <w:u w:val="single"/>
    </w:rPr>
  </w:style>
  <w:style w:type="paragraph" w:customStyle="1" w:styleId="ReportLevel7">
    <w:name w:val="Report Level 7"/>
    <w:basedOn w:val="ReportLevel6"/>
    <w:next w:val="ReportText"/>
    <w:uiPriority w:val="2"/>
    <w:qFormat/>
    <w:rsid w:val="007864B8"/>
    <w:pPr>
      <w:numPr>
        <w:ilvl w:val="6"/>
      </w:numPr>
      <w:tabs>
        <w:tab w:val="clear" w:pos="1134"/>
        <w:tab w:val="num" w:pos="2630"/>
      </w:tabs>
      <w:ind w:left="2975" w:hanging="425"/>
      <w:outlineLvl w:val="6"/>
    </w:pPr>
    <w:rPr>
      <w:u w:val="none"/>
    </w:rPr>
  </w:style>
  <w:style w:type="character" w:customStyle="1" w:styleId="ReportTableTextChar">
    <w:name w:val="Report Table Text Char"/>
    <w:basedOn w:val="DefaultParagraphFont"/>
    <w:link w:val="ReportTableText"/>
    <w:locked/>
    <w:rsid w:val="007864B8"/>
    <w:rPr>
      <w:rFonts w:ascii="SimSun" w:eastAsia="SimSun" w:hAnsi="SimSun" w:cs="Times New Roman"/>
      <w:sz w:val="20"/>
    </w:rPr>
  </w:style>
  <w:style w:type="paragraph" w:customStyle="1" w:styleId="ReportTableText">
    <w:name w:val="Report Table Text"/>
    <w:link w:val="ReportTableTextChar"/>
    <w:qFormat/>
    <w:rsid w:val="007864B8"/>
    <w:pPr>
      <w:spacing w:before="57" w:after="57" w:line="200" w:lineRule="atLeast"/>
    </w:pPr>
    <w:rPr>
      <w:rFonts w:ascii="SimSun" w:eastAsia="SimSun" w:hAnsi="SimSun" w:cs="Times New Roman"/>
      <w:sz w:val="20"/>
    </w:rPr>
  </w:style>
  <w:style w:type="character" w:customStyle="1" w:styleId="TableTextChar1">
    <w:name w:val="TableText Char"/>
    <w:basedOn w:val="DefaultParagraphFont"/>
    <w:link w:val="TableText1"/>
    <w:uiPriority w:val="16"/>
    <w:locked/>
    <w:rsid w:val="001B5ED4"/>
    <w:rPr>
      <w:rFonts w:ascii="Arial" w:eastAsia="Batang" w:hAnsi="Arial" w:cs="Arial"/>
      <w:color w:val="000000" w:themeColor="text2"/>
      <w:sz w:val="20"/>
      <w:szCs w:val="20"/>
      <w:lang w:eastAsia="ko-KR"/>
    </w:rPr>
  </w:style>
  <w:style w:type="paragraph" w:customStyle="1" w:styleId="TableText1">
    <w:name w:val="TableText"/>
    <w:basedOn w:val="BodyText"/>
    <w:link w:val="TableTextChar1"/>
    <w:uiPriority w:val="16"/>
    <w:qFormat/>
    <w:rsid w:val="001B5ED4"/>
    <w:pPr>
      <w:spacing w:before="40" w:after="40" w:line="240" w:lineRule="auto"/>
      <w:jc w:val="left"/>
    </w:pPr>
    <w:rPr>
      <w:rFonts w:ascii="Arial" w:eastAsia="Batang" w:hAnsi="Arial" w:cs="Arial"/>
      <w:color w:val="000000" w:themeColor="text2"/>
      <w:kern w:val="0"/>
      <w:szCs w:val="20"/>
      <w:lang w:eastAsia="ko-KR"/>
    </w:rPr>
  </w:style>
  <w:style w:type="character" w:customStyle="1" w:styleId="normaltextrun">
    <w:name w:val="normaltextrun"/>
    <w:basedOn w:val="DefaultParagraphFont"/>
    <w:rsid w:val="00ED6507"/>
  </w:style>
  <w:style w:type="character" w:customStyle="1" w:styleId="eop">
    <w:name w:val="eop"/>
    <w:basedOn w:val="DefaultParagraphFont"/>
    <w:rsid w:val="00ED6507"/>
  </w:style>
  <w:style w:type="paragraph" w:customStyle="1" w:styleId="paragraph">
    <w:name w:val="paragraph"/>
    <w:basedOn w:val="Normal"/>
    <w:rsid w:val="00ED6507"/>
    <w:pPr>
      <w:tabs>
        <w:tab w:val="clear" w:pos="284"/>
      </w:tabs>
      <w:spacing w:before="100" w:beforeAutospacing="1" w:after="100" w:afterAutospacing="1" w:line="240" w:lineRule="auto"/>
      <w:jc w:val="left"/>
    </w:pPr>
    <w:rPr>
      <w:rFonts w:ascii="Times New Roman" w:eastAsia="Times New Roman" w:hAnsi="Times New Roman" w:cs="Times New Roman"/>
      <w:kern w:val="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2.xml"/><Relationship Id="rId21" Type="http://schemas.openxmlformats.org/officeDocument/2006/relationships/image" Target="media/image9.png"/><Relationship Id="rId42" Type="http://schemas.openxmlformats.org/officeDocument/2006/relationships/hyperlink" Target="https://revisedacts.lawreform.ie/eli/2015/act/46/revised/en/html" TargetMode="External"/><Relationship Id="rId47" Type="http://schemas.openxmlformats.org/officeDocument/2006/relationships/hyperlink" Target="https://circularecology.com/news/ice-database-v4-1-released" TargetMode="External"/><Relationship Id="rId63" Type="http://schemas.openxmlformats.org/officeDocument/2006/relationships/hyperlink" Target="https://www.rics.org/profession-standards/rics-standards-and-guidance/sector-standards/construction-standards/whole-life-carbon-assessment" TargetMode="External"/><Relationship Id="rId68"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svg"/><Relationship Id="rId29" Type="http://schemas.openxmlformats.org/officeDocument/2006/relationships/hyperlink" Target="https://www.climateireland.ie/" TargetMode="External"/><Relationship Id="rId11" Type="http://schemas.openxmlformats.org/officeDocument/2006/relationships/image" Target="media/image1.png"/><Relationship Id="rId24" Type="http://schemas.openxmlformats.org/officeDocument/2006/relationships/image" Target="media/image12.png"/><Relationship Id="rId32" Type="http://schemas.openxmlformats.org/officeDocument/2006/relationships/hyperlink" Target="https://www.irishstatutebook.ie/eli/2018/si/296/made/en/print" TargetMode="External"/><Relationship Id="rId37" Type="http://schemas.openxmlformats.org/officeDocument/2006/relationships/hyperlink" Target="https://ec.europa.eu/newsroom/cipr/items/722278/" TargetMode="External"/><Relationship Id="rId40" Type="http://schemas.openxmlformats.org/officeDocument/2006/relationships/hyperlink" Target="https://www.irishstatutebook.ie/eli/2013/si/291/" TargetMode="External"/><Relationship Id="rId45" Type="http://schemas.openxmlformats.org/officeDocument/2006/relationships/hyperlink" Target="https://www.gov.ie/en/department-of-climate-energy-and-the-environment/publications/climate-action-plan-2025/" TargetMode="External"/><Relationship Id="rId53" Type="http://schemas.openxmlformats.org/officeDocument/2006/relationships/hyperlink" Target="https://www.isepglobal.org/resources/blogs/2022/02/28/launch-of-the-updated-eia-guidance-on-assessing-ghg-emissions/" TargetMode="External"/><Relationship Id="rId58" Type="http://schemas.openxmlformats.org/officeDocument/2006/relationships/hyperlink" Target="https://www.met.ie/2023-confirmed-as-irelands-wettest-year-on-record" TargetMode="External"/><Relationship Id="rId66" Type="http://schemas.openxmlformats.org/officeDocument/2006/relationships/hyperlink" Target="https://www.sdcc.ie/en/climate-action/climate-action-plan-2024-2029/" TargetMode="External"/><Relationship Id="rId5" Type="http://schemas.openxmlformats.org/officeDocument/2006/relationships/numbering" Target="numbering.xml"/><Relationship Id="rId61" Type="http://schemas.openxmlformats.org/officeDocument/2006/relationships/hyperlink" Target="https://unfccc.int/process-and-meetings/the-paris-agreement" TargetMode="External"/><Relationship Id="rId19" Type="http://schemas.openxmlformats.org/officeDocument/2006/relationships/image" Target="media/image7.png"/><Relationship Id="rId14" Type="http://schemas.openxmlformats.org/officeDocument/2006/relationships/image" Target="media/image4.svg"/><Relationship Id="rId22" Type="http://schemas.openxmlformats.org/officeDocument/2006/relationships/image" Target="media/image10.png"/><Relationship Id="rId27" Type="http://schemas.openxmlformats.org/officeDocument/2006/relationships/hyperlink" Target="https://www.bsigroup.com/siteassets/pdf/en/insights-and-media/insights/brochures/pas_2080.pdf" TargetMode="External"/><Relationship Id="rId30" Type="http://schemas.openxmlformats.org/officeDocument/2006/relationships/hyperlink" Target="https://www.epa.ie/publications/monitoring--assessment/assessment/EIAR_Guidelines_2022_Web.pdf" TargetMode="External"/><Relationship Id="rId35" Type="http://schemas.openxmlformats.org/officeDocument/2006/relationships/hyperlink" Target="https://eur-lex.europa.eu/legal-content/EN/TXT/PDF/?uri=CELEX:52021DC0082" TargetMode="External"/><Relationship Id="rId43" Type="http://schemas.openxmlformats.org/officeDocument/2006/relationships/hyperlink" Target="https://assets.gov.ie/static/documents/carbon-budgets.pdf" TargetMode="External"/><Relationship Id="rId48" Type="http://schemas.openxmlformats.org/officeDocument/2006/relationships/hyperlink" Target="https://iea.blob.core.windows.net/assets/4ad26550-05c4-4495-9891-98e588cd0be8/NetZeroRoadmap_AGlobalPathwaytoKeepthe1.5CGoalinReach-2023Update.pdf" TargetMode="External"/><Relationship Id="rId56" Type="http://schemas.openxmlformats.org/officeDocument/2006/relationships/hyperlink" Target="https://www.met.ie/temperature-records-broken-as-met-eireann-establish-new-climate-services-division" TargetMode="External"/><Relationship Id="rId64" Type="http://schemas.openxmlformats.org/officeDocument/2006/relationships/hyperlink" Target="https://www.sdcc.ie/en/services/planning-building-control/bonds-taking-in-charge/completion/taking-in-charge-policy-standards/sdcc-tic-6-policy-appendix-6-roads-minimum-standards.pdf" TargetMode="External"/><Relationship Id="rId69"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www.ipcc.ch/report/ar6/wg2/" TargetMode="External"/><Relationship Id="rId3" Type="http://schemas.openxmlformats.org/officeDocument/2006/relationships/customXml" Target="../customXml/item3.xml"/><Relationship Id="rId12" Type="http://schemas.openxmlformats.org/officeDocument/2006/relationships/image" Target="media/image2.svg"/><Relationship Id="rId17" Type="http://schemas.openxmlformats.org/officeDocument/2006/relationships/header" Target="header1.xml"/><Relationship Id="rId25" Type="http://schemas.openxmlformats.org/officeDocument/2006/relationships/header" Target="header2.xml"/><Relationship Id="rId33" Type="http://schemas.openxmlformats.org/officeDocument/2006/relationships/hyperlink" Target="https://commission.europa.eu/strategy-and-policy/priorities-2019-2024/european-green-deal_en" TargetMode="External"/><Relationship Id="rId38" Type="http://schemas.openxmlformats.org/officeDocument/2006/relationships/hyperlink" Target="https://energy.ec.europa.eu/topics/energy-efficiency/energy-performance-buildings/nearly-zero-energy-and-zero-emission-buildings_en" TargetMode="External"/><Relationship Id="rId46" Type="http://schemas.openxmlformats.org/officeDocument/2006/relationships/hyperlink" Target="https://assets.gov.ie/static/documents/national-development-plan-2021-2030.pdf" TargetMode="External"/><Relationship Id="rId59" Type="http://schemas.openxmlformats.org/officeDocument/2006/relationships/hyperlink" Target="https://www.rte.ie/news/2008/0810/106807-floods/" TargetMode="External"/><Relationship Id="rId67" Type="http://schemas.openxmlformats.org/officeDocument/2006/relationships/hyperlink" Target="https://www.fsb.org/2017/06/recommendations-of-the-task-force-on-climate-related-financial-disclosures-2/" TargetMode="External"/><Relationship Id="rId20" Type="http://schemas.openxmlformats.org/officeDocument/2006/relationships/image" Target="media/image8.png"/><Relationship Id="rId41" Type="http://schemas.openxmlformats.org/officeDocument/2006/relationships/hyperlink" Target="https://assets.gov.ie/static/documents/the-planning-system-and-flood-risk-management-guidelines-for-planning-authorities-nov-.pdf" TargetMode="External"/><Relationship Id="rId54" Type="http://schemas.openxmlformats.org/officeDocument/2006/relationships/hyperlink" Target="https://www.isepglobal.org/resources/blogs/2026/april/defining-significance-in-a-net-zero-era-the-next-step-for-greenhouse-gas-emissions-assessment-in-environmental-impact-assessment/" TargetMode="External"/><Relationship Id="rId62" Type="http://schemas.openxmlformats.org/officeDocument/2006/relationships/hyperlink" Target="https://www.gov.uk/government/publications/greenhouse-gas-reporting-conversion-factors-2025"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1.png"/><Relationship Id="rId28" Type="http://schemas.openxmlformats.org/officeDocument/2006/relationships/hyperlink" Target="https://www.gov.ie/en/press-release/dab6d-government-announces-sectoral-emissions-ceilings-setting-ireland-on-a-pathway-to-turn-the-tide-on-climate-change/" TargetMode="External"/><Relationship Id="rId36" Type="http://schemas.openxmlformats.org/officeDocument/2006/relationships/hyperlink" Target="https://commission.europa.eu/topics/climate-action/delivering-european-green-deal/fit-55-delivering-proposals_en" TargetMode="External"/><Relationship Id="rId49" Type="http://schemas.openxmlformats.org/officeDocument/2006/relationships/hyperlink" Target="https://www.ipcc.ch/assessment-report/ar5/" TargetMode="External"/><Relationship Id="rId57" Type="http://schemas.openxmlformats.org/officeDocument/2006/relationships/hyperlink" Target="https://www.met.ie/met-eireann-publishes-irelands-new-climate-averages-for-1991-2020" TargetMode="External"/><Relationship Id="rId10" Type="http://schemas.openxmlformats.org/officeDocument/2006/relationships/endnotes" Target="endnotes.xml"/><Relationship Id="rId31" Type="http://schemas.openxmlformats.org/officeDocument/2006/relationships/hyperlink" Target="https://eur-lex.europa.eu/eli/dir/2003/87/oj/eng" TargetMode="External"/><Relationship Id="rId44" Type="http://schemas.openxmlformats.org/officeDocument/2006/relationships/hyperlink" Target="https://assets.gov.ie/static/documents/sectoral-emissions-ceilings-summary-report.pdf" TargetMode="External"/><Relationship Id="rId52" Type="http://schemas.openxmlformats.org/officeDocument/2006/relationships/hyperlink" Target="https://www.isepglobal.org/resources/blogs/2020/06/26/iema-iema-launch-timely-new-eia-guide-for-climate-change-resilience-and-adaptation/" TargetMode="External"/><Relationship Id="rId60" Type="http://schemas.openxmlformats.org/officeDocument/2006/relationships/hyperlink" Target="https://unfccc.int/process-and-meetings/the-kyoto-protocol" TargetMode="External"/><Relationship Id="rId65" Type="http://schemas.openxmlformats.org/officeDocument/2006/relationships/hyperlink" Target="https://www.sdcc.ie/en/devplan2022/adopted-plan/environmental-reports/sea-statement.pdf"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footer" Target="footer1.xml"/><Relationship Id="rId39" Type="http://schemas.openxmlformats.org/officeDocument/2006/relationships/hyperlink" Target="https://www.carboncalculator.org.uk/" TargetMode="External"/><Relationship Id="rId34" Type="http://schemas.openxmlformats.org/officeDocument/2006/relationships/hyperlink" Target="https://eur-lex.europa.eu/legal-content/EN/TXT/?uri=CELEX:32021R1119" TargetMode="External"/><Relationship Id="rId50" Type="http://schemas.openxmlformats.org/officeDocument/2006/relationships/hyperlink" Target="https://www.ipcc.ch/sr15/" TargetMode="External"/><Relationship Id="rId55" Type="http://schemas.openxmlformats.org/officeDocument/2006/relationships/hyperlink" Target="https://www.met.ie/cms/assets/uploads/2017/08/ColdSpell10.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gov.ie/en/press-release/dab6d-government-announces-sectoral-emissions-ceilings-setting-ireland-on-a-pathway-to-turn-the-tide-on-climate-change/" TargetMode="External"/><Relationship Id="rId1" Type="http://schemas.openxmlformats.org/officeDocument/2006/relationships/hyperlink" Target="https://iea.blob.core.windows.net/assets/4ad26550-05c4-4495-9891-98e588cd0be8/NetZeroRoadmap_AGlobalPathwaytoKeepthe1.5CGoalinReach-2023Update.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eixeiraPallaBragaL\AppData\Roaming\Microsoft\Templates\AECOM_Report.dotm" TargetMode="External"/></Relationships>
</file>

<file path=word/theme/theme1.xml><?xml version="1.0" encoding="utf-8"?>
<a:theme xmlns:a="http://schemas.openxmlformats.org/drawingml/2006/main" name="Office Theme">
  <a:themeElements>
    <a:clrScheme name="AECOM2021">
      <a:dk1>
        <a:sysClr val="windowText" lastClr="000000"/>
      </a:dk1>
      <a:lt1>
        <a:sysClr val="window" lastClr="FFFFFF"/>
      </a:lt1>
      <a:dk2>
        <a:srgbClr val="000000"/>
      </a:dk2>
      <a:lt2>
        <a:srgbClr val="FFFFFF"/>
      </a:lt2>
      <a:accent1>
        <a:srgbClr val="008768"/>
      </a:accent1>
      <a:accent2>
        <a:srgbClr val="00353E"/>
      </a:accent2>
      <a:accent3>
        <a:srgbClr val="AECC53"/>
      </a:accent3>
      <a:accent4>
        <a:srgbClr val="E52713"/>
      </a:accent4>
      <a:accent5>
        <a:srgbClr val="009A9B"/>
      </a:accent5>
      <a:accent6>
        <a:srgbClr val="FFCE00"/>
      </a:accent6>
      <a:hlink>
        <a:srgbClr val="C70C6F"/>
      </a:hlink>
      <a:folHlink>
        <a:srgbClr val="9C0880"/>
      </a:folHlink>
    </a:clrScheme>
    <a:fontScheme name="AECOM 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81d8487-dcfd-4a8f-91dc-bed1aeb3ba72">
      <Terms xmlns="http://schemas.microsoft.com/office/infopath/2007/PartnerControls"/>
    </lcf76f155ced4ddcb4097134ff3c332f>
    <TaxCatchAll xmlns="549488db-1b52-469d-baa8-401867194c6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B8273982945C747AFA2C8D2E2ACECBC" ma:contentTypeVersion="18" ma:contentTypeDescription="Create a new document." ma:contentTypeScope="" ma:versionID="b5272d9fb5448765933779fa0b4b731e">
  <xsd:schema xmlns:xsd="http://www.w3.org/2001/XMLSchema" xmlns:xs="http://www.w3.org/2001/XMLSchema" xmlns:p="http://schemas.microsoft.com/office/2006/metadata/properties" xmlns:ns2="681d8487-dcfd-4a8f-91dc-bed1aeb3ba72" xmlns:ns3="549488db-1b52-469d-baa8-401867194c68" targetNamespace="http://schemas.microsoft.com/office/2006/metadata/properties" ma:root="true" ma:fieldsID="aedf89f763120ed6528832e85aa1df60" ns2:_="" ns3:_="">
    <xsd:import namespace="681d8487-dcfd-4a8f-91dc-bed1aeb3ba72"/>
    <xsd:import namespace="549488db-1b52-469d-baa8-401867194c6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1d8487-dcfd-4a8f-91dc-bed1aeb3ba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9981200-2054-4529-93bd-3e597e9db086"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9488db-1b52-469d-baa8-401867194c6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d9ec83e-1644-4c3c-9911-a2b90dcfc6e7}" ma:internalName="TaxCatchAll" ma:showField="CatchAllData" ma:web="549488db-1b52-469d-baa8-401867194c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5B15A8-F700-460B-990B-9418509E33F0}">
  <ds:schemaRefs>
    <ds:schemaRef ds:uri="http://schemas.microsoft.com/office/2006/metadata/properties"/>
    <ds:schemaRef ds:uri="http://schemas.microsoft.com/office/infopath/2007/PartnerControls"/>
    <ds:schemaRef ds:uri="f47703a4-047e-437d-827c-0b0606d4766b"/>
    <ds:schemaRef ds:uri="http://schemas.microsoft.com/sharepoint/v3"/>
    <ds:schemaRef ds:uri="74b8662a-2a87-4d5a-8e91-aee220d28978"/>
  </ds:schemaRefs>
</ds:datastoreItem>
</file>

<file path=customXml/itemProps2.xml><?xml version="1.0" encoding="utf-8"?>
<ds:datastoreItem xmlns:ds="http://schemas.openxmlformats.org/officeDocument/2006/customXml" ds:itemID="{F802DA55-147F-4EEA-8C28-5F840CD06252}">
  <ds:schemaRefs>
    <ds:schemaRef ds:uri="http://schemas.microsoft.com/sharepoint/v3/contenttype/forms"/>
  </ds:schemaRefs>
</ds:datastoreItem>
</file>

<file path=customXml/itemProps3.xml><?xml version="1.0" encoding="utf-8"?>
<ds:datastoreItem xmlns:ds="http://schemas.openxmlformats.org/officeDocument/2006/customXml" ds:itemID="{2353DCEB-479E-4801-BF68-5DC7A58108C4}"/>
</file>

<file path=customXml/itemProps4.xml><?xml version="1.0" encoding="utf-8"?>
<ds:datastoreItem xmlns:ds="http://schemas.openxmlformats.org/officeDocument/2006/customXml" ds:itemID="{CDF1859D-971B-4AC8-891A-C21BC63CDF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AECOM_Report</Template>
  <TotalTime>5</TotalTime>
  <Pages>42</Pages>
  <Words>16832</Words>
  <Characters>95947</Characters>
  <Application>Microsoft Office Word</Application>
  <DocSecurity>0</DocSecurity>
  <Lines>799</Lines>
  <Paragraphs>225</Paragraphs>
  <ScaleCrop>false</ScaleCrop>
  <Company>AECOM Ireland Limited</Company>
  <LinksUpToDate>false</LinksUpToDate>
  <CharactersWithSpaces>112554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SDCC Rathcoole Housing Development 2025-12-19</dc:title>
  <dc:subject>South Dublin County Council</dc:subject>
  <dc:creator>Calcagno, Grisel</dc:creator>
  <cp:keywords>Project ref:   Project number:</cp:keywords>
  <cp:lastModifiedBy>Braga, Leticia</cp:lastModifiedBy>
  <cp:revision>4</cp:revision>
  <cp:lastPrinted>2016-04-15T10:07:00Z</cp:lastPrinted>
  <dcterms:created xsi:type="dcterms:W3CDTF">2026-09-08T15:07:00Z</dcterms:created>
  <dcterms:modified xsi:type="dcterms:W3CDTF">2026-09-08T15:09:00Z</dcterms:modified>
  <cp:category>Report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t:lpwstr>AECOM_Report</vt:lpwstr>
  </property>
  <property fmtid="{D5CDD505-2E9C-101B-9397-08002B2CF9AE}" pid="3" name="TemplateVersion">
    <vt:lpwstr>3.7</vt:lpwstr>
  </property>
  <property fmtid="{D5CDD505-2E9C-101B-9397-08002B2CF9AE}" pid="4" name="HeaderTitle">
    <vt:lpwstr>SDCC Rathcoole Housing Development</vt:lpwstr>
  </property>
  <property fmtid="{D5CDD505-2E9C-101B-9397-08002B2CF9AE}" pid="5" name="ProtectiveMarking">
    <vt:lpwstr/>
  </property>
  <property fmtid="{D5CDD505-2E9C-101B-9397-08002B2CF9AE}" pid="6" name="HeaderClient">
    <vt:lpwstr> </vt:lpwstr>
  </property>
  <property fmtid="{D5CDD505-2E9C-101B-9397-08002B2CF9AE}" pid="7" name="AdditionalCompanyName">
    <vt:lpwstr/>
  </property>
  <property fmtid="{D5CDD505-2E9C-101B-9397-08002B2CF9AE}" pid="8" name="ClientName">
    <vt:lpwstr>South Dublin County Council </vt:lpwstr>
  </property>
  <property fmtid="{D5CDD505-2E9C-101B-9397-08002B2CF9AE}" pid="9" name="TenderStage">
    <vt:lpwstr/>
  </property>
  <property fmtid="{D5CDD505-2E9C-101B-9397-08002B2CF9AE}" pid="10" name="ProjectRef">
    <vt:lpwstr> </vt:lpwstr>
  </property>
  <property fmtid="{D5CDD505-2E9C-101B-9397-08002B2CF9AE}" pid="11" name="ProjectNumber">
    <vt:lpwstr> </vt:lpwstr>
  </property>
  <property fmtid="{D5CDD505-2E9C-101B-9397-08002B2CF9AE}" pid="12" name="CopyNo">
    <vt:lpwstr>&lt;CopyNo&gt;</vt:lpwstr>
  </property>
  <property fmtid="{D5CDD505-2E9C-101B-9397-08002B2CF9AE}" pid="13" name="CopyNoTotal">
    <vt:lpwstr>&lt;CopyNoTotal&gt;</vt:lpwstr>
  </property>
  <property fmtid="{D5CDD505-2E9C-101B-9397-08002B2CF9AE}" pid="14" name="SupplementaryTitle">
    <vt:lpwstr/>
  </property>
  <property fmtid="{D5CDD505-2E9C-101B-9397-08002B2CF9AE}" pid="15" name="Subtitle">
    <vt:lpwstr>Environmental Impact Assessment Report</vt:lpwstr>
  </property>
  <property fmtid="{D5CDD505-2E9C-101B-9397-08002B2CF9AE}" pid="16" name="DocumentReference">
    <vt:lpwstr/>
  </property>
  <property fmtid="{D5CDD505-2E9C-101B-9397-08002B2CF9AE}" pid="17" name="Date">
    <vt:lpwstr>19 December 2025</vt:lpwstr>
  </property>
  <property fmtid="{D5CDD505-2E9C-101B-9397-08002B2CF9AE}" pid="18" name="Copies">
    <vt:lpwstr/>
  </property>
  <property fmtid="{D5CDD505-2E9C-101B-9397-08002B2CF9AE}" pid="19" name="ProjectRefSlash">
    <vt:lpwstr> / </vt:lpwstr>
  </property>
  <property fmtid="{D5CDD505-2E9C-101B-9397-08002B2CF9AE}" pid="20" name="DocumentTitle">
    <vt:lpwstr>SDCC Rathcoole Housing Development</vt:lpwstr>
  </property>
  <property fmtid="{D5CDD505-2E9C-101B-9397-08002B2CF9AE}" pid="21" name="FooterClientAddress">
    <vt:lpwstr/>
  </property>
  <property fmtid="{D5CDD505-2E9C-101B-9397-08002B2CF9AE}" pid="22" name="ClientNumber">
    <vt:lpwstr/>
  </property>
  <property fmtid="{D5CDD505-2E9C-101B-9397-08002B2CF9AE}" pid="23" name="Draft">
    <vt:lpwstr>DRAFT</vt:lpwstr>
  </property>
  <property fmtid="{D5CDD505-2E9C-101B-9397-08002B2CF9AE}" pid="24" name="AccreditationText">
    <vt:lpwstr/>
  </property>
  <property fmtid="{D5CDD505-2E9C-101B-9397-08002B2CF9AE}" pid="25" name="GreenInitiative">
    <vt:lpwstr/>
  </property>
  <property fmtid="{D5CDD505-2E9C-101B-9397-08002B2CF9AE}" pid="26" name="PreparedBy">
    <vt:lpwstr>&lt;PreparedBy&gt;</vt:lpwstr>
  </property>
  <property fmtid="{D5CDD505-2E9C-101B-9397-08002B2CF9AE}" pid="27" name="ShowFilePath">
    <vt:lpwstr>0</vt:lpwstr>
  </property>
  <property fmtid="{D5CDD505-2E9C-101B-9397-08002B2CF9AE}" pid="28" name="PreparedFor">
    <vt:lpwstr>Prepared for: </vt:lpwstr>
  </property>
  <property fmtid="{D5CDD505-2E9C-101B-9397-08002B2CF9AE}" pid="29" name="InAssociationWith">
    <vt:lpwstr> </vt:lpwstr>
  </property>
  <property fmtid="{D5CDD505-2E9C-101B-9397-08002B2CF9AE}" pid="30" name="ShowFileName">
    <vt:lpwstr>0</vt:lpwstr>
  </property>
  <property fmtid="{D5CDD505-2E9C-101B-9397-08002B2CF9AE}" pid="31" name="GrammarlyDocumentId">
    <vt:lpwstr>e8c6c7942f14e81064a597141be678382fac473ff6cbf99f01bbf0597a19d1e8</vt:lpwstr>
  </property>
  <property fmtid="{D5CDD505-2E9C-101B-9397-08002B2CF9AE}" pid="32" name="ContentTypeId">
    <vt:lpwstr>0x010100BB8273982945C747AFA2C8D2E2ACECBC</vt:lpwstr>
  </property>
  <property fmtid="{D5CDD505-2E9C-101B-9397-08002B2CF9AE}" pid="33" name="Folder_Number">
    <vt:lpwstr/>
  </property>
  <property fmtid="{D5CDD505-2E9C-101B-9397-08002B2CF9AE}" pid="34" name="Folder_Code">
    <vt:lpwstr/>
  </property>
  <property fmtid="{D5CDD505-2E9C-101B-9397-08002B2CF9AE}" pid="35" name="Folder_Name">
    <vt:lpwstr/>
  </property>
  <property fmtid="{D5CDD505-2E9C-101B-9397-08002B2CF9AE}" pid="36" name="Folder_Description">
    <vt:lpwstr/>
  </property>
  <property fmtid="{D5CDD505-2E9C-101B-9397-08002B2CF9AE}" pid="37" name="/Folder_Name/">
    <vt:lpwstr/>
  </property>
  <property fmtid="{D5CDD505-2E9C-101B-9397-08002B2CF9AE}" pid="38" name="/Folder_Description/">
    <vt:lpwstr/>
  </property>
  <property fmtid="{D5CDD505-2E9C-101B-9397-08002B2CF9AE}" pid="39" name="Folder_Version">
    <vt:lpwstr/>
  </property>
  <property fmtid="{D5CDD505-2E9C-101B-9397-08002B2CF9AE}" pid="40" name="Folder_VersionSeq">
    <vt:lpwstr/>
  </property>
  <property fmtid="{D5CDD505-2E9C-101B-9397-08002B2CF9AE}" pid="41" name="Folder_Manager">
    <vt:lpwstr/>
  </property>
  <property fmtid="{D5CDD505-2E9C-101B-9397-08002B2CF9AE}" pid="42" name="Folder_ManagerDesc">
    <vt:lpwstr/>
  </property>
  <property fmtid="{D5CDD505-2E9C-101B-9397-08002B2CF9AE}" pid="43" name="Folder_Storage">
    <vt:lpwstr/>
  </property>
  <property fmtid="{D5CDD505-2E9C-101B-9397-08002B2CF9AE}" pid="44" name="Folder_StorageDesc">
    <vt:lpwstr/>
  </property>
  <property fmtid="{D5CDD505-2E9C-101B-9397-08002B2CF9AE}" pid="45" name="Folder_Creator">
    <vt:lpwstr/>
  </property>
  <property fmtid="{D5CDD505-2E9C-101B-9397-08002B2CF9AE}" pid="46" name="Folder_CreatorDesc">
    <vt:lpwstr/>
  </property>
  <property fmtid="{D5CDD505-2E9C-101B-9397-08002B2CF9AE}" pid="47" name="Folder_CreateDate">
    <vt:lpwstr/>
  </property>
  <property fmtid="{D5CDD505-2E9C-101B-9397-08002B2CF9AE}" pid="48" name="Folder_Updater">
    <vt:lpwstr/>
  </property>
  <property fmtid="{D5CDD505-2E9C-101B-9397-08002B2CF9AE}" pid="49" name="Folder_UpdaterDesc">
    <vt:lpwstr/>
  </property>
  <property fmtid="{D5CDD505-2E9C-101B-9397-08002B2CF9AE}" pid="50" name="Folder_UpdateDate">
    <vt:lpwstr/>
  </property>
  <property fmtid="{D5CDD505-2E9C-101B-9397-08002B2CF9AE}" pid="51" name="Document_Number">
    <vt:lpwstr/>
  </property>
  <property fmtid="{D5CDD505-2E9C-101B-9397-08002B2CF9AE}" pid="52" name="Document_Name">
    <vt:lpwstr/>
  </property>
  <property fmtid="{D5CDD505-2E9C-101B-9397-08002B2CF9AE}" pid="53" name="Document_FileName">
    <vt:lpwstr/>
  </property>
  <property fmtid="{D5CDD505-2E9C-101B-9397-08002B2CF9AE}" pid="54" name="Document_Version">
    <vt:lpwstr/>
  </property>
  <property fmtid="{D5CDD505-2E9C-101B-9397-08002B2CF9AE}" pid="55" name="Document_VersionSeq">
    <vt:lpwstr/>
  </property>
  <property fmtid="{D5CDD505-2E9C-101B-9397-08002B2CF9AE}" pid="56" name="Document_Creator">
    <vt:lpwstr/>
  </property>
  <property fmtid="{D5CDD505-2E9C-101B-9397-08002B2CF9AE}" pid="57" name="Document_CreatorDesc">
    <vt:lpwstr/>
  </property>
  <property fmtid="{D5CDD505-2E9C-101B-9397-08002B2CF9AE}" pid="58" name="Document_CreateDate">
    <vt:lpwstr/>
  </property>
  <property fmtid="{D5CDD505-2E9C-101B-9397-08002B2CF9AE}" pid="59" name="Document_Updater">
    <vt:lpwstr/>
  </property>
  <property fmtid="{D5CDD505-2E9C-101B-9397-08002B2CF9AE}" pid="60" name="Document_UpdaterDesc">
    <vt:lpwstr/>
  </property>
  <property fmtid="{D5CDD505-2E9C-101B-9397-08002B2CF9AE}" pid="61" name="Document_UpdateDate">
    <vt:lpwstr/>
  </property>
  <property fmtid="{D5CDD505-2E9C-101B-9397-08002B2CF9AE}" pid="62" name="Document_Size">
    <vt:lpwstr/>
  </property>
  <property fmtid="{D5CDD505-2E9C-101B-9397-08002B2CF9AE}" pid="63" name="Document_Storage">
    <vt:lpwstr/>
  </property>
  <property fmtid="{D5CDD505-2E9C-101B-9397-08002B2CF9AE}" pid="64" name="Document_StorageDesc">
    <vt:lpwstr/>
  </property>
  <property fmtid="{D5CDD505-2E9C-101B-9397-08002B2CF9AE}" pid="65" name="Document_Department">
    <vt:lpwstr/>
  </property>
  <property fmtid="{D5CDD505-2E9C-101B-9397-08002B2CF9AE}" pid="66" name="Document_DepartmentDesc">
    <vt:lpwstr/>
  </property>
  <property fmtid="{D5CDD505-2E9C-101B-9397-08002B2CF9AE}" pid="67" name="MediaServiceImageTags">
    <vt:lpwstr/>
  </property>
  <property fmtid="{D5CDD505-2E9C-101B-9397-08002B2CF9AE}" pid="68" name="xd_ProgID">
    <vt:lpwstr/>
  </property>
  <property fmtid="{D5CDD505-2E9C-101B-9397-08002B2CF9AE}" pid="69" name="ComplianceAssetId">
    <vt:lpwstr/>
  </property>
  <property fmtid="{D5CDD505-2E9C-101B-9397-08002B2CF9AE}" pid="70" name="TemplateUrl">
    <vt:lpwstr/>
  </property>
  <property fmtid="{D5CDD505-2E9C-101B-9397-08002B2CF9AE}" pid="71" name="_ExtendedDescription">
    <vt:lpwstr/>
  </property>
  <property fmtid="{D5CDD505-2E9C-101B-9397-08002B2CF9AE}" pid="72" name="xd_Signature">
    <vt:bool>false</vt:bool>
  </property>
  <property fmtid="{D5CDD505-2E9C-101B-9397-08002B2CF9AE}" pid="73" name="TriggerFlowInfo">
    <vt:lpwstr/>
  </property>
</Properties>
</file>