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Undo_AECOM_Insert_Table_13x16z36"/>
    <w:bookmarkEnd w:id="0"/>
    <w:p w14:paraId="08B75CE9" w14:textId="7DE0CDF5" w:rsidR="00BF01E0" w:rsidRDefault="00D54666" w:rsidP="00F12DD7">
      <w:pPr>
        <w:pStyle w:val="BodyText"/>
        <w:rPr>
          <w:noProof/>
          <w:lang w:eastAsia="en-GB"/>
        </w:rPr>
      </w:pPr>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65AB642C"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4" w:name="Cover1" w:colFirst="0" w:colLast="1"/>
                                <w:bookmarkStart w:id="5"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5C0BF338" w:rsidR="00193A2F" w:rsidRPr="0087529F" w:rsidRDefault="00193A2F" w:rsidP="0087529F">
                                  <w:pPr>
                                    <w:pStyle w:val="Subtitleheading"/>
                                    <w:rPr>
                                      <w:color w:val="FFFFFF"/>
                                    </w:rPr>
                                  </w:pPr>
                                  <w:r>
                                    <w:rPr>
                                      <w:color w:val="FFFFFF"/>
                                    </w:rPr>
                                    <w:t xml:space="preserve">Chapter </w:t>
                                  </w:r>
                                  <w:r w:rsidR="00CA1D76">
                                    <w:rPr>
                                      <w:color w:val="FFFFFF"/>
                                    </w:rPr>
                                    <w:t xml:space="preserve">05: </w:t>
                                  </w:r>
                                  <w:r w:rsidR="00A76346">
                                    <w:rPr>
                                      <w:color w:val="FFFFFF"/>
                                    </w:rPr>
                                    <w:t>Population and Human Health</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68648B9" w:rsidR="00CF237B" w:rsidRPr="0087529F" w:rsidRDefault="00F271AA" w:rsidP="0087529F">
                                  <w:pPr>
                                    <w:pStyle w:val="Coverfooter"/>
                                    <w:rPr>
                                      <w:color w:val="FFFFFF"/>
                                    </w:rPr>
                                  </w:pPr>
                                  <w:r>
                                    <w:rPr>
                                      <w:color w:val="FFFFFF"/>
                                    </w:rPr>
                                    <w:t>August</w:t>
                                  </w:r>
                                  <w:r w:rsidR="001F32CB">
                                    <w:rPr>
                                      <w:color w:val="FFFFFF"/>
                                    </w:rPr>
                                    <w:t xml:space="preserve"> 2026</w:t>
                                  </w:r>
                                </w:p>
                              </w:tc>
                            </w:tr>
                            <w:bookmarkEnd w:id="4"/>
                            <w:bookmarkEnd w:id="5"/>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type w14:anchorId="5F3D88F8" id="_x0000_t202" coordsize="21600,21600" o:spt="202" path="m,l,21600r21600,l21600,xe">
                <v:stroke joinstyle="miter"/>
                <v:path gradientshapeok="t" o:connecttype="rect"/>
              </v:shapetype>
              <v:shape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6" w:name="Cover1" w:colFirst="0" w:colLast="1"/>
                          <w:bookmarkStart w:id="7"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5C0BF338" w:rsidR="00193A2F" w:rsidRPr="0087529F" w:rsidRDefault="00193A2F" w:rsidP="0087529F">
                            <w:pPr>
                              <w:pStyle w:val="Subtitleheading"/>
                              <w:rPr>
                                <w:color w:val="FFFFFF"/>
                              </w:rPr>
                            </w:pPr>
                            <w:r>
                              <w:rPr>
                                <w:color w:val="FFFFFF"/>
                              </w:rPr>
                              <w:t xml:space="preserve">Chapter </w:t>
                            </w:r>
                            <w:r w:rsidR="00CA1D76">
                              <w:rPr>
                                <w:color w:val="FFFFFF"/>
                              </w:rPr>
                              <w:t xml:space="preserve">05: </w:t>
                            </w:r>
                            <w:r w:rsidR="00A76346">
                              <w:rPr>
                                <w:color w:val="FFFFFF"/>
                              </w:rPr>
                              <w:t>Population and Human Health</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68648B9" w:rsidR="00CF237B" w:rsidRPr="0087529F" w:rsidRDefault="00F271AA" w:rsidP="0087529F">
                            <w:pPr>
                              <w:pStyle w:val="Coverfooter"/>
                              <w:rPr>
                                <w:color w:val="FFFFFF"/>
                              </w:rPr>
                            </w:pPr>
                            <w:r>
                              <w:rPr>
                                <w:color w:val="FFFFFF"/>
                              </w:rPr>
                              <w:t>August</w:t>
                            </w:r>
                            <w:r w:rsidR="001F32CB">
                              <w:rPr>
                                <w:color w:val="FFFFFF"/>
                              </w:rPr>
                              <w:t xml:space="preserve"> 2026</w:t>
                            </w:r>
                          </w:p>
                        </w:tc>
                      </w:tr>
                      <w:bookmarkEnd w:id="6"/>
                      <w:bookmarkEnd w:id="7"/>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8" w:name="Cover3" w:colFirst="0" w:colLast="2"/>
                                <w:bookmarkStart w:id="9"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0"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0"/>
                                </w:p>
                              </w:tc>
                            </w:tr>
                            <w:bookmarkEnd w:id="8"/>
                            <w:bookmarkEnd w:id="9"/>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4" w:name="Text_QualityInformation"/>
      <w:bookmarkStart w:id="15" w:name="QualityControlPage"/>
      <w:r>
        <w:lastRenderedPageBreak/>
        <w:t>Quality information</w:t>
      </w:r>
      <w:bookmarkEnd w:id="14"/>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6" w:name="Text_PreparedBy"/>
            <w:bookmarkStart w:id="17" w:name="QITable"/>
            <w:r>
              <w:t>Prepared by</w:t>
            </w:r>
            <w:bookmarkEnd w:id="16"/>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18" w:name="Text_CheckedBy"/>
            <w:r>
              <w:t>Checked by</w:t>
            </w:r>
            <w:bookmarkEnd w:id="18"/>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19" w:name="Text_VerifiedBy"/>
            <w:r>
              <w:t>Verified by</w:t>
            </w:r>
            <w:bookmarkEnd w:id="19"/>
          </w:p>
        </w:tc>
        <w:tc>
          <w:tcPr>
            <w:tcW w:w="284" w:type="dxa"/>
            <w:tcBorders>
              <w:bottom w:val="nil"/>
            </w:tcBorders>
          </w:tcPr>
          <w:p w14:paraId="1571BA7C" w14:textId="77777777" w:rsidR="003E5E12" w:rsidRDefault="003E5E12">
            <w:pPr>
              <w:pStyle w:val="Tabletext"/>
            </w:pPr>
          </w:p>
        </w:tc>
        <w:tc>
          <w:tcPr>
            <w:tcW w:w="2041" w:type="dxa"/>
          </w:tcPr>
          <w:p w14:paraId="470BE89C" w14:textId="65D2EFD6" w:rsidR="003E5E12" w:rsidRDefault="0087529F">
            <w:pPr>
              <w:pStyle w:val="Tabletext"/>
            </w:pPr>
            <w:bookmarkStart w:id="20" w:name="Text_ApprovedBy"/>
            <w:r>
              <w:t>Approved by</w:t>
            </w:r>
            <w:bookmarkEnd w:id="20"/>
          </w:p>
        </w:tc>
      </w:tr>
      <w:tr w:rsidR="002E69BE" w14:paraId="551E00FD" w14:textId="77777777" w:rsidTr="002E69BE">
        <w:tc>
          <w:tcPr>
            <w:tcW w:w="2041" w:type="dxa"/>
          </w:tcPr>
          <w:p w14:paraId="0227D189" w14:textId="604601E8" w:rsidR="003E5E12" w:rsidRPr="000741FA" w:rsidRDefault="000741FA" w:rsidP="00AA045B">
            <w:pPr>
              <w:pStyle w:val="Tabletext"/>
            </w:pPr>
            <w:r w:rsidRPr="000741FA">
              <w:t>LC</w:t>
            </w:r>
          </w:p>
          <w:p w14:paraId="4F56EE22" w14:textId="5B651D03" w:rsidR="00A40809" w:rsidRDefault="00A40809" w:rsidP="00AA045B">
            <w:pPr>
              <w:pStyle w:val="Tabletext"/>
            </w:pPr>
            <w:r w:rsidRPr="00A40809">
              <w:rPr>
                <w:highlight w:val="yellow"/>
              </w:rPr>
              <w:t>XXX</w:t>
            </w:r>
          </w:p>
          <w:p w14:paraId="4C9E1656" w14:textId="77777777" w:rsidR="003E5E12" w:rsidRDefault="003E5E12" w:rsidP="00AA045B">
            <w:pPr>
              <w:pStyle w:val="Tabletext"/>
            </w:pPr>
          </w:p>
        </w:tc>
        <w:tc>
          <w:tcPr>
            <w:tcW w:w="283" w:type="dxa"/>
            <w:tcBorders>
              <w:top w:val="nil"/>
              <w:bottom w:val="nil"/>
            </w:tcBorders>
          </w:tcPr>
          <w:p w14:paraId="67CBC978" w14:textId="77777777" w:rsidR="003E5E12" w:rsidRDefault="003E5E12" w:rsidP="00AA045B">
            <w:pPr>
              <w:pStyle w:val="Tabletext"/>
            </w:pPr>
          </w:p>
        </w:tc>
        <w:tc>
          <w:tcPr>
            <w:tcW w:w="2041" w:type="dxa"/>
          </w:tcPr>
          <w:p w14:paraId="6CE6BD35" w14:textId="3D009324" w:rsidR="00A40809" w:rsidRPr="000741FA" w:rsidRDefault="000741FA" w:rsidP="00A40809">
            <w:pPr>
              <w:pStyle w:val="Tabletext"/>
            </w:pPr>
            <w:r w:rsidRPr="000741FA">
              <w:t>JB</w:t>
            </w:r>
          </w:p>
          <w:p w14:paraId="0FFCE47A" w14:textId="051606C5" w:rsidR="003E5E12" w:rsidRDefault="00A40809" w:rsidP="00AA045B">
            <w:pPr>
              <w:pStyle w:val="Tabletext"/>
            </w:pPr>
            <w:r w:rsidRPr="00A40809">
              <w:rPr>
                <w:highlight w:val="yellow"/>
              </w:rPr>
              <w:t>XXX</w:t>
            </w:r>
          </w:p>
        </w:tc>
        <w:tc>
          <w:tcPr>
            <w:tcW w:w="283" w:type="dxa"/>
            <w:tcBorders>
              <w:top w:val="nil"/>
              <w:bottom w:val="nil"/>
            </w:tcBorders>
          </w:tcPr>
          <w:p w14:paraId="73D5D4AA" w14:textId="77777777" w:rsidR="003E5E12" w:rsidRDefault="003E5E12" w:rsidP="00AA045B">
            <w:pPr>
              <w:pStyle w:val="Tabletext"/>
            </w:pPr>
          </w:p>
        </w:tc>
        <w:tc>
          <w:tcPr>
            <w:tcW w:w="2041" w:type="dxa"/>
          </w:tcPr>
          <w:p w14:paraId="6C7C6E79" w14:textId="6A014237" w:rsidR="00A40809" w:rsidRPr="000741FA" w:rsidRDefault="000741FA" w:rsidP="00A40809">
            <w:pPr>
              <w:pStyle w:val="Tabletext"/>
            </w:pPr>
            <w:r w:rsidRPr="000741FA">
              <w:t>JB</w:t>
            </w:r>
          </w:p>
          <w:p w14:paraId="6D4C6E5F" w14:textId="4FEA0F6A" w:rsidR="003E5E12" w:rsidRDefault="00A40809" w:rsidP="00AA045B">
            <w:pPr>
              <w:pStyle w:val="Tabletext"/>
            </w:pPr>
            <w:r w:rsidRPr="00A40809">
              <w:rPr>
                <w:highlight w:val="yellow"/>
              </w:rPr>
              <w:t>XXX</w:t>
            </w:r>
          </w:p>
        </w:tc>
        <w:tc>
          <w:tcPr>
            <w:tcW w:w="284" w:type="dxa"/>
            <w:tcBorders>
              <w:top w:val="nil"/>
              <w:bottom w:val="nil"/>
            </w:tcBorders>
          </w:tcPr>
          <w:p w14:paraId="28333304" w14:textId="77777777" w:rsidR="003E5E12" w:rsidRDefault="003E5E12">
            <w:pPr>
              <w:pStyle w:val="Tabletext"/>
            </w:pPr>
          </w:p>
        </w:tc>
        <w:tc>
          <w:tcPr>
            <w:tcW w:w="2041" w:type="dxa"/>
          </w:tcPr>
          <w:p w14:paraId="6A655579" w14:textId="77777777" w:rsidR="00A40809" w:rsidRDefault="00A40809" w:rsidP="00A40809">
            <w:pPr>
              <w:pStyle w:val="Tabletext"/>
            </w:pPr>
            <w:r>
              <w:t>Richard O'Callaghan</w:t>
            </w:r>
          </w:p>
          <w:p w14:paraId="4F38E7B6" w14:textId="4C8CEA95" w:rsidR="003E5E12" w:rsidRDefault="00A40809" w:rsidP="00A40809">
            <w:pPr>
              <w:pStyle w:val="Tabletext"/>
            </w:pPr>
            <w:r>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1" w:name="Contact2"/>
            <w:bookmarkEnd w:id="21"/>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2" w:name="CheckedBy"/>
            <w:bookmarkEnd w:id="22"/>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3" w:name="VerifiedBy"/>
            <w:bookmarkEnd w:id="23"/>
          </w:p>
        </w:tc>
        <w:tc>
          <w:tcPr>
            <w:tcW w:w="284" w:type="dxa"/>
            <w:tcBorders>
              <w:top w:val="nil"/>
              <w:bottom w:val="nil"/>
            </w:tcBorders>
          </w:tcPr>
          <w:p w14:paraId="602A55A0" w14:textId="77777777" w:rsidR="003E5E12" w:rsidRDefault="003E5E12">
            <w:pPr>
              <w:pStyle w:val="Tabletext"/>
            </w:pPr>
          </w:p>
        </w:tc>
        <w:tc>
          <w:tcPr>
            <w:tcW w:w="2041" w:type="dxa"/>
          </w:tcPr>
          <w:p w14:paraId="5323D7BB" w14:textId="077C6CB4" w:rsidR="003E5E12" w:rsidRDefault="003E5E12">
            <w:pPr>
              <w:pStyle w:val="Tabletext"/>
            </w:pPr>
            <w:bookmarkStart w:id="24" w:name="ApprovedBy"/>
            <w:bookmarkEnd w:id="24"/>
          </w:p>
        </w:tc>
      </w:tr>
      <w:bookmarkEnd w:id="17"/>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5" w:name="Text_RevisionHistory"/>
      <w:r>
        <w:t>Revision History</w:t>
      </w:r>
      <w:bookmarkEnd w:id="25"/>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6" w:name="Text_Revision"/>
            <w:r>
              <w:t>Revision</w:t>
            </w:r>
            <w:bookmarkEnd w:id="26"/>
          </w:p>
        </w:tc>
        <w:tc>
          <w:tcPr>
            <w:tcW w:w="1544" w:type="dxa"/>
          </w:tcPr>
          <w:p w14:paraId="3B47AC09" w14:textId="20660B80" w:rsidR="00067457" w:rsidRDefault="0087529F" w:rsidP="00AA045B">
            <w:pPr>
              <w:pStyle w:val="Tabletext"/>
              <w:rPr>
                <w:b w:val="0"/>
              </w:rPr>
            </w:pPr>
            <w:bookmarkStart w:id="27" w:name="Text_RevisionDate"/>
            <w:r>
              <w:t>Revision date</w:t>
            </w:r>
            <w:bookmarkEnd w:id="27"/>
          </w:p>
        </w:tc>
        <w:tc>
          <w:tcPr>
            <w:tcW w:w="1543" w:type="dxa"/>
          </w:tcPr>
          <w:p w14:paraId="479FAB10" w14:textId="77777777" w:rsidR="00067457" w:rsidRDefault="00067457" w:rsidP="00AA045B">
            <w:pPr>
              <w:pStyle w:val="Tabletext"/>
            </w:pPr>
            <w:bookmarkStart w:id="28" w:name="Text_Details"/>
            <w:r>
              <w:t>Details</w:t>
            </w:r>
            <w:bookmarkEnd w:id="28"/>
          </w:p>
        </w:tc>
        <w:tc>
          <w:tcPr>
            <w:tcW w:w="1543" w:type="dxa"/>
          </w:tcPr>
          <w:p w14:paraId="53725DD4" w14:textId="77777777" w:rsidR="00067457" w:rsidRDefault="00067457" w:rsidP="00AA045B">
            <w:pPr>
              <w:pStyle w:val="Tabletext"/>
            </w:pPr>
            <w:bookmarkStart w:id="29" w:name="Text_Authorized"/>
            <w:r>
              <w:t>Authori</w:t>
            </w:r>
            <w:r w:rsidR="00A77BD6">
              <w:t>z</w:t>
            </w:r>
            <w:r>
              <w:t>ed</w:t>
            </w:r>
            <w:bookmarkEnd w:id="29"/>
          </w:p>
        </w:tc>
        <w:tc>
          <w:tcPr>
            <w:tcW w:w="1543" w:type="dxa"/>
          </w:tcPr>
          <w:p w14:paraId="65865FC3" w14:textId="77777777" w:rsidR="00067457" w:rsidRPr="009052D1" w:rsidRDefault="00067457" w:rsidP="00AA045B">
            <w:pPr>
              <w:pStyle w:val="Tabletext"/>
            </w:pPr>
            <w:bookmarkStart w:id="30" w:name="Text_Name"/>
            <w:r w:rsidRPr="009052D1">
              <w:t>Name</w:t>
            </w:r>
            <w:bookmarkEnd w:id="30"/>
          </w:p>
        </w:tc>
        <w:tc>
          <w:tcPr>
            <w:tcW w:w="1543" w:type="dxa"/>
          </w:tcPr>
          <w:p w14:paraId="6F149C32" w14:textId="77777777" w:rsidR="00067457" w:rsidRDefault="00067457" w:rsidP="00AA045B">
            <w:pPr>
              <w:pStyle w:val="Tabletext"/>
            </w:pPr>
            <w:bookmarkStart w:id="31" w:name="Text_Position"/>
            <w:r>
              <w:t>Position</w:t>
            </w:r>
            <w:bookmarkEnd w:id="31"/>
          </w:p>
        </w:tc>
      </w:tr>
      <w:tr w:rsidR="00A40809" w:rsidRPr="00542F08" w14:paraId="066C8F6C" w14:textId="77777777" w:rsidTr="00A40809">
        <w:tc>
          <w:tcPr>
            <w:tcW w:w="1544" w:type="dxa"/>
          </w:tcPr>
          <w:p w14:paraId="4C3F850E" w14:textId="3F05D33C" w:rsidR="00A40809" w:rsidRPr="00366F72" w:rsidRDefault="00A40809" w:rsidP="00A40809">
            <w:pPr>
              <w:pStyle w:val="Tabletext"/>
            </w:pPr>
            <w:bookmarkStart w:id="32" w:name="RevisionStatus"/>
            <w:bookmarkEnd w:id="32"/>
            <w:r w:rsidRPr="00366F72">
              <w:t>0</w:t>
            </w:r>
          </w:p>
        </w:tc>
        <w:tc>
          <w:tcPr>
            <w:tcW w:w="1544" w:type="dxa"/>
          </w:tcPr>
          <w:p w14:paraId="3BE03983" w14:textId="2B8B7621" w:rsidR="00A40809" w:rsidRPr="00366F72" w:rsidRDefault="000741FA" w:rsidP="00A40809">
            <w:pPr>
              <w:pStyle w:val="Tabletext"/>
            </w:pPr>
            <w:r w:rsidRPr="00366F72">
              <w:t>23</w:t>
            </w:r>
            <w:r w:rsidR="00A40809" w:rsidRPr="00366F72">
              <w:t>/</w:t>
            </w:r>
            <w:r w:rsidRPr="00366F72">
              <w:t>06</w:t>
            </w:r>
            <w:r w:rsidR="00A40809" w:rsidRPr="00366F72">
              <w:t>/2026</w:t>
            </w:r>
          </w:p>
        </w:tc>
        <w:tc>
          <w:tcPr>
            <w:tcW w:w="1543" w:type="dxa"/>
          </w:tcPr>
          <w:p w14:paraId="240B1EBF" w14:textId="42B3877E" w:rsidR="00A40809" w:rsidRPr="00366F72" w:rsidRDefault="00A40809" w:rsidP="00A40809">
            <w:pPr>
              <w:pStyle w:val="Tabletext"/>
            </w:pPr>
            <w:r w:rsidRPr="00366F72">
              <w:t>Draft</w:t>
            </w:r>
          </w:p>
        </w:tc>
        <w:tc>
          <w:tcPr>
            <w:tcW w:w="1543" w:type="dxa"/>
          </w:tcPr>
          <w:p w14:paraId="59A75C27" w14:textId="21B94447" w:rsidR="00A40809" w:rsidRPr="00366F72" w:rsidRDefault="00A40809" w:rsidP="00A40809">
            <w:pPr>
              <w:pStyle w:val="Tabletext"/>
            </w:pPr>
            <w:r w:rsidRPr="00366F72">
              <w:t>N</w:t>
            </w:r>
          </w:p>
        </w:tc>
        <w:tc>
          <w:tcPr>
            <w:tcW w:w="1543" w:type="dxa"/>
          </w:tcPr>
          <w:p w14:paraId="04872B0C" w14:textId="0CB3CD8F" w:rsidR="00A40809" w:rsidRPr="00366F72" w:rsidRDefault="00A40809" w:rsidP="00A40809">
            <w:pPr>
              <w:pStyle w:val="Tabletext"/>
            </w:pPr>
            <w:r w:rsidRPr="00366F72">
              <w:t>Richard O'Callaghan</w:t>
            </w:r>
          </w:p>
        </w:tc>
        <w:tc>
          <w:tcPr>
            <w:tcW w:w="1543" w:type="dxa"/>
          </w:tcPr>
          <w:p w14:paraId="508B2DE5" w14:textId="4520B3F6" w:rsidR="00A40809" w:rsidRPr="00366F72" w:rsidRDefault="00A40809" w:rsidP="00A40809">
            <w:pPr>
              <w:pStyle w:val="Tabletext"/>
            </w:pPr>
            <w:r w:rsidRPr="00366F72">
              <w:t>Project Director</w:t>
            </w:r>
          </w:p>
        </w:tc>
      </w:tr>
      <w:tr w:rsidR="00A40809" w:rsidRPr="00542F08" w14:paraId="3AE42660" w14:textId="77777777" w:rsidTr="00A40809">
        <w:tc>
          <w:tcPr>
            <w:tcW w:w="1544" w:type="dxa"/>
          </w:tcPr>
          <w:p w14:paraId="0DC6E4ED" w14:textId="4C659A9A" w:rsidR="00A40809" w:rsidRPr="00366F72" w:rsidRDefault="00A40809" w:rsidP="00A40809">
            <w:pPr>
              <w:pStyle w:val="Tabletext"/>
            </w:pPr>
            <w:r w:rsidRPr="00366F72">
              <w:t>1</w:t>
            </w:r>
          </w:p>
        </w:tc>
        <w:tc>
          <w:tcPr>
            <w:tcW w:w="1544" w:type="dxa"/>
          </w:tcPr>
          <w:p w14:paraId="2248FE8A" w14:textId="2979759C" w:rsidR="00A40809" w:rsidRPr="00366F72" w:rsidRDefault="00366F72" w:rsidP="00A40809">
            <w:pPr>
              <w:pStyle w:val="Tabletext"/>
            </w:pPr>
            <w:r w:rsidRPr="00366F72">
              <w:t>02</w:t>
            </w:r>
            <w:r w:rsidR="00A40809" w:rsidRPr="00366F72">
              <w:t>/</w:t>
            </w:r>
            <w:r w:rsidRPr="00366F72">
              <w:t>06</w:t>
            </w:r>
            <w:r w:rsidR="00A40809" w:rsidRPr="00366F72">
              <w:t>/2026</w:t>
            </w:r>
          </w:p>
        </w:tc>
        <w:tc>
          <w:tcPr>
            <w:tcW w:w="1543" w:type="dxa"/>
          </w:tcPr>
          <w:p w14:paraId="6559AE93" w14:textId="43E5F134" w:rsidR="00A40809" w:rsidRPr="00366F72" w:rsidRDefault="00A40809" w:rsidP="00A40809">
            <w:pPr>
              <w:pStyle w:val="Tabletext"/>
            </w:pPr>
            <w:r w:rsidRPr="00366F72">
              <w:t>Final</w:t>
            </w:r>
          </w:p>
        </w:tc>
        <w:tc>
          <w:tcPr>
            <w:tcW w:w="1543" w:type="dxa"/>
          </w:tcPr>
          <w:p w14:paraId="3C8B3151" w14:textId="240C853C" w:rsidR="00A40809" w:rsidRPr="00366F72" w:rsidRDefault="00A40809" w:rsidP="00A40809">
            <w:pPr>
              <w:pStyle w:val="Tabletext"/>
            </w:pPr>
          </w:p>
        </w:tc>
        <w:tc>
          <w:tcPr>
            <w:tcW w:w="1543" w:type="dxa"/>
          </w:tcPr>
          <w:p w14:paraId="42EFCA31" w14:textId="68E19A46" w:rsidR="00A40809" w:rsidRPr="00366F72" w:rsidRDefault="00A40809" w:rsidP="00A40809">
            <w:pPr>
              <w:pStyle w:val="Tabletext"/>
            </w:pPr>
            <w:r w:rsidRPr="00366F72">
              <w:t>Richard O'Callaghan</w:t>
            </w:r>
          </w:p>
        </w:tc>
        <w:tc>
          <w:tcPr>
            <w:tcW w:w="1543" w:type="dxa"/>
          </w:tcPr>
          <w:p w14:paraId="042C8482" w14:textId="12A4ADA6" w:rsidR="00A40809" w:rsidRPr="00366F72" w:rsidRDefault="00A40809" w:rsidP="00A40809">
            <w:pPr>
              <w:pStyle w:val="Tabletext"/>
            </w:pPr>
            <w:r w:rsidRPr="00366F72">
              <w:t>Project Director</w:t>
            </w: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3" w:name="Text_DistributionList"/>
      <w:r>
        <w:t>Distribution List</w:t>
      </w:r>
      <w:bookmarkEnd w:id="33"/>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4" w:name="Text_HardCopies"/>
            <w:r>
              <w:t># Hard Copies</w:t>
            </w:r>
            <w:bookmarkEnd w:id="34"/>
            <w:r w:rsidR="00067457" w:rsidRPr="00556EBF">
              <w:t xml:space="preserve"> </w:t>
            </w:r>
          </w:p>
        </w:tc>
        <w:tc>
          <w:tcPr>
            <w:tcW w:w="1508" w:type="dxa"/>
          </w:tcPr>
          <w:p w14:paraId="3A572847" w14:textId="3AC285E1" w:rsidR="00067457" w:rsidRPr="00556EBF" w:rsidRDefault="0087529F" w:rsidP="00AA045B">
            <w:pPr>
              <w:pStyle w:val="Tabletext"/>
            </w:pPr>
            <w:bookmarkStart w:id="35" w:name="Text_PDFRequired"/>
            <w:r>
              <w:t>PDF Required</w:t>
            </w:r>
            <w:bookmarkEnd w:id="35"/>
          </w:p>
        </w:tc>
        <w:tc>
          <w:tcPr>
            <w:tcW w:w="6056" w:type="dxa"/>
          </w:tcPr>
          <w:p w14:paraId="3CB0FA78" w14:textId="2555C222" w:rsidR="00067457" w:rsidRPr="00556EBF" w:rsidRDefault="0087529F" w:rsidP="00AA045B">
            <w:pPr>
              <w:pStyle w:val="Tabletext"/>
            </w:pPr>
            <w:bookmarkStart w:id="36" w:name="Text_AssociationCompanyName"/>
            <w:r>
              <w:t>Association / Company Name</w:t>
            </w:r>
            <w:bookmarkEnd w:id="36"/>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5"/>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37" w:name="Text_PreparedFor"/>
      <w:r>
        <w:br w:type="page"/>
      </w:r>
    </w:p>
    <w:p w14:paraId="6BACCCF9" w14:textId="471CADD0" w:rsidR="00831688" w:rsidRPr="008952D6" w:rsidRDefault="0087529F" w:rsidP="00542F08">
      <w:pPr>
        <w:pStyle w:val="Heading"/>
      </w:pPr>
      <w:r>
        <w:lastRenderedPageBreak/>
        <w:t>Prepared for</w:t>
      </w:r>
      <w:bookmarkEnd w:id="37"/>
      <w:r w:rsidR="00831688" w:rsidRPr="008952D6">
        <w:t>:</w:t>
      </w:r>
    </w:p>
    <w:p w14:paraId="5F4062C4" w14:textId="2EE243C9" w:rsidR="002F3B02" w:rsidRPr="0080040C" w:rsidRDefault="00946CE0"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38" w:name="FooterClientAddress"/>
      <w:bookmarkEnd w:id="38"/>
    </w:p>
    <w:p w14:paraId="326DE8DF" w14:textId="77777777" w:rsidR="00831688" w:rsidRDefault="00831688" w:rsidP="0080040C">
      <w:pPr>
        <w:pStyle w:val="BodyText"/>
      </w:pPr>
    </w:p>
    <w:p w14:paraId="3D8B7207" w14:textId="12D21637" w:rsidR="000F22FF" w:rsidRDefault="0087529F" w:rsidP="000F22FF">
      <w:pPr>
        <w:pStyle w:val="Heading"/>
      </w:pPr>
      <w:bookmarkStart w:id="39" w:name="Text_PreparedBy_1"/>
      <w:r>
        <w:t>Prepared by</w:t>
      </w:r>
      <w:bookmarkEnd w:id="39"/>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1998FBBA" w:rsidR="00A40809" w:rsidRPr="00A40809" w:rsidRDefault="00946CE0"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0" w:name="Copyright"/>
      <w:bookmarkStart w:id="41" w:name="Disclaimer"/>
      <w:r w:rsidRPr="005337F3">
        <w:t>© 202</w:t>
      </w:r>
      <w:r>
        <w:t>6</w:t>
      </w:r>
      <w:r w:rsidRPr="005337F3">
        <w:t xml:space="preserve"> AECOM Ireland Limited. All Rights Reserved. </w:t>
      </w:r>
      <w:bookmarkEnd w:id="40"/>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2" w:name="UKILongformLimitations"/>
      <w:bookmarkEnd w:id="41"/>
      <w:r w:rsidR="0087529F">
        <w:t xml:space="preserve"> </w:t>
      </w:r>
      <w:bookmarkEnd w:id="42"/>
      <w:r w:rsidR="000D13AF">
        <w:br w:type="page"/>
      </w:r>
    </w:p>
    <w:p w14:paraId="1366CD48" w14:textId="77777777" w:rsidR="003964F2" w:rsidRDefault="003964F2" w:rsidP="003964F2">
      <w:pPr>
        <w:pStyle w:val="TOCHeading"/>
        <w:rPr>
          <w:noProof/>
        </w:rPr>
      </w:pPr>
      <w:bookmarkStart w:id="43" w:name="Text_Contents"/>
      <w:bookmarkStart w:id="44" w:name="TOC"/>
      <w:r>
        <w:rPr>
          <w:noProof/>
        </w:rPr>
        <w:lastRenderedPageBreak/>
        <w:t>Table of Contents</w:t>
      </w:r>
      <w:bookmarkEnd w:id="43"/>
    </w:p>
    <w:p w14:paraId="6356A7B0" w14:textId="27288B69" w:rsidR="00BC0A49" w:rsidRDefault="00A40809">
      <w:pPr>
        <w:pStyle w:val="TOC1"/>
        <w:rPr>
          <w:rFonts w:asciiTheme="minorHAnsi" w:eastAsiaTheme="minorEastAsia" w:hAnsiTheme="minorHAnsi"/>
          <w:noProof/>
          <w:kern w:val="2"/>
          <w:sz w:val="24"/>
          <w:szCs w:val="24"/>
          <w:lang w:val="en-IE" w:eastAsia="en-IE"/>
          <w14:ligatures w14:val="standardContextual"/>
        </w:rPr>
      </w:pPr>
      <w:r>
        <w:rPr>
          <w:noProof/>
        </w:rPr>
        <w:fldChar w:fldCharType="begin"/>
      </w:r>
      <w:r>
        <w:rPr>
          <w:noProof/>
        </w:rPr>
        <w:instrText xml:space="preserve"> TOC \o "1-3" \u </w:instrText>
      </w:r>
      <w:r>
        <w:rPr>
          <w:noProof/>
        </w:rPr>
        <w:fldChar w:fldCharType="separate"/>
      </w:r>
      <w:r w:rsidR="00BC0A49">
        <w:rPr>
          <w:noProof/>
        </w:rPr>
        <w:t>5</w:t>
      </w:r>
      <w:r w:rsidR="00BC0A49">
        <w:rPr>
          <w:rFonts w:asciiTheme="minorHAnsi" w:eastAsiaTheme="minorEastAsia" w:hAnsiTheme="minorHAnsi"/>
          <w:noProof/>
          <w:kern w:val="2"/>
          <w:sz w:val="24"/>
          <w:szCs w:val="24"/>
          <w:lang w:val="en-IE" w:eastAsia="en-IE"/>
          <w14:ligatures w14:val="standardContextual"/>
        </w:rPr>
        <w:tab/>
      </w:r>
      <w:r w:rsidR="00BC0A49">
        <w:rPr>
          <w:noProof/>
        </w:rPr>
        <w:t>Population and Human Health</w:t>
      </w:r>
      <w:r w:rsidR="00BC0A49">
        <w:rPr>
          <w:noProof/>
        </w:rPr>
        <w:tab/>
      </w:r>
      <w:r w:rsidR="00BC0A49">
        <w:rPr>
          <w:noProof/>
        </w:rPr>
        <w:fldChar w:fldCharType="begin"/>
      </w:r>
      <w:r w:rsidR="00BC0A49">
        <w:rPr>
          <w:noProof/>
        </w:rPr>
        <w:instrText xml:space="preserve"> PAGEREF _Toc233122757 \h </w:instrText>
      </w:r>
      <w:r w:rsidR="00BC0A49">
        <w:rPr>
          <w:noProof/>
        </w:rPr>
      </w:r>
      <w:r w:rsidR="00BC0A49">
        <w:rPr>
          <w:noProof/>
        </w:rPr>
        <w:fldChar w:fldCharType="separate"/>
      </w:r>
      <w:r w:rsidR="00946CE0">
        <w:rPr>
          <w:noProof/>
        </w:rPr>
        <w:t>5-1</w:t>
      </w:r>
      <w:r w:rsidR="00BC0A49">
        <w:rPr>
          <w:noProof/>
        </w:rPr>
        <w:fldChar w:fldCharType="end"/>
      </w:r>
    </w:p>
    <w:p w14:paraId="0E6BE95A" w14:textId="132A101D" w:rsidR="00BC0A49" w:rsidRDefault="00BC0A49">
      <w:pPr>
        <w:pStyle w:val="TOC2"/>
        <w:rPr>
          <w:rFonts w:eastAsiaTheme="minorEastAsia"/>
          <w:noProof/>
          <w:kern w:val="2"/>
          <w:sz w:val="24"/>
          <w:szCs w:val="24"/>
          <w:lang w:val="en-IE" w:eastAsia="en-IE"/>
          <w14:ligatures w14:val="standardContextual"/>
        </w:rPr>
      </w:pPr>
      <w:r>
        <w:rPr>
          <w:noProof/>
        </w:rPr>
        <w:t>5.1 Introduction</w:t>
      </w:r>
      <w:r>
        <w:rPr>
          <w:noProof/>
        </w:rPr>
        <w:tab/>
      </w:r>
      <w:r>
        <w:rPr>
          <w:noProof/>
        </w:rPr>
        <w:fldChar w:fldCharType="begin"/>
      </w:r>
      <w:r>
        <w:rPr>
          <w:noProof/>
        </w:rPr>
        <w:instrText xml:space="preserve"> PAGEREF _Toc233122758 \h </w:instrText>
      </w:r>
      <w:r>
        <w:rPr>
          <w:noProof/>
        </w:rPr>
      </w:r>
      <w:r>
        <w:rPr>
          <w:noProof/>
        </w:rPr>
        <w:fldChar w:fldCharType="separate"/>
      </w:r>
      <w:r w:rsidR="00946CE0">
        <w:rPr>
          <w:noProof/>
        </w:rPr>
        <w:t>5-1</w:t>
      </w:r>
      <w:r>
        <w:rPr>
          <w:noProof/>
        </w:rPr>
        <w:fldChar w:fldCharType="end"/>
      </w:r>
    </w:p>
    <w:p w14:paraId="5CE3D013" w14:textId="01E010A3" w:rsidR="00BC0A49" w:rsidRDefault="00BC0A49">
      <w:pPr>
        <w:pStyle w:val="TOC2"/>
        <w:rPr>
          <w:rFonts w:eastAsiaTheme="minorEastAsia"/>
          <w:noProof/>
          <w:kern w:val="2"/>
          <w:sz w:val="24"/>
          <w:szCs w:val="24"/>
          <w:lang w:val="en-IE" w:eastAsia="en-IE"/>
          <w14:ligatures w14:val="standardContextual"/>
        </w:rPr>
      </w:pPr>
      <w:r>
        <w:rPr>
          <w:noProof/>
        </w:rPr>
        <w:t>5.2 Legislation, Policy and Guidance</w:t>
      </w:r>
      <w:r>
        <w:rPr>
          <w:noProof/>
        </w:rPr>
        <w:tab/>
      </w:r>
      <w:r>
        <w:rPr>
          <w:noProof/>
        </w:rPr>
        <w:fldChar w:fldCharType="begin"/>
      </w:r>
      <w:r>
        <w:rPr>
          <w:noProof/>
        </w:rPr>
        <w:instrText xml:space="preserve"> PAGEREF _Toc233122759 \h </w:instrText>
      </w:r>
      <w:r>
        <w:rPr>
          <w:noProof/>
        </w:rPr>
      </w:r>
      <w:r>
        <w:rPr>
          <w:noProof/>
        </w:rPr>
        <w:fldChar w:fldCharType="separate"/>
      </w:r>
      <w:r w:rsidR="00946CE0">
        <w:rPr>
          <w:noProof/>
        </w:rPr>
        <w:t>5-1</w:t>
      </w:r>
      <w:r>
        <w:rPr>
          <w:noProof/>
        </w:rPr>
        <w:fldChar w:fldCharType="end"/>
      </w:r>
    </w:p>
    <w:p w14:paraId="2AB25374" w14:textId="4E712FDD"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5.2.1</w:t>
      </w:r>
      <w:r>
        <w:rPr>
          <w:rFonts w:eastAsiaTheme="minorEastAsia"/>
          <w:noProof/>
          <w:kern w:val="2"/>
          <w:sz w:val="24"/>
          <w:szCs w:val="24"/>
          <w:lang w:val="en-IE" w:eastAsia="en-IE"/>
          <w14:ligatures w14:val="standardContextual"/>
        </w:rPr>
        <w:tab/>
      </w:r>
      <w:r>
        <w:rPr>
          <w:noProof/>
        </w:rPr>
        <w:t>Desktop Research – Principal Data Sources</w:t>
      </w:r>
      <w:r>
        <w:rPr>
          <w:noProof/>
        </w:rPr>
        <w:tab/>
      </w:r>
      <w:r>
        <w:rPr>
          <w:noProof/>
        </w:rPr>
        <w:fldChar w:fldCharType="begin"/>
      </w:r>
      <w:r>
        <w:rPr>
          <w:noProof/>
        </w:rPr>
        <w:instrText xml:space="preserve"> PAGEREF _Toc233122760 \h </w:instrText>
      </w:r>
      <w:r>
        <w:rPr>
          <w:noProof/>
        </w:rPr>
      </w:r>
      <w:r>
        <w:rPr>
          <w:noProof/>
        </w:rPr>
        <w:fldChar w:fldCharType="separate"/>
      </w:r>
      <w:r w:rsidR="00946CE0">
        <w:rPr>
          <w:noProof/>
        </w:rPr>
        <w:t>5-1</w:t>
      </w:r>
      <w:r>
        <w:rPr>
          <w:noProof/>
        </w:rPr>
        <w:fldChar w:fldCharType="end"/>
      </w:r>
    </w:p>
    <w:p w14:paraId="163847DC" w14:textId="05F436FA"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5.2.2</w:t>
      </w:r>
      <w:r>
        <w:rPr>
          <w:rFonts w:eastAsiaTheme="minorEastAsia"/>
          <w:noProof/>
          <w:kern w:val="2"/>
          <w:sz w:val="24"/>
          <w:szCs w:val="24"/>
          <w:lang w:val="en-IE" w:eastAsia="en-IE"/>
          <w14:ligatures w14:val="standardContextual"/>
        </w:rPr>
        <w:tab/>
      </w:r>
      <w:r>
        <w:rPr>
          <w:noProof/>
        </w:rPr>
        <w:t>Human Health</w:t>
      </w:r>
      <w:r>
        <w:rPr>
          <w:noProof/>
        </w:rPr>
        <w:tab/>
      </w:r>
      <w:r>
        <w:rPr>
          <w:noProof/>
        </w:rPr>
        <w:fldChar w:fldCharType="begin"/>
      </w:r>
      <w:r>
        <w:rPr>
          <w:noProof/>
        </w:rPr>
        <w:instrText xml:space="preserve"> PAGEREF _Toc233122761 \h </w:instrText>
      </w:r>
      <w:r>
        <w:rPr>
          <w:noProof/>
        </w:rPr>
      </w:r>
      <w:r>
        <w:rPr>
          <w:noProof/>
        </w:rPr>
        <w:fldChar w:fldCharType="separate"/>
      </w:r>
      <w:r w:rsidR="00946CE0">
        <w:rPr>
          <w:noProof/>
        </w:rPr>
        <w:t>5-2</w:t>
      </w:r>
      <w:r>
        <w:rPr>
          <w:noProof/>
        </w:rPr>
        <w:fldChar w:fldCharType="end"/>
      </w:r>
    </w:p>
    <w:p w14:paraId="082977AD" w14:textId="324F1017" w:rsidR="00BC0A49" w:rsidRDefault="00BC0A49">
      <w:pPr>
        <w:pStyle w:val="TOC2"/>
        <w:rPr>
          <w:rFonts w:eastAsiaTheme="minorEastAsia"/>
          <w:noProof/>
          <w:kern w:val="2"/>
          <w:sz w:val="24"/>
          <w:szCs w:val="24"/>
          <w:lang w:val="en-IE" w:eastAsia="en-IE"/>
          <w14:ligatures w14:val="standardContextual"/>
        </w:rPr>
      </w:pPr>
      <w:r>
        <w:rPr>
          <w:noProof/>
        </w:rPr>
        <w:t>5.3 Methodology</w:t>
      </w:r>
      <w:r>
        <w:rPr>
          <w:noProof/>
        </w:rPr>
        <w:tab/>
      </w:r>
      <w:r>
        <w:rPr>
          <w:noProof/>
        </w:rPr>
        <w:fldChar w:fldCharType="begin"/>
      </w:r>
      <w:r>
        <w:rPr>
          <w:noProof/>
        </w:rPr>
        <w:instrText xml:space="preserve"> PAGEREF _Toc233122762 \h </w:instrText>
      </w:r>
      <w:r>
        <w:rPr>
          <w:noProof/>
        </w:rPr>
      </w:r>
      <w:r>
        <w:rPr>
          <w:noProof/>
        </w:rPr>
        <w:fldChar w:fldCharType="separate"/>
      </w:r>
      <w:r w:rsidR="00946CE0">
        <w:rPr>
          <w:noProof/>
        </w:rPr>
        <w:t>5-3</w:t>
      </w:r>
      <w:r>
        <w:rPr>
          <w:noProof/>
        </w:rPr>
        <w:fldChar w:fldCharType="end"/>
      </w:r>
    </w:p>
    <w:p w14:paraId="39E0D687" w14:textId="2A5979C5"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5.3.1</w:t>
      </w:r>
      <w:r>
        <w:rPr>
          <w:rFonts w:eastAsiaTheme="minorEastAsia"/>
          <w:noProof/>
          <w:kern w:val="2"/>
          <w:sz w:val="24"/>
          <w:szCs w:val="24"/>
          <w:lang w:val="en-IE" w:eastAsia="en-IE"/>
          <w14:ligatures w14:val="standardContextual"/>
        </w:rPr>
        <w:tab/>
      </w:r>
      <w:r>
        <w:rPr>
          <w:noProof/>
        </w:rPr>
        <w:t>Characteristics of the Proposed Development</w:t>
      </w:r>
      <w:r>
        <w:rPr>
          <w:noProof/>
        </w:rPr>
        <w:tab/>
      </w:r>
      <w:r>
        <w:rPr>
          <w:noProof/>
        </w:rPr>
        <w:fldChar w:fldCharType="begin"/>
      </w:r>
      <w:r>
        <w:rPr>
          <w:noProof/>
        </w:rPr>
        <w:instrText xml:space="preserve"> PAGEREF _Toc233122763 \h </w:instrText>
      </w:r>
      <w:r>
        <w:rPr>
          <w:noProof/>
        </w:rPr>
      </w:r>
      <w:r>
        <w:rPr>
          <w:noProof/>
        </w:rPr>
        <w:fldChar w:fldCharType="separate"/>
      </w:r>
      <w:r w:rsidR="00946CE0">
        <w:rPr>
          <w:noProof/>
        </w:rPr>
        <w:t>5-3</w:t>
      </w:r>
      <w:r>
        <w:rPr>
          <w:noProof/>
        </w:rPr>
        <w:fldChar w:fldCharType="end"/>
      </w:r>
    </w:p>
    <w:p w14:paraId="0192D91B" w14:textId="54FCDBD2"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5.3.2</w:t>
      </w:r>
      <w:r>
        <w:rPr>
          <w:rFonts w:eastAsiaTheme="minorEastAsia"/>
          <w:noProof/>
          <w:kern w:val="2"/>
          <w:sz w:val="24"/>
          <w:szCs w:val="24"/>
          <w:lang w:val="en-IE" w:eastAsia="en-IE"/>
          <w14:ligatures w14:val="standardContextual"/>
        </w:rPr>
        <w:tab/>
      </w:r>
      <w:r>
        <w:rPr>
          <w:noProof/>
        </w:rPr>
        <w:t>Baseline Description</w:t>
      </w:r>
      <w:r>
        <w:rPr>
          <w:noProof/>
        </w:rPr>
        <w:tab/>
      </w:r>
      <w:r>
        <w:rPr>
          <w:noProof/>
        </w:rPr>
        <w:fldChar w:fldCharType="begin"/>
      </w:r>
      <w:r>
        <w:rPr>
          <w:noProof/>
        </w:rPr>
        <w:instrText xml:space="preserve"> PAGEREF _Toc233122764 \h </w:instrText>
      </w:r>
      <w:r>
        <w:rPr>
          <w:noProof/>
        </w:rPr>
      </w:r>
      <w:r>
        <w:rPr>
          <w:noProof/>
        </w:rPr>
        <w:fldChar w:fldCharType="separate"/>
      </w:r>
      <w:r w:rsidR="00946CE0">
        <w:rPr>
          <w:noProof/>
        </w:rPr>
        <w:t>5-3</w:t>
      </w:r>
      <w:r>
        <w:rPr>
          <w:noProof/>
        </w:rPr>
        <w:fldChar w:fldCharType="end"/>
      </w:r>
    </w:p>
    <w:p w14:paraId="799F8F09" w14:textId="5C7FF5CC"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5.3.3</w:t>
      </w:r>
      <w:r>
        <w:rPr>
          <w:rFonts w:eastAsiaTheme="minorEastAsia"/>
          <w:noProof/>
          <w:kern w:val="2"/>
          <w:sz w:val="24"/>
          <w:szCs w:val="24"/>
          <w:lang w:val="en-IE" w:eastAsia="en-IE"/>
          <w14:ligatures w14:val="standardContextual"/>
        </w:rPr>
        <w:tab/>
      </w:r>
      <w:r>
        <w:rPr>
          <w:noProof/>
        </w:rPr>
        <w:t>Site Context</w:t>
      </w:r>
      <w:r>
        <w:rPr>
          <w:noProof/>
        </w:rPr>
        <w:tab/>
      </w:r>
      <w:r>
        <w:rPr>
          <w:noProof/>
        </w:rPr>
        <w:fldChar w:fldCharType="begin"/>
      </w:r>
      <w:r>
        <w:rPr>
          <w:noProof/>
        </w:rPr>
        <w:instrText xml:space="preserve"> PAGEREF _Toc233122765 \h </w:instrText>
      </w:r>
      <w:r>
        <w:rPr>
          <w:noProof/>
        </w:rPr>
      </w:r>
      <w:r>
        <w:rPr>
          <w:noProof/>
        </w:rPr>
        <w:fldChar w:fldCharType="separate"/>
      </w:r>
      <w:r w:rsidR="00946CE0">
        <w:rPr>
          <w:noProof/>
        </w:rPr>
        <w:t>5-4</w:t>
      </w:r>
      <w:r>
        <w:rPr>
          <w:noProof/>
        </w:rPr>
        <w:fldChar w:fldCharType="end"/>
      </w:r>
    </w:p>
    <w:p w14:paraId="793F4F3E" w14:textId="4EFDBA47" w:rsidR="00BC0A49" w:rsidRDefault="00BC0A49">
      <w:pPr>
        <w:pStyle w:val="TOC2"/>
        <w:rPr>
          <w:rFonts w:eastAsiaTheme="minorEastAsia"/>
          <w:noProof/>
          <w:kern w:val="2"/>
          <w:sz w:val="24"/>
          <w:szCs w:val="24"/>
          <w:lang w:val="en-IE" w:eastAsia="en-IE"/>
          <w14:ligatures w14:val="standardContextual"/>
        </w:rPr>
      </w:pPr>
      <w:r>
        <w:rPr>
          <w:noProof/>
        </w:rPr>
        <w:t>5.4 Baseline Environment</w:t>
      </w:r>
      <w:r>
        <w:rPr>
          <w:noProof/>
        </w:rPr>
        <w:tab/>
      </w:r>
      <w:r>
        <w:rPr>
          <w:noProof/>
        </w:rPr>
        <w:fldChar w:fldCharType="begin"/>
      </w:r>
      <w:r>
        <w:rPr>
          <w:noProof/>
        </w:rPr>
        <w:instrText xml:space="preserve"> PAGEREF _Toc233122766 \h </w:instrText>
      </w:r>
      <w:r>
        <w:rPr>
          <w:noProof/>
        </w:rPr>
      </w:r>
      <w:r>
        <w:rPr>
          <w:noProof/>
        </w:rPr>
        <w:fldChar w:fldCharType="separate"/>
      </w:r>
      <w:r w:rsidR="00946CE0">
        <w:rPr>
          <w:noProof/>
        </w:rPr>
        <w:t>5-10</w:t>
      </w:r>
      <w:r>
        <w:rPr>
          <w:noProof/>
        </w:rPr>
        <w:fldChar w:fldCharType="end"/>
      </w:r>
    </w:p>
    <w:p w14:paraId="0CCFF663" w14:textId="0C5190B3"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5.4.1</w:t>
      </w:r>
      <w:r>
        <w:rPr>
          <w:rFonts w:eastAsiaTheme="minorEastAsia"/>
          <w:noProof/>
          <w:kern w:val="2"/>
          <w:sz w:val="24"/>
          <w:szCs w:val="24"/>
          <w:lang w:val="en-IE" w:eastAsia="en-IE"/>
          <w14:ligatures w14:val="standardContextual"/>
        </w:rPr>
        <w:tab/>
      </w:r>
      <w:r>
        <w:rPr>
          <w:noProof/>
        </w:rPr>
        <w:t>Social Infrastructure</w:t>
      </w:r>
      <w:r>
        <w:rPr>
          <w:noProof/>
        </w:rPr>
        <w:tab/>
      </w:r>
      <w:r>
        <w:rPr>
          <w:noProof/>
        </w:rPr>
        <w:fldChar w:fldCharType="begin"/>
      </w:r>
      <w:r>
        <w:rPr>
          <w:noProof/>
        </w:rPr>
        <w:instrText xml:space="preserve"> PAGEREF _Toc233122767 \h </w:instrText>
      </w:r>
      <w:r>
        <w:rPr>
          <w:noProof/>
        </w:rPr>
      </w:r>
      <w:r>
        <w:rPr>
          <w:noProof/>
        </w:rPr>
        <w:fldChar w:fldCharType="separate"/>
      </w:r>
      <w:r w:rsidR="00946CE0">
        <w:rPr>
          <w:noProof/>
        </w:rPr>
        <w:t>5-10</w:t>
      </w:r>
      <w:r>
        <w:rPr>
          <w:noProof/>
        </w:rPr>
        <w:fldChar w:fldCharType="end"/>
      </w:r>
    </w:p>
    <w:p w14:paraId="212BE6FE" w14:textId="2B635165" w:rsidR="00BC0A49" w:rsidRDefault="00BC0A49">
      <w:pPr>
        <w:pStyle w:val="TOC2"/>
        <w:rPr>
          <w:rFonts w:eastAsiaTheme="minorEastAsia"/>
          <w:noProof/>
          <w:kern w:val="2"/>
          <w:sz w:val="24"/>
          <w:szCs w:val="24"/>
          <w:lang w:val="en-IE" w:eastAsia="en-IE"/>
          <w14:ligatures w14:val="standardContextual"/>
        </w:rPr>
      </w:pPr>
      <w:r>
        <w:rPr>
          <w:noProof/>
        </w:rPr>
        <w:t>5.5 Potential Impacts</w:t>
      </w:r>
      <w:r>
        <w:rPr>
          <w:noProof/>
        </w:rPr>
        <w:tab/>
      </w:r>
      <w:r>
        <w:rPr>
          <w:noProof/>
        </w:rPr>
        <w:fldChar w:fldCharType="begin"/>
      </w:r>
      <w:r>
        <w:rPr>
          <w:noProof/>
        </w:rPr>
        <w:instrText xml:space="preserve"> PAGEREF _Toc233122768 \h </w:instrText>
      </w:r>
      <w:r>
        <w:rPr>
          <w:noProof/>
        </w:rPr>
      </w:r>
      <w:r>
        <w:rPr>
          <w:noProof/>
        </w:rPr>
        <w:fldChar w:fldCharType="separate"/>
      </w:r>
      <w:r w:rsidR="00946CE0">
        <w:rPr>
          <w:noProof/>
        </w:rPr>
        <w:t>5-21</w:t>
      </w:r>
      <w:r>
        <w:rPr>
          <w:noProof/>
        </w:rPr>
        <w:fldChar w:fldCharType="end"/>
      </w:r>
    </w:p>
    <w:p w14:paraId="2C496C80" w14:textId="6EFF9220"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5.5.1</w:t>
      </w:r>
      <w:r>
        <w:rPr>
          <w:rFonts w:eastAsiaTheme="minorEastAsia"/>
          <w:noProof/>
          <w:kern w:val="2"/>
          <w:sz w:val="24"/>
          <w:szCs w:val="24"/>
          <w:lang w:val="en-IE" w:eastAsia="en-IE"/>
          <w14:ligatures w14:val="standardContextual"/>
        </w:rPr>
        <w:tab/>
      </w:r>
      <w:r>
        <w:rPr>
          <w:noProof/>
        </w:rPr>
        <w:t>Construction</w:t>
      </w:r>
      <w:r>
        <w:rPr>
          <w:noProof/>
        </w:rPr>
        <w:tab/>
      </w:r>
      <w:r>
        <w:rPr>
          <w:noProof/>
        </w:rPr>
        <w:fldChar w:fldCharType="begin"/>
      </w:r>
      <w:r>
        <w:rPr>
          <w:noProof/>
        </w:rPr>
        <w:instrText xml:space="preserve"> PAGEREF _Toc233122769 \h </w:instrText>
      </w:r>
      <w:r>
        <w:rPr>
          <w:noProof/>
        </w:rPr>
      </w:r>
      <w:r>
        <w:rPr>
          <w:noProof/>
        </w:rPr>
        <w:fldChar w:fldCharType="separate"/>
      </w:r>
      <w:r w:rsidR="00946CE0">
        <w:rPr>
          <w:noProof/>
        </w:rPr>
        <w:t>5-21</w:t>
      </w:r>
      <w:r>
        <w:rPr>
          <w:noProof/>
        </w:rPr>
        <w:fldChar w:fldCharType="end"/>
      </w:r>
    </w:p>
    <w:p w14:paraId="17D43641" w14:textId="587DF4A8"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5.5.2</w:t>
      </w:r>
      <w:r>
        <w:rPr>
          <w:rFonts w:eastAsiaTheme="minorEastAsia"/>
          <w:noProof/>
          <w:kern w:val="2"/>
          <w:sz w:val="24"/>
          <w:szCs w:val="24"/>
          <w:lang w:val="en-IE" w:eastAsia="en-IE"/>
          <w14:ligatures w14:val="standardContextual"/>
        </w:rPr>
        <w:tab/>
      </w:r>
      <w:r>
        <w:rPr>
          <w:noProof/>
        </w:rPr>
        <w:t>Operation</w:t>
      </w:r>
      <w:r>
        <w:rPr>
          <w:noProof/>
        </w:rPr>
        <w:tab/>
      </w:r>
      <w:r>
        <w:rPr>
          <w:noProof/>
        </w:rPr>
        <w:fldChar w:fldCharType="begin"/>
      </w:r>
      <w:r>
        <w:rPr>
          <w:noProof/>
        </w:rPr>
        <w:instrText xml:space="preserve"> PAGEREF _Toc233122770 \h </w:instrText>
      </w:r>
      <w:r>
        <w:rPr>
          <w:noProof/>
        </w:rPr>
      </w:r>
      <w:r>
        <w:rPr>
          <w:noProof/>
        </w:rPr>
        <w:fldChar w:fldCharType="separate"/>
      </w:r>
      <w:r w:rsidR="00946CE0">
        <w:rPr>
          <w:noProof/>
        </w:rPr>
        <w:t>5-22</w:t>
      </w:r>
      <w:r>
        <w:rPr>
          <w:noProof/>
        </w:rPr>
        <w:fldChar w:fldCharType="end"/>
      </w:r>
    </w:p>
    <w:p w14:paraId="43322797" w14:textId="2451F780"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5.5.3</w:t>
      </w:r>
      <w:r>
        <w:rPr>
          <w:rFonts w:eastAsiaTheme="minorEastAsia"/>
          <w:noProof/>
          <w:kern w:val="2"/>
          <w:sz w:val="24"/>
          <w:szCs w:val="24"/>
          <w:lang w:val="en-IE" w:eastAsia="en-IE"/>
          <w14:ligatures w14:val="standardContextual"/>
        </w:rPr>
        <w:tab/>
      </w:r>
      <w:r>
        <w:rPr>
          <w:noProof/>
        </w:rPr>
        <w:t>Indirect, Secondary &amp; Transboundary Effects</w:t>
      </w:r>
      <w:r>
        <w:rPr>
          <w:noProof/>
        </w:rPr>
        <w:tab/>
      </w:r>
      <w:r>
        <w:rPr>
          <w:noProof/>
        </w:rPr>
        <w:fldChar w:fldCharType="begin"/>
      </w:r>
      <w:r>
        <w:rPr>
          <w:noProof/>
        </w:rPr>
        <w:instrText xml:space="preserve"> PAGEREF _Toc233122771 \h </w:instrText>
      </w:r>
      <w:r>
        <w:rPr>
          <w:noProof/>
        </w:rPr>
      </w:r>
      <w:r>
        <w:rPr>
          <w:noProof/>
        </w:rPr>
        <w:fldChar w:fldCharType="separate"/>
      </w:r>
      <w:r w:rsidR="00946CE0">
        <w:rPr>
          <w:noProof/>
        </w:rPr>
        <w:t>5-23</w:t>
      </w:r>
      <w:r>
        <w:rPr>
          <w:noProof/>
        </w:rPr>
        <w:fldChar w:fldCharType="end"/>
      </w:r>
    </w:p>
    <w:p w14:paraId="7625ACBC" w14:textId="046C9745" w:rsidR="00BC0A49" w:rsidRDefault="00BC0A49">
      <w:pPr>
        <w:pStyle w:val="TOC2"/>
        <w:rPr>
          <w:rFonts w:eastAsiaTheme="minorEastAsia"/>
          <w:noProof/>
          <w:kern w:val="2"/>
          <w:sz w:val="24"/>
          <w:szCs w:val="24"/>
          <w:lang w:val="en-IE" w:eastAsia="en-IE"/>
          <w14:ligatures w14:val="standardContextual"/>
        </w:rPr>
      </w:pPr>
      <w:r>
        <w:rPr>
          <w:noProof/>
        </w:rPr>
        <w:t>5.6 Mitigation Measures</w:t>
      </w:r>
      <w:r>
        <w:rPr>
          <w:noProof/>
        </w:rPr>
        <w:tab/>
      </w:r>
      <w:r>
        <w:rPr>
          <w:noProof/>
        </w:rPr>
        <w:fldChar w:fldCharType="begin"/>
      </w:r>
      <w:r>
        <w:rPr>
          <w:noProof/>
        </w:rPr>
        <w:instrText xml:space="preserve"> PAGEREF _Toc233122772 \h </w:instrText>
      </w:r>
      <w:r>
        <w:rPr>
          <w:noProof/>
        </w:rPr>
      </w:r>
      <w:r>
        <w:rPr>
          <w:noProof/>
        </w:rPr>
        <w:fldChar w:fldCharType="separate"/>
      </w:r>
      <w:r w:rsidR="00946CE0">
        <w:rPr>
          <w:noProof/>
        </w:rPr>
        <w:t>5-23</w:t>
      </w:r>
      <w:r>
        <w:rPr>
          <w:noProof/>
        </w:rPr>
        <w:fldChar w:fldCharType="end"/>
      </w:r>
    </w:p>
    <w:p w14:paraId="1E60A32F" w14:textId="2A106A4F"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5.6.1</w:t>
      </w:r>
      <w:r>
        <w:rPr>
          <w:rFonts w:eastAsiaTheme="minorEastAsia"/>
          <w:noProof/>
          <w:kern w:val="2"/>
          <w:sz w:val="24"/>
          <w:szCs w:val="24"/>
          <w:lang w:val="en-IE" w:eastAsia="en-IE"/>
          <w14:ligatures w14:val="standardContextual"/>
        </w:rPr>
        <w:tab/>
      </w:r>
      <w:r>
        <w:rPr>
          <w:noProof/>
        </w:rPr>
        <w:t>Construction Phase</w:t>
      </w:r>
      <w:r>
        <w:rPr>
          <w:noProof/>
        </w:rPr>
        <w:tab/>
      </w:r>
      <w:r>
        <w:rPr>
          <w:noProof/>
        </w:rPr>
        <w:fldChar w:fldCharType="begin"/>
      </w:r>
      <w:r>
        <w:rPr>
          <w:noProof/>
        </w:rPr>
        <w:instrText xml:space="preserve"> PAGEREF _Toc233122773 \h </w:instrText>
      </w:r>
      <w:r>
        <w:rPr>
          <w:noProof/>
        </w:rPr>
      </w:r>
      <w:r>
        <w:rPr>
          <w:noProof/>
        </w:rPr>
        <w:fldChar w:fldCharType="separate"/>
      </w:r>
      <w:r w:rsidR="00946CE0">
        <w:rPr>
          <w:noProof/>
        </w:rPr>
        <w:t>5-23</w:t>
      </w:r>
      <w:r>
        <w:rPr>
          <w:noProof/>
        </w:rPr>
        <w:fldChar w:fldCharType="end"/>
      </w:r>
    </w:p>
    <w:p w14:paraId="7C60F15A" w14:textId="57B7F14E" w:rsidR="00BC0A49" w:rsidRDefault="00BC0A49">
      <w:pPr>
        <w:pStyle w:val="TOC3"/>
        <w:tabs>
          <w:tab w:val="left" w:pos="1260"/>
        </w:tabs>
        <w:rPr>
          <w:rFonts w:eastAsiaTheme="minorEastAsia"/>
          <w:noProof/>
          <w:kern w:val="2"/>
          <w:sz w:val="24"/>
          <w:szCs w:val="24"/>
          <w:lang w:val="en-IE" w:eastAsia="en-IE"/>
          <w14:ligatures w14:val="standardContextual"/>
        </w:rPr>
      </w:pPr>
      <w:r>
        <w:rPr>
          <w:noProof/>
        </w:rPr>
        <w:t>5.6.2</w:t>
      </w:r>
      <w:r>
        <w:rPr>
          <w:rFonts w:eastAsiaTheme="minorEastAsia"/>
          <w:noProof/>
          <w:kern w:val="2"/>
          <w:sz w:val="24"/>
          <w:szCs w:val="24"/>
          <w:lang w:val="en-IE" w:eastAsia="en-IE"/>
          <w14:ligatures w14:val="standardContextual"/>
        </w:rPr>
        <w:tab/>
      </w:r>
      <w:r>
        <w:rPr>
          <w:noProof/>
        </w:rPr>
        <w:t>Operational Phase</w:t>
      </w:r>
      <w:r>
        <w:rPr>
          <w:noProof/>
        </w:rPr>
        <w:tab/>
      </w:r>
      <w:r>
        <w:rPr>
          <w:noProof/>
        </w:rPr>
        <w:fldChar w:fldCharType="begin"/>
      </w:r>
      <w:r>
        <w:rPr>
          <w:noProof/>
        </w:rPr>
        <w:instrText xml:space="preserve"> PAGEREF _Toc233122774 \h </w:instrText>
      </w:r>
      <w:r>
        <w:rPr>
          <w:noProof/>
        </w:rPr>
      </w:r>
      <w:r>
        <w:rPr>
          <w:noProof/>
        </w:rPr>
        <w:fldChar w:fldCharType="separate"/>
      </w:r>
      <w:r w:rsidR="00946CE0">
        <w:rPr>
          <w:noProof/>
        </w:rPr>
        <w:t>5-23</w:t>
      </w:r>
      <w:r>
        <w:rPr>
          <w:noProof/>
        </w:rPr>
        <w:fldChar w:fldCharType="end"/>
      </w:r>
    </w:p>
    <w:p w14:paraId="2E17FB23" w14:textId="1414DC8A" w:rsidR="00BC0A49" w:rsidRDefault="00BC0A49">
      <w:pPr>
        <w:pStyle w:val="TOC2"/>
        <w:rPr>
          <w:rFonts w:eastAsiaTheme="minorEastAsia"/>
          <w:noProof/>
          <w:kern w:val="2"/>
          <w:sz w:val="24"/>
          <w:szCs w:val="24"/>
          <w:lang w:val="en-IE" w:eastAsia="en-IE"/>
          <w14:ligatures w14:val="standardContextual"/>
        </w:rPr>
      </w:pPr>
      <w:r>
        <w:rPr>
          <w:noProof/>
        </w:rPr>
        <w:t>5.7 Residual Impacts</w:t>
      </w:r>
      <w:r>
        <w:rPr>
          <w:noProof/>
        </w:rPr>
        <w:tab/>
      </w:r>
      <w:r>
        <w:rPr>
          <w:noProof/>
        </w:rPr>
        <w:fldChar w:fldCharType="begin"/>
      </w:r>
      <w:r>
        <w:rPr>
          <w:noProof/>
        </w:rPr>
        <w:instrText xml:space="preserve"> PAGEREF _Toc233122775 \h </w:instrText>
      </w:r>
      <w:r>
        <w:rPr>
          <w:noProof/>
        </w:rPr>
      </w:r>
      <w:r>
        <w:rPr>
          <w:noProof/>
        </w:rPr>
        <w:fldChar w:fldCharType="separate"/>
      </w:r>
      <w:r w:rsidR="00946CE0">
        <w:rPr>
          <w:noProof/>
        </w:rPr>
        <w:t>5-24</w:t>
      </w:r>
      <w:r>
        <w:rPr>
          <w:noProof/>
        </w:rPr>
        <w:fldChar w:fldCharType="end"/>
      </w:r>
    </w:p>
    <w:p w14:paraId="690A47DA" w14:textId="3937EE31" w:rsidR="00BC0A49" w:rsidRDefault="00BC0A49">
      <w:pPr>
        <w:pStyle w:val="TOC2"/>
        <w:rPr>
          <w:rFonts w:eastAsiaTheme="minorEastAsia"/>
          <w:noProof/>
          <w:kern w:val="2"/>
          <w:sz w:val="24"/>
          <w:szCs w:val="24"/>
          <w:lang w:val="en-IE" w:eastAsia="en-IE"/>
          <w14:ligatures w14:val="standardContextual"/>
        </w:rPr>
      </w:pPr>
      <w:r>
        <w:rPr>
          <w:noProof/>
        </w:rPr>
        <w:t>5.8 Cumulative Impacts</w:t>
      </w:r>
      <w:r>
        <w:rPr>
          <w:noProof/>
        </w:rPr>
        <w:tab/>
      </w:r>
      <w:r>
        <w:rPr>
          <w:noProof/>
        </w:rPr>
        <w:fldChar w:fldCharType="begin"/>
      </w:r>
      <w:r>
        <w:rPr>
          <w:noProof/>
        </w:rPr>
        <w:instrText xml:space="preserve"> PAGEREF _Toc233122776 \h </w:instrText>
      </w:r>
      <w:r>
        <w:rPr>
          <w:noProof/>
        </w:rPr>
      </w:r>
      <w:r>
        <w:rPr>
          <w:noProof/>
        </w:rPr>
        <w:fldChar w:fldCharType="separate"/>
      </w:r>
      <w:r w:rsidR="00946CE0">
        <w:rPr>
          <w:noProof/>
        </w:rPr>
        <w:t>5-24</w:t>
      </w:r>
      <w:r>
        <w:rPr>
          <w:noProof/>
        </w:rPr>
        <w:fldChar w:fldCharType="end"/>
      </w:r>
    </w:p>
    <w:p w14:paraId="4A7363BD" w14:textId="36A6BB30" w:rsidR="00BC0A49" w:rsidRDefault="00BC0A49">
      <w:pPr>
        <w:pStyle w:val="TOC3"/>
        <w:tabs>
          <w:tab w:val="left" w:pos="1260"/>
        </w:tabs>
        <w:rPr>
          <w:rFonts w:eastAsiaTheme="minorEastAsia"/>
          <w:noProof/>
          <w:kern w:val="2"/>
          <w:sz w:val="24"/>
          <w:szCs w:val="24"/>
          <w:lang w:val="en-IE" w:eastAsia="en-IE"/>
          <w14:ligatures w14:val="standardContextual"/>
        </w:rPr>
      </w:pPr>
      <w:r w:rsidRPr="000E22FB">
        <w:rPr>
          <w:noProof/>
          <w:kern w:val="0"/>
        </w:rPr>
        <w:t>5.8.1</w:t>
      </w:r>
      <w:r>
        <w:rPr>
          <w:rFonts w:eastAsiaTheme="minorEastAsia"/>
          <w:noProof/>
          <w:kern w:val="2"/>
          <w:sz w:val="24"/>
          <w:szCs w:val="24"/>
          <w:lang w:val="en-IE" w:eastAsia="en-IE"/>
          <w14:ligatures w14:val="standardContextual"/>
        </w:rPr>
        <w:tab/>
      </w:r>
      <w:r>
        <w:rPr>
          <w:noProof/>
        </w:rPr>
        <w:t>4.6 Cumulative Impacts</w:t>
      </w:r>
      <w:r>
        <w:rPr>
          <w:noProof/>
        </w:rPr>
        <w:tab/>
      </w:r>
      <w:r>
        <w:rPr>
          <w:noProof/>
        </w:rPr>
        <w:fldChar w:fldCharType="begin"/>
      </w:r>
      <w:r>
        <w:rPr>
          <w:noProof/>
        </w:rPr>
        <w:instrText xml:space="preserve"> PAGEREF _Toc233122777 \h </w:instrText>
      </w:r>
      <w:r>
        <w:rPr>
          <w:noProof/>
        </w:rPr>
      </w:r>
      <w:r>
        <w:rPr>
          <w:noProof/>
        </w:rPr>
        <w:fldChar w:fldCharType="separate"/>
      </w:r>
      <w:r w:rsidR="00946CE0">
        <w:rPr>
          <w:noProof/>
        </w:rPr>
        <w:t>5-24</w:t>
      </w:r>
      <w:r>
        <w:rPr>
          <w:noProof/>
        </w:rPr>
        <w:fldChar w:fldCharType="end"/>
      </w:r>
    </w:p>
    <w:p w14:paraId="47C638EE" w14:textId="6EF99E7B" w:rsidR="00BC0A49" w:rsidRDefault="00BC0A49">
      <w:pPr>
        <w:pStyle w:val="TOC2"/>
        <w:rPr>
          <w:rFonts w:eastAsiaTheme="minorEastAsia"/>
          <w:noProof/>
          <w:kern w:val="2"/>
          <w:sz w:val="24"/>
          <w:szCs w:val="24"/>
          <w:lang w:val="en-IE" w:eastAsia="en-IE"/>
          <w14:ligatures w14:val="standardContextual"/>
        </w:rPr>
      </w:pPr>
      <w:r>
        <w:rPr>
          <w:noProof/>
        </w:rPr>
        <w:t>5.9 ‘Do Nothing’ Scenario</w:t>
      </w:r>
      <w:r>
        <w:rPr>
          <w:noProof/>
        </w:rPr>
        <w:tab/>
      </w:r>
      <w:r>
        <w:rPr>
          <w:noProof/>
        </w:rPr>
        <w:fldChar w:fldCharType="begin"/>
      </w:r>
      <w:r>
        <w:rPr>
          <w:noProof/>
        </w:rPr>
        <w:instrText xml:space="preserve"> PAGEREF _Toc233122778 \h </w:instrText>
      </w:r>
      <w:r>
        <w:rPr>
          <w:noProof/>
        </w:rPr>
      </w:r>
      <w:r>
        <w:rPr>
          <w:noProof/>
        </w:rPr>
        <w:fldChar w:fldCharType="separate"/>
      </w:r>
      <w:r w:rsidR="00946CE0">
        <w:rPr>
          <w:noProof/>
        </w:rPr>
        <w:t>5-27</w:t>
      </w:r>
      <w:r>
        <w:rPr>
          <w:noProof/>
        </w:rPr>
        <w:fldChar w:fldCharType="end"/>
      </w:r>
    </w:p>
    <w:p w14:paraId="1A82D230" w14:textId="6E31D2F8" w:rsidR="00BC0A49" w:rsidRDefault="00BC0A49">
      <w:pPr>
        <w:pStyle w:val="TOC2"/>
        <w:rPr>
          <w:rFonts w:eastAsiaTheme="minorEastAsia"/>
          <w:noProof/>
          <w:kern w:val="2"/>
          <w:sz w:val="24"/>
          <w:szCs w:val="24"/>
          <w:lang w:val="en-IE" w:eastAsia="en-IE"/>
          <w14:ligatures w14:val="standardContextual"/>
        </w:rPr>
      </w:pPr>
      <w:r>
        <w:rPr>
          <w:noProof/>
        </w:rPr>
        <w:t>5.10 Summary</w:t>
      </w:r>
      <w:r>
        <w:rPr>
          <w:noProof/>
        </w:rPr>
        <w:tab/>
      </w:r>
      <w:r>
        <w:rPr>
          <w:noProof/>
        </w:rPr>
        <w:fldChar w:fldCharType="begin"/>
      </w:r>
      <w:r>
        <w:rPr>
          <w:noProof/>
        </w:rPr>
        <w:instrText xml:space="preserve"> PAGEREF _Toc233122779 \h </w:instrText>
      </w:r>
      <w:r>
        <w:rPr>
          <w:noProof/>
        </w:rPr>
      </w:r>
      <w:r>
        <w:rPr>
          <w:noProof/>
        </w:rPr>
        <w:fldChar w:fldCharType="separate"/>
      </w:r>
      <w:r w:rsidR="00946CE0">
        <w:rPr>
          <w:noProof/>
        </w:rPr>
        <w:t>5-27</w:t>
      </w:r>
      <w:r>
        <w:rPr>
          <w:noProof/>
        </w:rPr>
        <w:fldChar w:fldCharType="end"/>
      </w:r>
    </w:p>
    <w:p w14:paraId="27C6391B" w14:textId="64DB9139" w:rsidR="00BC0A49" w:rsidRDefault="00BC0A49">
      <w:pPr>
        <w:pStyle w:val="TOC2"/>
        <w:rPr>
          <w:rFonts w:eastAsiaTheme="minorEastAsia"/>
          <w:noProof/>
          <w:kern w:val="2"/>
          <w:sz w:val="24"/>
          <w:szCs w:val="24"/>
          <w:lang w:val="en-IE" w:eastAsia="en-IE"/>
          <w14:ligatures w14:val="standardContextual"/>
        </w:rPr>
      </w:pPr>
      <w:r>
        <w:rPr>
          <w:noProof/>
        </w:rPr>
        <w:t>5.11 References</w:t>
      </w:r>
      <w:r>
        <w:rPr>
          <w:noProof/>
        </w:rPr>
        <w:tab/>
      </w:r>
      <w:r>
        <w:rPr>
          <w:noProof/>
        </w:rPr>
        <w:fldChar w:fldCharType="begin"/>
      </w:r>
      <w:r>
        <w:rPr>
          <w:noProof/>
        </w:rPr>
        <w:instrText xml:space="preserve"> PAGEREF _Toc233122780 \h </w:instrText>
      </w:r>
      <w:r>
        <w:rPr>
          <w:noProof/>
        </w:rPr>
      </w:r>
      <w:r>
        <w:rPr>
          <w:noProof/>
        </w:rPr>
        <w:fldChar w:fldCharType="separate"/>
      </w:r>
      <w:r w:rsidR="00946CE0">
        <w:rPr>
          <w:noProof/>
        </w:rPr>
        <w:t>5-29</w:t>
      </w:r>
      <w:r>
        <w:rPr>
          <w:noProof/>
        </w:rPr>
        <w:fldChar w:fldCharType="end"/>
      </w:r>
    </w:p>
    <w:p w14:paraId="7A898717" w14:textId="1B80F362" w:rsidR="00BC0A49" w:rsidRDefault="00BC0A49">
      <w:pPr>
        <w:pStyle w:val="TOC1"/>
        <w:rPr>
          <w:rFonts w:asciiTheme="minorHAnsi" w:eastAsiaTheme="minorEastAsia" w:hAnsiTheme="minorHAnsi"/>
          <w:noProof/>
          <w:kern w:val="2"/>
          <w:sz w:val="24"/>
          <w:szCs w:val="24"/>
          <w:lang w:val="en-IE" w:eastAsia="en-IE"/>
          <w14:ligatures w14:val="standardContextual"/>
        </w:rPr>
      </w:pPr>
      <w:r>
        <w:rPr>
          <w:noProof/>
        </w:rPr>
        <w:t>Non-Technical Summary</w:t>
      </w:r>
      <w:r>
        <w:rPr>
          <w:noProof/>
        </w:rPr>
        <w:tab/>
      </w:r>
      <w:r>
        <w:rPr>
          <w:noProof/>
        </w:rPr>
        <w:fldChar w:fldCharType="begin"/>
      </w:r>
      <w:r>
        <w:rPr>
          <w:noProof/>
        </w:rPr>
        <w:instrText xml:space="preserve"> PAGEREF _Toc233122781 \h </w:instrText>
      </w:r>
      <w:r>
        <w:rPr>
          <w:noProof/>
        </w:rPr>
      </w:r>
      <w:r>
        <w:rPr>
          <w:noProof/>
        </w:rPr>
        <w:fldChar w:fldCharType="separate"/>
      </w:r>
      <w:r w:rsidR="00946CE0">
        <w:rPr>
          <w:noProof/>
        </w:rPr>
        <w:t>5-30</w:t>
      </w:r>
      <w:r>
        <w:rPr>
          <w:noProof/>
        </w:rPr>
        <w:fldChar w:fldCharType="end"/>
      </w:r>
    </w:p>
    <w:p w14:paraId="091065BC" w14:textId="1F125F27" w:rsidR="00BC0A49" w:rsidRDefault="00BC0A49">
      <w:pPr>
        <w:pStyle w:val="TOC2"/>
        <w:rPr>
          <w:rFonts w:eastAsiaTheme="minorEastAsia"/>
          <w:noProof/>
          <w:kern w:val="2"/>
          <w:sz w:val="24"/>
          <w:szCs w:val="24"/>
          <w:lang w:val="en-IE" w:eastAsia="en-IE"/>
          <w14:ligatures w14:val="standardContextual"/>
        </w:rPr>
      </w:pPr>
      <w:r>
        <w:rPr>
          <w:noProof/>
        </w:rPr>
        <w:t>5.12 Potential Impacts</w:t>
      </w:r>
      <w:r>
        <w:rPr>
          <w:noProof/>
        </w:rPr>
        <w:tab/>
      </w:r>
      <w:r>
        <w:rPr>
          <w:noProof/>
        </w:rPr>
        <w:fldChar w:fldCharType="begin"/>
      </w:r>
      <w:r>
        <w:rPr>
          <w:noProof/>
        </w:rPr>
        <w:instrText xml:space="preserve"> PAGEREF _Toc233122782 \h </w:instrText>
      </w:r>
      <w:r>
        <w:rPr>
          <w:noProof/>
        </w:rPr>
      </w:r>
      <w:r>
        <w:rPr>
          <w:noProof/>
        </w:rPr>
        <w:fldChar w:fldCharType="separate"/>
      </w:r>
      <w:r w:rsidR="00946CE0">
        <w:rPr>
          <w:noProof/>
        </w:rPr>
        <w:t>5-30</w:t>
      </w:r>
      <w:r>
        <w:rPr>
          <w:noProof/>
        </w:rPr>
        <w:fldChar w:fldCharType="end"/>
      </w:r>
    </w:p>
    <w:p w14:paraId="551B91D2" w14:textId="0B411D04" w:rsidR="00BC0A49" w:rsidRDefault="00BC0A49">
      <w:pPr>
        <w:pStyle w:val="TOC2"/>
        <w:rPr>
          <w:rFonts w:eastAsiaTheme="minorEastAsia"/>
          <w:noProof/>
          <w:kern w:val="2"/>
          <w:sz w:val="24"/>
          <w:szCs w:val="24"/>
          <w:lang w:val="en-IE" w:eastAsia="en-IE"/>
          <w14:ligatures w14:val="standardContextual"/>
        </w:rPr>
      </w:pPr>
      <w:r>
        <w:rPr>
          <w:noProof/>
        </w:rPr>
        <w:t>5.13 Mitigation measures</w:t>
      </w:r>
      <w:r>
        <w:rPr>
          <w:noProof/>
        </w:rPr>
        <w:tab/>
      </w:r>
      <w:r>
        <w:rPr>
          <w:noProof/>
        </w:rPr>
        <w:fldChar w:fldCharType="begin"/>
      </w:r>
      <w:r>
        <w:rPr>
          <w:noProof/>
        </w:rPr>
        <w:instrText xml:space="preserve"> PAGEREF _Toc233122783 \h </w:instrText>
      </w:r>
      <w:r>
        <w:rPr>
          <w:noProof/>
        </w:rPr>
      </w:r>
      <w:r>
        <w:rPr>
          <w:noProof/>
        </w:rPr>
        <w:fldChar w:fldCharType="separate"/>
      </w:r>
      <w:r w:rsidR="00946CE0">
        <w:rPr>
          <w:noProof/>
        </w:rPr>
        <w:t>5-30</w:t>
      </w:r>
      <w:r>
        <w:rPr>
          <w:noProof/>
        </w:rPr>
        <w:fldChar w:fldCharType="end"/>
      </w:r>
    </w:p>
    <w:p w14:paraId="1DB60BCB" w14:textId="77371634" w:rsidR="00BC0A49" w:rsidRDefault="00BC0A49">
      <w:pPr>
        <w:pStyle w:val="TOC2"/>
        <w:rPr>
          <w:rFonts w:eastAsiaTheme="minorEastAsia"/>
          <w:noProof/>
          <w:kern w:val="2"/>
          <w:sz w:val="24"/>
          <w:szCs w:val="24"/>
          <w:lang w:val="en-IE" w:eastAsia="en-IE"/>
          <w14:ligatures w14:val="standardContextual"/>
        </w:rPr>
      </w:pPr>
      <w:r>
        <w:rPr>
          <w:noProof/>
        </w:rPr>
        <w:t>5.14 Residual Impacts</w:t>
      </w:r>
      <w:r>
        <w:rPr>
          <w:noProof/>
        </w:rPr>
        <w:tab/>
      </w:r>
      <w:r>
        <w:rPr>
          <w:noProof/>
        </w:rPr>
        <w:fldChar w:fldCharType="begin"/>
      </w:r>
      <w:r>
        <w:rPr>
          <w:noProof/>
        </w:rPr>
        <w:instrText xml:space="preserve"> PAGEREF _Toc233122784 \h </w:instrText>
      </w:r>
      <w:r>
        <w:rPr>
          <w:noProof/>
        </w:rPr>
      </w:r>
      <w:r>
        <w:rPr>
          <w:noProof/>
        </w:rPr>
        <w:fldChar w:fldCharType="separate"/>
      </w:r>
      <w:r w:rsidR="00946CE0">
        <w:rPr>
          <w:noProof/>
        </w:rPr>
        <w:t>5-30</w:t>
      </w:r>
      <w:r>
        <w:rPr>
          <w:noProof/>
        </w:rPr>
        <w:fldChar w:fldCharType="end"/>
      </w:r>
    </w:p>
    <w:p w14:paraId="6BEF30CD" w14:textId="3541A66F" w:rsidR="00BC0A49" w:rsidRDefault="00BC0A49">
      <w:pPr>
        <w:pStyle w:val="TOC1"/>
        <w:rPr>
          <w:rFonts w:asciiTheme="minorHAnsi" w:eastAsiaTheme="minorEastAsia" w:hAnsiTheme="minorHAnsi"/>
          <w:noProof/>
          <w:kern w:val="2"/>
          <w:sz w:val="24"/>
          <w:szCs w:val="24"/>
          <w:lang w:val="en-IE" w:eastAsia="en-IE"/>
          <w14:ligatures w14:val="standardContextual"/>
        </w:rPr>
      </w:pPr>
      <w:r>
        <w:rPr>
          <w:noProof/>
        </w:rPr>
        <w:t>Summary of Cumulative Impacts and Interactions</w:t>
      </w:r>
      <w:r>
        <w:rPr>
          <w:noProof/>
        </w:rPr>
        <w:tab/>
      </w:r>
      <w:r>
        <w:rPr>
          <w:noProof/>
        </w:rPr>
        <w:fldChar w:fldCharType="begin"/>
      </w:r>
      <w:r>
        <w:rPr>
          <w:noProof/>
        </w:rPr>
        <w:instrText xml:space="preserve"> PAGEREF _Toc233122785 \h </w:instrText>
      </w:r>
      <w:r>
        <w:rPr>
          <w:noProof/>
        </w:rPr>
      </w:r>
      <w:r>
        <w:rPr>
          <w:noProof/>
        </w:rPr>
        <w:fldChar w:fldCharType="separate"/>
      </w:r>
      <w:r w:rsidR="00946CE0">
        <w:rPr>
          <w:noProof/>
        </w:rPr>
        <w:t>5-31</w:t>
      </w:r>
      <w:r>
        <w:rPr>
          <w:noProof/>
        </w:rPr>
        <w:fldChar w:fldCharType="end"/>
      </w:r>
    </w:p>
    <w:p w14:paraId="5230224E" w14:textId="73A448F5" w:rsidR="00BC0A49" w:rsidRDefault="00BC0A49">
      <w:pPr>
        <w:pStyle w:val="TOC2"/>
        <w:rPr>
          <w:rFonts w:eastAsiaTheme="minorEastAsia"/>
          <w:noProof/>
          <w:kern w:val="2"/>
          <w:sz w:val="24"/>
          <w:szCs w:val="24"/>
          <w:lang w:val="en-IE" w:eastAsia="en-IE"/>
          <w14:ligatures w14:val="standardContextual"/>
        </w:rPr>
      </w:pPr>
      <w:r>
        <w:rPr>
          <w:noProof/>
        </w:rPr>
        <w:t>5.15 Material Assets (Traffic)</w:t>
      </w:r>
      <w:r>
        <w:rPr>
          <w:noProof/>
        </w:rPr>
        <w:tab/>
      </w:r>
      <w:r>
        <w:rPr>
          <w:noProof/>
        </w:rPr>
        <w:fldChar w:fldCharType="begin"/>
      </w:r>
      <w:r>
        <w:rPr>
          <w:noProof/>
        </w:rPr>
        <w:instrText xml:space="preserve"> PAGEREF _Toc233122786 \h </w:instrText>
      </w:r>
      <w:r>
        <w:rPr>
          <w:noProof/>
        </w:rPr>
      </w:r>
      <w:r>
        <w:rPr>
          <w:noProof/>
        </w:rPr>
        <w:fldChar w:fldCharType="separate"/>
      </w:r>
      <w:r w:rsidR="00946CE0">
        <w:rPr>
          <w:noProof/>
        </w:rPr>
        <w:t>5-31</w:t>
      </w:r>
      <w:r>
        <w:rPr>
          <w:noProof/>
        </w:rPr>
        <w:fldChar w:fldCharType="end"/>
      </w:r>
    </w:p>
    <w:p w14:paraId="1BA0F1AA" w14:textId="29E02C86" w:rsidR="00BC0A49" w:rsidRDefault="00BC0A49">
      <w:pPr>
        <w:pStyle w:val="TOC2"/>
        <w:rPr>
          <w:rFonts w:eastAsiaTheme="minorEastAsia"/>
          <w:noProof/>
          <w:kern w:val="2"/>
          <w:sz w:val="24"/>
          <w:szCs w:val="24"/>
          <w:lang w:val="en-IE" w:eastAsia="en-IE"/>
          <w14:ligatures w14:val="standardContextual"/>
        </w:rPr>
      </w:pPr>
      <w:r>
        <w:rPr>
          <w:noProof/>
        </w:rPr>
        <w:t>5.16 Climate</w:t>
      </w:r>
      <w:r>
        <w:rPr>
          <w:noProof/>
        </w:rPr>
        <w:tab/>
      </w:r>
      <w:r>
        <w:rPr>
          <w:noProof/>
        </w:rPr>
        <w:fldChar w:fldCharType="begin"/>
      </w:r>
      <w:r>
        <w:rPr>
          <w:noProof/>
        </w:rPr>
        <w:instrText xml:space="preserve"> PAGEREF _Toc233122787 \h </w:instrText>
      </w:r>
      <w:r>
        <w:rPr>
          <w:noProof/>
        </w:rPr>
      </w:r>
      <w:r>
        <w:rPr>
          <w:noProof/>
        </w:rPr>
        <w:fldChar w:fldCharType="separate"/>
      </w:r>
      <w:r w:rsidR="00946CE0">
        <w:rPr>
          <w:noProof/>
        </w:rPr>
        <w:t>5-31</w:t>
      </w:r>
      <w:r>
        <w:rPr>
          <w:noProof/>
        </w:rPr>
        <w:fldChar w:fldCharType="end"/>
      </w:r>
    </w:p>
    <w:p w14:paraId="0863CCBF" w14:textId="0BD910CD" w:rsidR="00BC0A49" w:rsidRDefault="00BC0A49">
      <w:pPr>
        <w:pStyle w:val="TOC1"/>
        <w:rPr>
          <w:rFonts w:asciiTheme="minorHAnsi" w:eastAsiaTheme="minorEastAsia" w:hAnsiTheme="minorHAnsi"/>
          <w:noProof/>
          <w:kern w:val="2"/>
          <w:sz w:val="24"/>
          <w:szCs w:val="24"/>
          <w:lang w:val="en-IE" w:eastAsia="en-IE"/>
          <w14:ligatures w14:val="standardContextual"/>
        </w:rPr>
      </w:pPr>
      <w:r>
        <w:rPr>
          <w:noProof/>
        </w:rPr>
        <w:t>Summary of Mitigation and Monitoring</w:t>
      </w:r>
      <w:r>
        <w:rPr>
          <w:noProof/>
        </w:rPr>
        <w:tab/>
      </w:r>
      <w:r>
        <w:rPr>
          <w:noProof/>
        </w:rPr>
        <w:fldChar w:fldCharType="begin"/>
      </w:r>
      <w:r>
        <w:rPr>
          <w:noProof/>
        </w:rPr>
        <w:instrText xml:space="preserve"> PAGEREF _Toc233122788 \h </w:instrText>
      </w:r>
      <w:r>
        <w:rPr>
          <w:noProof/>
        </w:rPr>
      </w:r>
      <w:r>
        <w:rPr>
          <w:noProof/>
        </w:rPr>
        <w:fldChar w:fldCharType="separate"/>
      </w:r>
      <w:r w:rsidR="00946CE0">
        <w:rPr>
          <w:noProof/>
        </w:rPr>
        <w:t>5-32</w:t>
      </w:r>
      <w:r>
        <w:rPr>
          <w:noProof/>
        </w:rPr>
        <w:fldChar w:fldCharType="end"/>
      </w:r>
    </w:p>
    <w:p w14:paraId="77B26186" w14:textId="6857AF0F" w:rsidR="00BC0A49" w:rsidRDefault="00BC0A49">
      <w:pPr>
        <w:pStyle w:val="TOC2"/>
        <w:rPr>
          <w:rFonts w:eastAsiaTheme="minorEastAsia"/>
          <w:noProof/>
          <w:kern w:val="2"/>
          <w:sz w:val="24"/>
          <w:szCs w:val="24"/>
          <w:lang w:val="en-IE" w:eastAsia="en-IE"/>
          <w14:ligatures w14:val="standardContextual"/>
        </w:rPr>
      </w:pPr>
      <w:r>
        <w:rPr>
          <w:noProof/>
        </w:rPr>
        <w:t>5.17 Mitigation</w:t>
      </w:r>
      <w:r>
        <w:rPr>
          <w:noProof/>
        </w:rPr>
        <w:tab/>
      </w:r>
      <w:r>
        <w:rPr>
          <w:noProof/>
        </w:rPr>
        <w:fldChar w:fldCharType="begin"/>
      </w:r>
      <w:r>
        <w:rPr>
          <w:noProof/>
        </w:rPr>
        <w:instrText xml:space="preserve"> PAGEREF _Toc233122789 \h </w:instrText>
      </w:r>
      <w:r>
        <w:rPr>
          <w:noProof/>
        </w:rPr>
      </w:r>
      <w:r>
        <w:rPr>
          <w:noProof/>
        </w:rPr>
        <w:fldChar w:fldCharType="separate"/>
      </w:r>
      <w:r w:rsidR="00946CE0">
        <w:rPr>
          <w:noProof/>
        </w:rPr>
        <w:t>5-32</w:t>
      </w:r>
      <w:r>
        <w:rPr>
          <w:noProof/>
        </w:rPr>
        <w:fldChar w:fldCharType="end"/>
      </w:r>
    </w:p>
    <w:p w14:paraId="11543CFB" w14:textId="687087C7" w:rsidR="00BC0A49" w:rsidRDefault="00BC0A49">
      <w:pPr>
        <w:pStyle w:val="TOC2"/>
        <w:rPr>
          <w:rFonts w:eastAsiaTheme="minorEastAsia"/>
          <w:noProof/>
          <w:kern w:val="2"/>
          <w:sz w:val="24"/>
          <w:szCs w:val="24"/>
          <w:lang w:val="en-IE" w:eastAsia="en-IE"/>
          <w14:ligatures w14:val="standardContextual"/>
        </w:rPr>
      </w:pPr>
      <w:r>
        <w:rPr>
          <w:noProof/>
        </w:rPr>
        <w:t>5.18 Monitoring</w:t>
      </w:r>
      <w:r>
        <w:rPr>
          <w:noProof/>
        </w:rPr>
        <w:tab/>
      </w:r>
      <w:r>
        <w:rPr>
          <w:noProof/>
        </w:rPr>
        <w:fldChar w:fldCharType="begin"/>
      </w:r>
      <w:r>
        <w:rPr>
          <w:noProof/>
        </w:rPr>
        <w:instrText xml:space="preserve"> PAGEREF _Toc233122790 \h </w:instrText>
      </w:r>
      <w:r>
        <w:rPr>
          <w:noProof/>
        </w:rPr>
      </w:r>
      <w:r>
        <w:rPr>
          <w:noProof/>
        </w:rPr>
        <w:fldChar w:fldCharType="separate"/>
      </w:r>
      <w:r w:rsidR="00946CE0">
        <w:rPr>
          <w:noProof/>
        </w:rPr>
        <w:t>5-32</w:t>
      </w:r>
      <w:r>
        <w:rPr>
          <w:noProof/>
        </w:rPr>
        <w:fldChar w:fldCharType="end"/>
      </w:r>
    </w:p>
    <w:p w14:paraId="67B420DA" w14:textId="1DF11013" w:rsidR="00BC0A49" w:rsidRDefault="00BC0A49">
      <w:pPr>
        <w:pStyle w:val="TOC2"/>
        <w:rPr>
          <w:rFonts w:eastAsiaTheme="minorEastAsia"/>
          <w:noProof/>
          <w:kern w:val="2"/>
          <w:sz w:val="24"/>
          <w:szCs w:val="24"/>
          <w:lang w:val="en-IE" w:eastAsia="en-IE"/>
          <w14:ligatures w14:val="standardContextual"/>
        </w:rPr>
      </w:pPr>
      <w:r>
        <w:rPr>
          <w:noProof/>
        </w:rPr>
        <w:t>5.19 Summary of Environmental Commitments</w:t>
      </w:r>
      <w:r>
        <w:rPr>
          <w:noProof/>
        </w:rPr>
        <w:tab/>
      </w:r>
      <w:r>
        <w:rPr>
          <w:noProof/>
        </w:rPr>
        <w:fldChar w:fldCharType="begin"/>
      </w:r>
      <w:r>
        <w:rPr>
          <w:noProof/>
        </w:rPr>
        <w:instrText xml:space="preserve"> PAGEREF _Toc233122791 \h </w:instrText>
      </w:r>
      <w:r>
        <w:rPr>
          <w:noProof/>
        </w:rPr>
      </w:r>
      <w:r>
        <w:rPr>
          <w:noProof/>
        </w:rPr>
        <w:fldChar w:fldCharType="separate"/>
      </w:r>
      <w:r w:rsidR="00946CE0">
        <w:rPr>
          <w:noProof/>
        </w:rPr>
        <w:t>5-32</w:t>
      </w:r>
      <w:r>
        <w:rPr>
          <w:noProof/>
        </w:rPr>
        <w:fldChar w:fldCharType="end"/>
      </w:r>
    </w:p>
    <w:p w14:paraId="045D49D4" w14:textId="2CFD201D" w:rsidR="00BC0A49" w:rsidRDefault="00BC0A49">
      <w:pPr>
        <w:pStyle w:val="TOC1"/>
        <w:rPr>
          <w:rFonts w:asciiTheme="minorHAnsi" w:eastAsiaTheme="minorEastAsia" w:hAnsiTheme="minorHAnsi"/>
          <w:noProof/>
          <w:kern w:val="2"/>
          <w:sz w:val="24"/>
          <w:szCs w:val="24"/>
          <w:lang w:val="en-IE" w:eastAsia="en-IE"/>
          <w14:ligatures w14:val="standardContextual"/>
        </w:rPr>
      </w:pPr>
      <w:r>
        <w:rPr>
          <w:noProof/>
        </w:rPr>
        <w:t>Acronyms and Abbreviations</w:t>
      </w:r>
      <w:r>
        <w:rPr>
          <w:noProof/>
        </w:rPr>
        <w:tab/>
      </w:r>
      <w:r>
        <w:rPr>
          <w:noProof/>
        </w:rPr>
        <w:fldChar w:fldCharType="begin"/>
      </w:r>
      <w:r>
        <w:rPr>
          <w:noProof/>
        </w:rPr>
        <w:instrText xml:space="preserve"> PAGEREF _Toc233122792 \h </w:instrText>
      </w:r>
      <w:r>
        <w:rPr>
          <w:noProof/>
        </w:rPr>
      </w:r>
      <w:r>
        <w:rPr>
          <w:noProof/>
        </w:rPr>
        <w:fldChar w:fldCharType="separate"/>
      </w:r>
      <w:r w:rsidR="00946CE0">
        <w:rPr>
          <w:noProof/>
        </w:rPr>
        <w:t>5-33</w:t>
      </w:r>
      <w:r>
        <w:rPr>
          <w:noProof/>
        </w:rPr>
        <w:fldChar w:fldCharType="end"/>
      </w:r>
    </w:p>
    <w:p w14:paraId="6DA182D8" w14:textId="09E5FC72" w:rsidR="003964F2" w:rsidRDefault="00A40809" w:rsidP="003964F2">
      <w:pPr>
        <w:pStyle w:val="BodyText"/>
        <w:rPr>
          <w:noProof/>
        </w:rPr>
      </w:pPr>
      <w:r>
        <w:rPr>
          <w:rFonts w:asciiTheme="majorHAnsi" w:hAnsiTheme="majorHAnsi"/>
          <w:noProof/>
        </w:rPr>
        <w:fldChar w:fldCharType="end"/>
      </w:r>
    </w:p>
    <w:p w14:paraId="6825832A" w14:textId="77777777" w:rsidR="003964F2" w:rsidRDefault="003964F2" w:rsidP="00872CBA">
      <w:pPr>
        <w:pStyle w:val="TOCHeading"/>
        <w:pageBreakBefore w:val="0"/>
        <w:rPr>
          <w:noProof/>
        </w:rPr>
      </w:pPr>
      <w:bookmarkStart w:id="45" w:name="Text_Figures"/>
      <w:r>
        <w:rPr>
          <w:noProof/>
        </w:rPr>
        <w:t>Figures</w:t>
      </w:r>
      <w:bookmarkEnd w:id="45"/>
    </w:p>
    <w:p w14:paraId="5ABF1E99" w14:textId="16850E6D" w:rsidR="00946CE0" w:rsidRDefault="003964F2">
      <w:pPr>
        <w:pStyle w:val="TableofFigures"/>
        <w:rPr>
          <w:rFonts w:eastAsiaTheme="minorEastAsia"/>
          <w:noProof/>
          <w:kern w:val="2"/>
          <w:sz w:val="24"/>
          <w:szCs w:val="24"/>
          <w:lang w:val="en-IE" w:eastAsia="en-IE"/>
          <w14:ligatures w14:val="standardContextual"/>
        </w:rPr>
      </w:pPr>
      <w:r>
        <w:rPr>
          <w:noProof/>
        </w:rPr>
        <w:fldChar w:fldCharType="begin"/>
      </w:r>
      <w:r>
        <w:rPr>
          <w:noProof/>
        </w:rPr>
        <w:instrText xml:space="preserve"> TOC \z \c "Figure" </w:instrText>
      </w:r>
      <w:r>
        <w:rPr>
          <w:noProof/>
        </w:rPr>
        <w:fldChar w:fldCharType="separate"/>
      </w:r>
      <w:r w:rsidR="00946CE0">
        <w:rPr>
          <w:noProof/>
        </w:rPr>
        <w:t>Plate 5</w:t>
      </w:r>
      <w:r w:rsidR="00946CE0">
        <w:rPr>
          <w:noProof/>
        </w:rPr>
        <w:noBreakHyphen/>
        <w:t xml:space="preserve">1: </w:t>
      </w:r>
      <w:r w:rsidR="00946CE0" w:rsidRPr="000F0FFF">
        <w:rPr>
          <w:noProof/>
          <w:lang w:val="en-IE"/>
        </w:rPr>
        <w:t xml:space="preserve">Location of subject site relative to location of </w:t>
      </w:r>
      <w:r w:rsidR="00946CE0" w:rsidRPr="000F0FFF">
        <w:rPr>
          <w:noProof/>
          <w:highlight w:val="yellow"/>
          <w:lang w:val="en-IE"/>
        </w:rPr>
        <w:t>[insert]</w:t>
      </w:r>
      <w:r w:rsidR="00946CE0" w:rsidRPr="000F0FFF">
        <w:rPr>
          <w:noProof/>
          <w:lang w:val="en-IE"/>
        </w:rPr>
        <w:t xml:space="preserve"> and 2km catchment for illustrative purposes (Source: CSO &amp; MDB)</w:t>
      </w:r>
      <w:r w:rsidR="00946CE0">
        <w:rPr>
          <w:noProof/>
          <w:webHidden/>
        </w:rPr>
        <w:tab/>
      </w:r>
      <w:r w:rsidR="00946CE0">
        <w:rPr>
          <w:noProof/>
          <w:webHidden/>
        </w:rPr>
        <w:fldChar w:fldCharType="begin"/>
      </w:r>
      <w:r w:rsidR="00946CE0">
        <w:rPr>
          <w:noProof/>
          <w:webHidden/>
        </w:rPr>
        <w:instrText xml:space="preserve"> PAGEREF _Toc233123404 \h </w:instrText>
      </w:r>
      <w:r w:rsidR="00946CE0">
        <w:rPr>
          <w:noProof/>
          <w:webHidden/>
        </w:rPr>
      </w:r>
      <w:r w:rsidR="00946CE0">
        <w:rPr>
          <w:noProof/>
          <w:webHidden/>
        </w:rPr>
        <w:fldChar w:fldCharType="separate"/>
      </w:r>
      <w:r w:rsidR="00946CE0">
        <w:rPr>
          <w:noProof/>
          <w:webHidden/>
        </w:rPr>
        <w:t>5-4</w:t>
      </w:r>
      <w:r w:rsidR="00946CE0">
        <w:rPr>
          <w:noProof/>
          <w:webHidden/>
        </w:rPr>
        <w:fldChar w:fldCharType="end"/>
      </w:r>
    </w:p>
    <w:p w14:paraId="7105BB48" w14:textId="23F01D56" w:rsidR="00946CE0" w:rsidRDefault="00946CE0">
      <w:pPr>
        <w:pStyle w:val="TableofFigures"/>
        <w:rPr>
          <w:rFonts w:eastAsiaTheme="minorEastAsia"/>
          <w:noProof/>
          <w:kern w:val="2"/>
          <w:sz w:val="24"/>
          <w:szCs w:val="24"/>
          <w:lang w:val="en-IE" w:eastAsia="en-IE"/>
          <w14:ligatures w14:val="standardContextual"/>
        </w:rPr>
      </w:pPr>
      <w:r>
        <w:rPr>
          <w:noProof/>
        </w:rPr>
        <w:t>Plate 5</w:t>
      </w:r>
      <w:r>
        <w:rPr>
          <w:noProof/>
        </w:rPr>
        <w:noBreakHyphen/>
        <w:t>2: Household Size Distribution (Source: CSO)</w:t>
      </w:r>
      <w:r>
        <w:rPr>
          <w:noProof/>
          <w:webHidden/>
        </w:rPr>
        <w:tab/>
      </w:r>
      <w:r>
        <w:rPr>
          <w:noProof/>
          <w:webHidden/>
        </w:rPr>
        <w:fldChar w:fldCharType="begin"/>
      </w:r>
      <w:r>
        <w:rPr>
          <w:noProof/>
          <w:webHidden/>
        </w:rPr>
        <w:instrText xml:space="preserve"> PAGEREF _Toc233123405 \h </w:instrText>
      </w:r>
      <w:r>
        <w:rPr>
          <w:noProof/>
          <w:webHidden/>
        </w:rPr>
      </w:r>
      <w:r>
        <w:rPr>
          <w:noProof/>
          <w:webHidden/>
        </w:rPr>
        <w:fldChar w:fldCharType="separate"/>
      </w:r>
      <w:r>
        <w:rPr>
          <w:noProof/>
          <w:webHidden/>
        </w:rPr>
        <w:t>5-6</w:t>
      </w:r>
      <w:r>
        <w:rPr>
          <w:noProof/>
          <w:webHidden/>
        </w:rPr>
        <w:fldChar w:fldCharType="end"/>
      </w:r>
    </w:p>
    <w:p w14:paraId="03EEA1FC" w14:textId="64F18A9A" w:rsidR="00946CE0" w:rsidRDefault="00946CE0">
      <w:pPr>
        <w:pStyle w:val="TableofFigures"/>
        <w:rPr>
          <w:rFonts w:eastAsiaTheme="minorEastAsia"/>
          <w:noProof/>
          <w:kern w:val="2"/>
          <w:sz w:val="24"/>
          <w:szCs w:val="24"/>
          <w:lang w:val="en-IE" w:eastAsia="en-IE"/>
          <w14:ligatures w14:val="standardContextual"/>
        </w:rPr>
      </w:pPr>
      <w:r>
        <w:rPr>
          <w:noProof/>
        </w:rPr>
        <w:t>Plate 5</w:t>
      </w:r>
      <w:r>
        <w:rPr>
          <w:noProof/>
        </w:rPr>
        <w:noBreakHyphen/>
        <w:t>3: Age Distribution (Source: CSO)</w:t>
      </w:r>
      <w:r>
        <w:rPr>
          <w:noProof/>
          <w:webHidden/>
        </w:rPr>
        <w:tab/>
      </w:r>
      <w:r>
        <w:rPr>
          <w:noProof/>
          <w:webHidden/>
        </w:rPr>
        <w:fldChar w:fldCharType="begin"/>
      </w:r>
      <w:r>
        <w:rPr>
          <w:noProof/>
          <w:webHidden/>
        </w:rPr>
        <w:instrText xml:space="preserve"> PAGEREF _Toc233123406 \h </w:instrText>
      </w:r>
      <w:r>
        <w:rPr>
          <w:noProof/>
          <w:webHidden/>
        </w:rPr>
      </w:r>
      <w:r>
        <w:rPr>
          <w:noProof/>
          <w:webHidden/>
        </w:rPr>
        <w:fldChar w:fldCharType="separate"/>
      </w:r>
      <w:r>
        <w:rPr>
          <w:noProof/>
          <w:webHidden/>
        </w:rPr>
        <w:t>5-7</w:t>
      </w:r>
      <w:r>
        <w:rPr>
          <w:noProof/>
          <w:webHidden/>
        </w:rPr>
        <w:fldChar w:fldCharType="end"/>
      </w:r>
    </w:p>
    <w:p w14:paraId="74C8F884" w14:textId="592F29B2" w:rsidR="00946CE0" w:rsidRDefault="00946CE0">
      <w:pPr>
        <w:pStyle w:val="TableofFigures"/>
        <w:rPr>
          <w:rFonts w:eastAsiaTheme="minorEastAsia"/>
          <w:noProof/>
          <w:kern w:val="2"/>
          <w:sz w:val="24"/>
          <w:szCs w:val="24"/>
          <w:lang w:val="en-IE" w:eastAsia="en-IE"/>
          <w14:ligatures w14:val="standardContextual"/>
        </w:rPr>
      </w:pPr>
      <w:r>
        <w:rPr>
          <w:noProof/>
        </w:rPr>
        <w:t>Plate 5</w:t>
      </w:r>
      <w:r>
        <w:rPr>
          <w:noProof/>
        </w:rPr>
        <w:noBreakHyphen/>
        <w:t>4: Occupations of Persons at Work in Rathcoole Town (Source: CSO)</w:t>
      </w:r>
      <w:r>
        <w:rPr>
          <w:noProof/>
          <w:webHidden/>
        </w:rPr>
        <w:tab/>
      </w:r>
      <w:r>
        <w:rPr>
          <w:noProof/>
          <w:webHidden/>
        </w:rPr>
        <w:fldChar w:fldCharType="begin"/>
      </w:r>
      <w:r>
        <w:rPr>
          <w:noProof/>
          <w:webHidden/>
        </w:rPr>
        <w:instrText xml:space="preserve"> PAGEREF _Toc233123407 \h </w:instrText>
      </w:r>
      <w:r>
        <w:rPr>
          <w:noProof/>
          <w:webHidden/>
        </w:rPr>
      </w:r>
      <w:r>
        <w:rPr>
          <w:noProof/>
          <w:webHidden/>
        </w:rPr>
        <w:fldChar w:fldCharType="separate"/>
      </w:r>
      <w:r>
        <w:rPr>
          <w:noProof/>
          <w:webHidden/>
        </w:rPr>
        <w:t>5-9</w:t>
      </w:r>
      <w:r>
        <w:rPr>
          <w:noProof/>
          <w:webHidden/>
        </w:rPr>
        <w:fldChar w:fldCharType="end"/>
      </w:r>
    </w:p>
    <w:p w14:paraId="5CF2D417" w14:textId="46F38B48" w:rsidR="00946CE0" w:rsidRDefault="00946CE0" w:rsidP="005C07A7">
      <w:pPr>
        <w:pStyle w:val="BodyText"/>
        <w:spacing w:after="0"/>
        <w:rPr>
          <w:rFonts w:eastAsiaTheme="minorEastAsia"/>
          <w:noProof/>
          <w:kern w:val="2"/>
          <w:sz w:val="24"/>
          <w:szCs w:val="24"/>
          <w:lang w:val="en-IE" w:eastAsia="en-IE"/>
          <w14:ligatures w14:val="standardContextual"/>
        </w:rPr>
      </w:pPr>
      <w:r w:rsidRPr="000F0FFF">
        <w:rPr>
          <w:noProof/>
        </w:rPr>
        <w:t>Plate</w:t>
      </w:r>
      <w:r>
        <w:rPr>
          <w:noProof/>
        </w:rPr>
        <w:t xml:space="preserve"> </w:t>
      </w:r>
      <w:r w:rsidRPr="000F0FFF">
        <w:rPr>
          <w:noProof/>
        </w:rPr>
        <w:t>5</w:t>
      </w:r>
      <w:r w:rsidRPr="000F0FFF">
        <w:rPr>
          <w:noProof/>
        </w:rPr>
        <w:noBreakHyphen/>
        <w:t>5: Population Health Status Rathcoole Town (Source: CSO)</w:t>
      </w:r>
      <w:r>
        <w:rPr>
          <w:noProof/>
          <w:webHidden/>
        </w:rPr>
        <w:tab/>
      </w:r>
      <w:r>
        <w:rPr>
          <w:noProof/>
          <w:webHidden/>
        </w:rPr>
        <w:fldChar w:fldCharType="begin"/>
      </w:r>
      <w:r>
        <w:rPr>
          <w:noProof/>
          <w:webHidden/>
        </w:rPr>
        <w:instrText xml:space="preserve"> PAGEREF _Toc233123408 \h </w:instrText>
      </w:r>
      <w:r>
        <w:rPr>
          <w:noProof/>
          <w:webHidden/>
        </w:rPr>
      </w:r>
      <w:r>
        <w:rPr>
          <w:noProof/>
          <w:webHidden/>
        </w:rPr>
        <w:fldChar w:fldCharType="separate"/>
      </w:r>
      <w:r>
        <w:rPr>
          <w:noProof/>
          <w:webHidden/>
        </w:rPr>
        <w:t>5-10</w:t>
      </w:r>
      <w:r>
        <w:rPr>
          <w:noProof/>
          <w:webHidden/>
        </w:rPr>
        <w:fldChar w:fldCharType="end"/>
      </w:r>
    </w:p>
    <w:p w14:paraId="6ABF652C" w14:textId="2DDDC1BF" w:rsidR="00946CE0" w:rsidRDefault="00946CE0" w:rsidP="005C07A7">
      <w:pPr>
        <w:pStyle w:val="BodyText"/>
        <w:spacing w:after="0"/>
        <w:rPr>
          <w:rFonts w:eastAsiaTheme="minorEastAsia"/>
          <w:noProof/>
          <w:kern w:val="2"/>
          <w:sz w:val="24"/>
          <w:szCs w:val="24"/>
          <w:lang w:val="en-IE" w:eastAsia="en-IE"/>
          <w14:ligatures w14:val="standardContextual"/>
        </w:rPr>
      </w:pPr>
      <w:r w:rsidRPr="000F0FFF">
        <w:rPr>
          <w:noProof/>
        </w:rPr>
        <w:t>Plate</w:t>
      </w:r>
      <w:r>
        <w:rPr>
          <w:noProof/>
        </w:rPr>
        <w:t xml:space="preserve"> </w:t>
      </w:r>
      <w:r w:rsidRPr="000F0FFF">
        <w:rPr>
          <w:noProof/>
        </w:rPr>
        <w:t>5</w:t>
      </w:r>
      <w:r w:rsidRPr="000F0FFF">
        <w:rPr>
          <w:noProof/>
        </w:rPr>
        <w:noBreakHyphen/>
        <w:t xml:space="preserve">6: </w:t>
      </w:r>
      <w:r w:rsidRPr="000F0FFF">
        <w:rPr>
          <w:noProof/>
          <w:lang w:val="en-IE"/>
        </w:rPr>
        <w:t>Enrolment Projections for Primary Schools (Source: Department of Education, 2025)</w:t>
      </w:r>
      <w:r>
        <w:rPr>
          <w:noProof/>
          <w:webHidden/>
        </w:rPr>
        <w:tab/>
      </w:r>
      <w:r>
        <w:rPr>
          <w:noProof/>
          <w:webHidden/>
        </w:rPr>
        <w:fldChar w:fldCharType="begin"/>
      </w:r>
      <w:r>
        <w:rPr>
          <w:noProof/>
          <w:webHidden/>
        </w:rPr>
        <w:instrText xml:space="preserve"> PAGEREF _Toc233123409 \h </w:instrText>
      </w:r>
      <w:r>
        <w:rPr>
          <w:noProof/>
          <w:webHidden/>
        </w:rPr>
      </w:r>
      <w:r>
        <w:rPr>
          <w:noProof/>
          <w:webHidden/>
        </w:rPr>
        <w:fldChar w:fldCharType="separate"/>
      </w:r>
      <w:r>
        <w:rPr>
          <w:noProof/>
          <w:webHidden/>
        </w:rPr>
        <w:t>5-16</w:t>
      </w:r>
      <w:r>
        <w:rPr>
          <w:noProof/>
          <w:webHidden/>
        </w:rPr>
        <w:fldChar w:fldCharType="end"/>
      </w:r>
    </w:p>
    <w:p w14:paraId="4B993BA0" w14:textId="597F8EB5" w:rsidR="00946CE0" w:rsidRDefault="00946CE0" w:rsidP="005C07A7">
      <w:pPr>
        <w:pStyle w:val="BodyText"/>
        <w:spacing w:after="0"/>
        <w:rPr>
          <w:rFonts w:eastAsiaTheme="minorEastAsia"/>
          <w:noProof/>
          <w:kern w:val="2"/>
          <w:sz w:val="24"/>
          <w:szCs w:val="24"/>
          <w:lang w:val="en-IE" w:eastAsia="en-IE"/>
          <w14:ligatures w14:val="standardContextual"/>
        </w:rPr>
      </w:pPr>
      <w:r w:rsidRPr="000F0FFF">
        <w:rPr>
          <w:noProof/>
        </w:rPr>
        <w:t>Plate</w:t>
      </w:r>
      <w:r>
        <w:rPr>
          <w:noProof/>
        </w:rPr>
        <w:t xml:space="preserve"> </w:t>
      </w:r>
      <w:r w:rsidRPr="000F0FFF">
        <w:rPr>
          <w:noProof/>
        </w:rPr>
        <w:t>5</w:t>
      </w:r>
      <w:r w:rsidRPr="000F0FFF">
        <w:rPr>
          <w:noProof/>
        </w:rPr>
        <w:noBreakHyphen/>
        <w:t xml:space="preserve">6: </w:t>
      </w:r>
      <w:r w:rsidRPr="000F0FFF">
        <w:rPr>
          <w:noProof/>
          <w:lang w:val="en-IE"/>
        </w:rPr>
        <w:t>Enrolment Projections for Secondary Schools (Source: Department of Education, 2025)</w:t>
      </w:r>
      <w:r>
        <w:rPr>
          <w:noProof/>
          <w:webHidden/>
        </w:rPr>
        <w:tab/>
      </w:r>
      <w:r>
        <w:rPr>
          <w:noProof/>
          <w:webHidden/>
        </w:rPr>
        <w:fldChar w:fldCharType="begin"/>
      </w:r>
      <w:r>
        <w:rPr>
          <w:noProof/>
          <w:webHidden/>
        </w:rPr>
        <w:instrText xml:space="preserve"> PAGEREF _Toc233123410 \h </w:instrText>
      </w:r>
      <w:r>
        <w:rPr>
          <w:noProof/>
          <w:webHidden/>
        </w:rPr>
      </w:r>
      <w:r>
        <w:rPr>
          <w:noProof/>
          <w:webHidden/>
        </w:rPr>
        <w:fldChar w:fldCharType="separate"/>
      </w:r>
      <w:r>
        <w:rPr>
          <w:noProof/>
          <w:webHidden/>
        </w:rPr>
        <w:t>5-17</w:t>
      </w:r>
      <w:r>
        <w:rPr>
          <w:noProof/>
          <w:webHidden/>
        </w:rPr>
        <w:fldChar w:fldCharType="end"/>
      </w:r>
    </w:p>
    <w:p w14:paraId="0225D547" w14:textId="50913F84" w:rsidR="003964F2" w:rsidRDefault="003964F2" w:rsidP="003964F2">
      <w:pPr>
        <w:pStyle w:val="BodyText"/>
        <w:rPr>
          <w:noProof/>
        </w:rPr>
      </w:pPr>
      <w:r>
        <w:rPr>
          <w:noProof/>
        </w:rPr>
        <w:fldChar w:fldCharType="end"/>
      </w:r>
    </w:p>
    <w:p w14:paraId="0073B14E" w14:textId="77777777" w:rsidR="003964F2" w:rsidRDefault="003964F2" w:rsidP="00872CBA">
      <w:pPr>
        <w:pStyle w:val="TOCHeading"/>
        <w:pageBreakBefore w:val="0"/>
        <w:rPr>
          <w:noProof/>
        </w:rPr>
      </w:pPr>
      <w:bookmarkStart w:id="46" w:name="Text_Tables"/>
      <w:r>
        <w:rPr>
          <w:noProof/>
        </w:rPr>
        <w:lastRenderedPageBreak/>
        <w:t>Tables</w:t>
      </w:r>
      <w:bookmarkEnd w:id="46"/>
    </w:p>
    <w:p w14:paraId="031B619C" w14:textId="59D97166" w:rsidR="00946CE0" w:rsidRDefault="003964F2">
      <w:pPr>
        <w:pStyle w:val="TableofFigures"/>
        <w:rPr>
          <w:rFonts w:eastAsiaTheme="minorEastAsia"/>
          <w:noProof/>
          <w:kern w:val="2"/>
          <w:sz w:val="24"/>
          <w:szCs w:val="24"/>
          <w:lang w:val="en-IE" w:eastAsia="en-IE"/>
          <w14:ligatures w14:val="standardContextual"/>
        </w:rPr>
      </w:pPr>
      <w:r>
        <w:rPr>
          <w:noProof/>
        </w:rPr>
        <w:fldChar w:fldCharType="begin"/>
      </w:r>
      <w:r>
        <w:rPr>
          <w:noProof/>
        </w:rPr>
        <w:instrText xml:space="preserve"> TOC \z \c "Table" </w:instrText>
      </w:r>
      <w:r>
        <w:rPr>
          <w:noProof/>
        </w:rPr>
        <w:fldChar w:fldCharType="separate"/>
      </w:r>
      <w:r w:rsidR="00946CE0">
        <w:rPr>
          <w:noProof/>
        </w:rPr>
        <w:t>Table 5-1: Population Change 2016-2022 (Source: CSO)</w:t>
      </w:r>
      <w:r w:rsidR="00946CE0">
        <w:rPr>
          <w:noProof/>
          <w:webHidden/>
        </w:rPr>
        <w:tab/>
      </w:r>
      <w:r w:rsidR="00946CE0">
        <w:rPr>
          <w:noProof/>
          <w:webHidden/>
        </w:rPr>
        <w:fldChar w:fldCharType="begin"/>
      </w:r>
      <w:r w:rsidR="00946CE0">
        <w:rPr>
          <w:noProof/>
          <w:webHidden/>
        </w:rPr>
        <w:instrText xml:space="preserve"> PAGEREF _Toc233123411 \h </w:instrText>
      </w:r>
      <w:r w:rsidR="00946CE0">
        <w:rPr>
          <w:noProof/>
          <w:webHidden/>
        </w:rPr>
      </w:r>
      <w:r w:rsidR="00946CE0">
        <w:rPr>
          <w:noProof/>
          <w:webHidden/>
        </w:rPr>
        <w:fldChar w:fldCharType="separate"/>
      </w:r>
      <w:r w:rsidR="00946CE0">
        <w:rPr>
          <w:noProof/>
          <w:webHidden/>
        </w:rPr>
        <w:t>5-5</w:t>
      </w:r>
      <w:r w:rsidR="00946CE0">
        <w:rPr>
          <w:noProof/>
          <w:webHidden/>
        </w:rPr>
        <w:fldChar w:fldCharType="end"/>
      </w:r>
    </w:p>
    <w:p w14:paraId="4C7C612F" w14:textId="0723D8A4" w:rsidR="00946CE0" w:rsidRDefault="00946CE0">
      <w:pPr>
        <w:pStyle w:val="TableofFigures"/>
        <w:rPr>
          <w:rFonts w:eastAsiaTheme="minorEastAsia"/>
          <w:noProof/>
          <w:kern w:val="2"/>
          <w:sz w:val="24"/>
          <w:szCs w:val="24"/>
          <w:lang w:val="en-IE" w:eastAsia="en-IE"/>
          <w14:ligatures w14:val="standardContextual"/>
        </w:rPr>
      </w:pPr>
      <w:r>
        <w:rPr>
          <w:noProof/>
        </w:rPr>
        <w:t>Table 5-2: Population Change 2016-2022 (Source: CSO)</w:t>
      </w:r>
      <w:r>
        <w:rPr>
          <w:noProof/>
          <w:webHidden/>
        </w:rPr>
        <w:tab/>
      </w:r>
      <w:r>
        <w:rPr>
          <w:noProof/>
          <w:webHidden/>
        </w:rPr>
        <w:fldChar w:fldCharType="begin"/>
      </w:r>
      <w:r>
        <w:rPr>
          <w:noProof/>
          <w:webHidden/>
        </w:rPr>
        <w:instrText xml:space="preserve"> PAGEREF _Toc233123412 \h </w:instrText>
      </w:r>
      <w:r>
        <w:rPr>
          <w:noProof/>
          <w:webHidden/>
        </w:rPr>
      </w:r>
      <w:r>
        <w:rPr>
          <w:noProof/>
          <w:webHidden/>
        </w:rPr>
        <w:fldChar w:fldCharType="separate"/>
      </w:r>
      <w:r>
        <w:rPr>
          <w:noProof/>
          <w:webHidden/>
        </w:rPr>
        <w:t>5-7</w:t>
      </w:r>
      <w:r>
        <w:rPr>
          <w:noProof/>
          <w:webHidden/>
        </w:rPr>
        <w:fldChar w:fldCharType="end"/>
      </w:r>
    </w:p>
    <w:p w14:paraId="5AA914CD" w14:textId="3816E0E6" w:rsidR="00946CE0" w:rsidRDefault="00946CE0">
      <w:pPr>
        <w:pStyle w:val="TableofFigures"/>
        <w:rPr>
          <w:rFonts w:eastAsiaTheme="minorEastAsia"/>
          <w:noProof/>
          <w:kern w:val="2"/>
          <w:sz w:val="24"/>
          <w:szCs w:val="24"/>
          <w:lang w:val="en-IE" w:eastAsia="en-IE"/>
          <w14:ligatures w14:val="standardContextual"/>
        </w:rPr>
      </w:pPr>
      <w:r>
        <w:rPr>
          <w:noProof/>
        </w:rPr>
        <w:t>Table 5-3: Capacity of Undeveloped Lands in Rathcoole 2022 and 2025</w:t>
      </w:r>
      <w:r>
        <w:rPr>
          <w:noProof/>
          <w:webHidden/>
        </w:rPr>
        <w:tab/>
      </w:r>
      <w:r>
        <w:rPr>
          <w:noProof/>
          <w:webHidden/>
        </w:rPr>
        <w:fldChar w:fldCharType="begin"/>
      </w:r>
      <w:r>
        <w:rPr>
          <w:noProof/>
          <w:webHidden/>
        </w:rPr>
        <w:instrText xml:space="preserve"> PAGEREF _Toc233123413 \h </w:instrText>
      </w:r>
      <w:r>
        <w:rPr>
          <w:noProof/>
          <w:webHidden/>
        </w:rPr>
      </w:r>
      <w:r>
        <w:rPr>
          <w:noProof/>
          <w:webHidden/>
        </w:rPr>
        <w:fldChar w:fldCharType="separate"/>
      </w:r>
      <w:r>
        <w:rPr>
          <w:noProof/>
          <w:webHidden/>
        </w:rPr>
        <w:t>5-8</w:t>
      </w:r>
      <w:r>
        <w:rPr>
          <w:noProof/>
          <w:webHidden/>
        </w:rPr>
        <w:fldChar w:fldCharType="end"/>
      </w:r>
    </w:p>
    <w:p w14:paraId="238FED51" w14:textId="0E0188DE" w:rsidR="00946CE0" w:rsidRDefault="00946CE0">
      <w:pPr>
        <w:pStyle w:val="TableofFigures"/>
        <w:rPr>
          <w:rFonts w:eastAsiaTheme="minorEastAsia"/>
          <w:noProof/>
          <w:kern w:val="2"/>
          <w:sz w:val="24"/>
          <w:szCs w:val="24"/>
          <w:lang w:val="en-IE" w:eastAsia="en-IE"/>
          <w14:ligatures w14:val="standardContextual"/>
        </w:rPr>
      </w:pPr>
      <w:r>
        <w:rPr>
          <w:noProof/>
        </w:rPr>
        <w:t>Table 4: Childcare Facilities</w:t>
      </w:r>
      <w:r>
        <w:rPr>
          <w:noProof/>
          <w:webHidden/>
        </w:rPr>
        <w:tab/>
      </w:r>
      <w:r>
        <w:rPr>
          <w:noProof/>
          <w:webHidden/>
        </w:rPr>
        <w:fldChar w:fldCharType="begin"/>
      </w:r>
      <w:r>
        <w:rPr>
          <w:noProof/>
          <w:webHidden/>
        </w:rPr>
        <w:instrText xml:space="preserve"> PAGEREF _Toc233123414 \h </w:instrText>
      </w:r>
      <w:r>
        <w:rPr>
          <w:noProof/>
          <w:webHidden/>
        </w:rPr>
      </w:r>
      <w:r>
        <w:rPr>
          <w:noProof/>
          <w:webHidden/>
        </w:rPr>
        <w:fldChar w:fldCharType="separate"/>
      </w:r>
      <w:r>
        <w:rPr>
          <w:noProof/>
          <w:webHidden/>
        </w:rPr>
        <w:t>5-11</w:t>
      </w:r>
      <w:r>
        <w:rPr>
          <w:noProof/>
          <w:webHidden/>
        </w:rPr>
        <w:fldChar w:fldCharType="end"/>
      </w:r>
    </w:p>
    <w:p w14:paraId="63900508" w14:textId="67726ECF" w:rsidR="00946CE0" w:rsidRDefault="00946CE0">
      <w:pPr>
        <w:pStyle w:val="TableofFigures"/>
        <w:rPr>
          <w:rFonts w:eastAsiaTheme="minorEastAsia"/>
          <w:noProof/>
          <w:kern w:val="2"/>
          <w:sz w:val="24"/>
          <w:szCs w:val="24"/>
          <w:lang w:val="en-IE" w:eastAsia="en-IE"/>
          <w14:ligatures w14:val="standardContextual"/>
        </w:rPr>
      </w:pPr>
      <w:r>
        <w:rPr>
          <w:noProof/>
        </w:rPr>
        <w:t>Table 5-5: Childcare - Permitted and Pending Planning Applications</w:t>
      </w:r>
      <w:r>
        <w:rPr>
          <w:noProof/>
          <w:webHidden/>
        </w:rPr>
        <w:tab/>
      </w:r>
      <w:r>
        <w:rPr>
          <w:noProof/>
          <w:webHidden/>
        </w:rPr>
        <w:fldChar w:fldCharType="begin"/>
      </w:r>
      <w:r>
        <w:rPr>
          <w:noProof/>
          <w:webHidden/>
        </w:rPr>
        <w:instrText xml:space="preserve"> PAGEREF _Toc233123415 \h </w:instrText>
      </w:r>
      <w:r>
        <w:rPr>
          <w:noProof/>
          <w:webHidden/>
        </w:rPr>
      </w:r>
      <w:r>
        <w:rPr>
          <w:noProof/>
          <w:webHidden/>
        </w:rPr>
        <w:fldChar w:fldCharType="separate"/>
      </w:r>
      <w:r>
        <w:rPr>
          <w:noProof/>
          <w:webHidden/>
        </w:rPr>
        <w:t>5-12</w:t>
      </w:r>
      <w:r>
        <w:rPr>
          <w:noProof/>
          <w:webHidden/>
        </w:rPr>
        <w:fldChar w:fldCharType="end"/>
      </w:r>
    </w:p>
    <w:p w14:paraId="271DDE1F" w14:textId="48ACF2AD" w:rsidR="00946CE0" w:rsidRDefault="00946CE0">
      <w:pPr>
        <w:pStyle w:val="TableofFigures"/>
        <w:rPr>
          <w:rFonts w:eastAsiaTheme="minorEastAsia"/>
          <w:noProof/>
          <w:kern w:val="2"/>
          <w:sz w:val="24"/>
          <w:szCs w:val="24"/>
          <w:lang w:val="en-IE" w:eastAsia="en-IE"/>
          <w14:ligatures w14:val="standardContextual"/>
        </w:rPr>
      </w:pPr>
      <w:r>
        <w:rPr>
          <w:noProof/>
        </w:rPr>
        <w:t>Table 5-6: Primary Schools</w:t>
      </w:r>
      <w:r>
        <w:rPr>
          <w:noProof/>
          <w:webHidden/>
        </w:rPr>
        <w:tab/>
      </w:r>
      <w:r>
        <w:rPr>
          <w:noProof/>
          <w:webHidden/>
        </w:rPr>
        <w:fldChar w:fldCharType="begin"/>
      </w:r>
      <w:r>
        <w:rPr>
          <w:noProof/>
          <w:webHidden/>
        </w:rPr>
        <w:instrText xml:space="preserve"> PAGEREF _Toc233123416 \h </w:instrText>
      </w:r>
      <w:r>
        <w:rPr>
          <w:noProof/>
          <w:webHidden/>
        </w:rPr>
      </w:r>
      <w:r>
        <w:rPr>
          <w:noProof/>
          <w:webHidden/>
        </w:rPr>
        <w:fldChar w:fldCharType="separate"/>
      </w:r>
      <w:r>
        <w:rPr>
          <w:noProof/>
          <w:webHidden/>
        </w:rPr>
        <w:t>5-14</w:t>
      </w:r>
      <w:r>
        <w:rPr>
          <w:noProof/>
          <w:webHidden/>
        </w:rPr>
        <w:fldChar w:fldCharType="end"/>
      </w:r>
    </w:p>
    <w:p w14:paraId="3FDF196A" w14:textId="06DE588F" w:rsidR="00946CE0" w:rsidRDefault="00946CE0">
      <w:pPr>
        <w:pStyle w:val="TableofFigures"/>
        <w:rPr>
          <w:rFonts w:eastAsiaTheme="minorEastAsia"/>
          <w:noProof/>
          <w:kern w:val="2"/>
          <w:sz w:val="24"/>
          <w:szCs w:val="24"/>
          <w:lang w:val="en-IE" w:eastAsia="en-IE"/>
          <w14:ligatures w14:val="standardContextual"/>
        </w:rPr>
      </w:pPr>
      <w:r>
        <w:rPr>
          <w:noProof/>
        </w:rPr>
        <w:t>Table 7: Secondary Schools</w:t>
      </w:r>
      <w:r>
        <w:rPr>
          <w:noProof/>
          <w:webHidden/>
        </w:rPr>
        <w:tab/>
      </w:r>
      <w:r>
        <w:rPr>
          <w:noProof/>
          <w:webHidden/>
        </w:rPr>
        <w:fldChar w:fldCharType="begin"/>
      </w:r>
      <w:r>
        <w:rPr>
          <w:noProof/>
          <w:webHidden/>
        </w:rPr>
        <w:instrText xml:space="preserve"> PAGEREF _Toc233123417 \h </w:instrText>
      </w:r>
      <w:r>
        <w:rPr>
          <w:noProof/>
          <w:webHidden/>
        </w:rPr>
      </w:r>
      <w:r>
        <w:rPr>
          <w:noProof/>
          <w:webHidden/>
        </w:rPr>
        <w:fldChar w:fldCharType="separate"/>
      </w:r>
      <w:r>
        <w:rPr>
          <w:noProof/>
          <w:webHidden/>
        </w:rPr>
        <w:t>5-14</w:t>
      </w:r>
      <w:r>
        <w:rPr>
          <w:noProof/>
          <w:webHidden/>
        </w:rPr>
        <w:fldChar w:fldCharType="end"/>
      </w:r>
    </w:p>
    <w:p w14:paraId="6CDEBC4A" w14:textId="3DA61D3B" w:rsidR="00946CE0" w:rsidRDefault="00946CE0">
      <w:pPr>
        <w:pStyle w:val="TableofFigures"/>
        <w:rPr>
          <w:rFonts w:eastAsiaTheme="minorEastAsia"/>
          <w:noProof/>
          <w:kern w:val="2"/>
          <w:sz w:val="24"/>
          <w:szCs w:val="24"/>
          <w:lang w:val="en-IE" w:eastAsia="en-IE"/>
          <w14:ligatures w14:val="standardContextual"/>
        </w:rPr>
      </w:pPr>
      <w:r>
        <w:rPr>
          <w:noProof/>
        </w:rPr>
        <w:t>Table 5-8: Schools - Permitted and Pending Planning Applications</w:t>
      </w:r>
      <w:r>
        <w:rPr>
          <w:noProof/>
          <w:webHidden/>
        </w:rPr>
        <w:tab/>
      </w:r>
      <w:r>
        <w:rPr>
          <w:noProof/>
          <w:webHidden/>
        </w:rPr>
        <w:fldChar w:fldCharType="begin"/>
      </w:r>
      <w:r>
        <w:rPr>
          <w:noProof/>
          <w:webHidden/>
        </w:rPr>
        <w:instrText xml:space="preserve"> PAGEREF _Toc233123418 \h </w:instrText>
      </w:r>
      <w:r>
        <w:rPr>
          <w:noProof/>
          <w:webHidden/>
        </w:rPr>
      </w:r>
      <w:r>
        <w:rPr>
          <w:noProof/>
          <w:webHidden/>
        </w:rPr>
        <w:fldChar w:fldCharType="separate"/>
      </w:r>
      <w:r>
        <w:rPr>
          <w:noProof/>
          <w:webHidden/>
        </w:rPr>
        <w:t>5-14</w:t>
      </w:r>
      <w:r>
        <w:rPr>
          <w:noProof/>
          <w:webHidden/>
        </w:rPr>
        <w:fldChar w:fldCharType="end"/>
      </w:r>
    </w:p>
    <w:p w14:paraId="37EA5958" w14:textId="59451364" w:rsidR="00946CE0" w:rsidRDefault="00946CE0">
      <w:pPr>
        <w:pStyle w:val="TableofFigures"/>
        <w:rPr>
          <w:rFonts w:eastAsiaTheme="minorEastAsia"/>
          <w:noProof/>
          <w:kern w:val="2"/>
          <w:sz w:val="24"/>
          <w:szCs w:val="24"/>
          <w:lang w:val="en-IE" w:eastAsia="en-IE"/>
          <w14:ligatures w14:val="standardContextual"/>
        </w:rPr>
      </w:pPr>
      <w:r>
        <w:rPr>
          <w:noProof/>
        </w:rPr>
        <w:t>Table 9: Open Space, Sports and Leisure Facilities within 2km of the Site</w:t>
      </w:r>
      <w:r>
        <w:rPr>
          <w:noProof/>
          <w:webHidden/>
        </w:rPr>
        <w:tab/>
      </w:r>
      <w:r>
        <w:rPr>
          <w:noProof/>
          <w:webHidden/>
        </w:rPr>
        <w:fldChar w:fldCharType="begin"/>
      </w:r>
      <w:r>
        <w:rPr>
          <w:noProof/>
          <w:webHidden/>
        </w:rPr>
        <w:instrText xml:space="preserve"> PAGEREF _Toc233123419 \h </w:instrText>
      </w:r>
      <w:r>
        <w:rPr>
          <w:noProof/>
          <w:webHidden/>
        </w:rPr>
      </w:r>
      <w:r>
        <w:rPr>
          <w:noProof/>
          <w:webHidden/>
        </w:rPr>
        <w:fldChar w:fldCharType="separate"/>
      </w:r>
      <w:r>
        <w:rPr>
          <w:noProof/>
          <w:webHidden/>
        </w:rPr>
        <w:t>5-18</w:t>
      </w:r>
      <w:r>
        <w:rPr>
          <w:noProof/>
          <w:webHidden/>
        </w:rPr>
        <w:fldChar w:fldCharType="end"/>
      </w:r>
    </w:p>
    <w:p w14:paraId="3472658D" w14:textId="5CAC4476" w:rsidR="00946CE0" w:rsidRDefault="00946CE0">
      <w:pPr>
        <w:pStyle w:val="TableofFigures"/>
        <w:rPr>
          <w:rFonts w:eastAsiaTheme="minorEastAsia"/>
          <w:noProof/>
          <w:kern w:val="2"/>
          <w:sz w:val="24"/>
          <w:szCs w:val="24"/>
          <w:lang w:val="en-IE" w:eastAsia="en-IE"/>
          <w14:ligatures w14:val="standardContextual"/>
        </w:rPr>
      </w:pPr>
      <w:r>
        <w:rPr>
          <w:noProof/>
        </w:rPr>
        <w:t>Table 10: Health facilities and Social Services</w:t>
      </w:r>
      <w:r>
        <w:rPr>
          <w:noProof/>
          <w:webHidden/>
        </w:rPr>
        <w:tab/>
      </w:r>
      <w:r>
        <w:rPr>
          <w:noProof/>
          <w:webHidden/>
        </w:rPr>
        <w:fldChar w:fldCharType="begin"/>
      </w:r>
      <w:r>
        <w:rPr>
          <w:noProof/>
          <w:webHidden/>
        </w:rPr>
        <w:instrText xml:space="preserve"> PAGEREF _Toc233123420 \h </w:instrText>
      </w:r>
      <w:r>
        <w:rPr>
          <w:noProof/>
          <w:webHidden/>
        </w:rPr>
      </w:r>
      <w:r>
        <w:rPr>
          <w:noProof/>
          <w:webHidden/>
        </w:rPr>
        <w:fldChar w:fldCharType="separate"/>
      </w:r>
      <w:r>
        <w:rPr>
          <w:noProof/>
          <w:webHidden/>
        </w:rPr>
        <w:t>5-19</w:t>
      </w:r>
      <w:r>
        <w:rPr>
          <w:noProof/>
          <w:webHidden/>
        </w:rPr>
        <w:fldChar w:fldCharType="end"/>
      </w:r>
    </w:p>
    <w:p w14:paraId="23AEB13C" w14:textId="2A5503E5" w:rsidR="00946CE0" w:rsidRDefault="00946CE0">
      <w:pPr>
        <w:pStyle w:val="TableofFigures"/>
        <w:rPr>
          <w:rFonts w:eastAsiaTheme="minorEastAsia"/>
          <w:noProof/>
          <w:kern w:val="2"/>
          <w:sz w:val="24"/>
          <w:szCs w:val="24"/>
          <w:lang w:val="en-IE" w:eastAsia="en-IE"/>
          <w14:ligatures w14:val="standardContextual"/>
        </w:rPr>
      </w:pPr>
      <w:r>
        <w:rPr>
          <w:noProof/>
        </w:rPr>
        <w:t>Table 5-11: Health - Permitted and Pending Planning Applications</w:t>
      </w:r>
      <w:r>
        <w:rPr>
          <w:noProof/>
          <w:webHidden/>
        </w:rPr>
        <w:tab/>
      </w:r>
      <w:r>
        <w:rPr>
          <w:noProof/>
          <w:webHidden/>
        </w:rPr>
        <w:fldChar w:fldCharType="begin"/>
      </w:r>
      <w:r>
        <w:rPr>
          <w:noProof/>
          <w:webHidden/>
        </w:rPr>
        <w:instrText xml:space="preserve"> PAGEREF _Toc233123421 \h </w:instrText>
      </w:r>
      <w:r>
        <w:rPr>
          <w:noProof/>
          <w:webHidden/>
        </w:rPr>
      </w:r>
      <w:r>
        <w:rPr>
          <w:noProof/>
          <w:webHidden/>
        </w:rPr>
        <w:fldChar w:fldCharType="separate"/>
      </w:r>
      <w:r>
        <w:rPr>
          <w:noProof/>
          <w:webHidden/>
        </w:rPr>
        <w:t>5-19</w:t>
      </w:r>
      <w:r>
        <w:rPr>
          <w:noProof/>
          <w:webHidden/>
        </w:rPr>
        <w:fldChar w:fldCharType="end"/>
      </w:r>
    </w:p>
    <w:p w14:paraId="7FD20A8F" w14:textId="34DA28FF" w:rsidR="00946CE0" w:rsidRDefault="00946CE0">
      <w:pPr>
        <w:pStyle w:val="TableofFigures"/>
        <w:rPr>
          <w:rFonts w:eastAsiaTheme="minorEastAsia"/>
          <w:noProof/>
          <w:kern w:val="2"/>
          <w:sz w:val="24"/>
          <w:szCs w:val="24"/>
          <w:lang w:val="en-IE" w:eastAsia="en-IE"/>
          <w14:ligatures w14:val="standardContextual"/>
        </w:rPr>
      </w:pPr>
      <w:r>
        <w:rPr>
          <w:noProof/>
        </w:rPr>
        <w:t>Table 12: Community Facilities</w:t>
      </w:r>
      <w:r>
        <w:rPr>
          <w:noProof/>
          <w:webHidden/>
        </w:rPr>
        <w:tab/>
      </w:r>
      <w:r>
        <w:rPr>
          <w:noProof/>
          <w:webHidden/>
        </w:rPr>
        <w:fldChar w:fldCharType="begin"/>
      </w:r>
      <w:r>
        <w:rPr>
          <w:noProof/>
          <w:webHidden/>
        </w:rPr>
        <w:instrText xml:space="preserve"> PAGEREF _Toc233123422 \h </w:instrText>
      </w:r>
      <w:r>
        <w:rPr>
          <w:noProof/>
          <w:webHidden/>
        </w:rPr>
      </w:r>
      <w:r>
        <w:rPr>
          <w:noProof/>
          <w:webHidden/>
        </w:rPr>
        <w:fldChar w:fldCharType="separate"/>
      </w:r>
      <w:r>
        <w:rPr>
          <w:noProof/>
          <w:webHidden/>
        </w:rPr>
        <w:t>5-20</w:t>
      </w:r>
      <w:r>
        <w:rPr>
          <w:noProof/>
          <w:webHidden/>
        </w:rPr>
        <w:fldChar w:fldCharType="end"/>
      </w:r>
    </w:p>
    <w:p w14:paraId="37EBFFE5" w14:textId="7925033F" w:rsidR="00946CE0" w:rsidRDefault="00946CE0">
      <w:pPr>
        <w:pStyle w:val="TableofFigures"/>
        <w:rPr>
          <w:rFonts w:eastAsiaTheme="minorEastAsia"/>
          <w:noProof/>
          <w:kern w:val="2"/>
          <w:sz w:val="24"/>
          <w:szCs w:val="24"/>
          <w:lang w:val="en-IE" w:eastAsia="en-IE"/>
          <w14:ligatures w14:val="standardContextual"/>
        </w:rPr>
      </w:pPr>
      <w:r>
        <w:rPr>
          <w:noProof/>
        </w:rPr>
        <w:t>Table 5-13: Planning Permissions at the Site</w:t>
      </w:r>
      <w:r>
        <w:rPr>
          <w:noProof/>
          <w:webHidden/>
        </w:rPr>
        <w:tab/>
      </w:r>
      <w:r>
        <w:rPr>
          <w:noProof/>
          <w:webHidden/>
        </w:rPr>
        <w:fldChar w:fldCharType="begin"/>
      </w:r>
      <w:r>
        <w:rPr>
          <w:noProof/>
          <w:webHidden/>
        </w:rPr>
        <w:instrText xml:space="preserve"> PAGEREF _Toc233123423 \h </w:instrText>
      </w:r>
      <w:r>
        <w:rPr>
          <w:noProof/>
          <w:webHidden/>
        </w:rPr>
      </w:r>
      <w:r>
        <w:rPr>
          <w:noProof/>
          <w:webHidden/>
        </w:rPr>
        <w:fldChar w:fldCharType="separate"/>
      </w:r>
      <w:r>
        <w:rPr>
          <w:noProof/>
          <w:webHidden/>
        </w:rPr>
        <w:t>5-25</w:t>
      </w:r>
      <w:r>
        <w:rPr>
          <w:noProof/>
          <w:webHidden/>
        </w:rPr>
        <w:fldChar w:fldCharType="end"/>
      </w:r>
    </w:p>
    <w:p w14:paraId="73C4B60D" w14:textId="73C83D2C" w:rsidR="00946CE0" w:rsidRDefault="00946CE0">
      <w:pPr>
        <w:pStyle w:val="TableofFigures"/>
        <w:rPr>
          <w:rFonts w:eastAsiaTheme="minorEastAsia"/>
          <w:noProof/>
          <w:kern w:val="2"/>
          <w:sz w:val="24"/>
          <w:szCs w:val="24"/>
          <w:lang w:val="en-IE" w:eastAsia="en-IE"/>
          <w14:ligatures w14:val="standardContextual"/>
        </w:rPr>
      </w:pPr>
      <w:r>
        <w:rPr>
          <w:noProof/>
        </w:rPr>
        <w:t>Table 5-14: Planning Permissions in the Immediate Area</w:t>
      </w:r>
      <w:r>
        <w:rPr>
          <w:noProof/>
          <w:webHidden/>
        </w:rPr>
        <w:tab/>
      </w:r>
      <w:r>
        <w:rPr>
          <w:noProof/>
          <w:webHidden/>
        </w:rPr>
        <w:fldChar w:fldCharType="begin"/>
      </w:r>
      <w:r>
        <w:rPr>
          <w:noProof/>
          <w:webHidden/>
        </w:rPr>
        <w:instrText xml:space="preserve"> PAGEREF _Toc233123424 \h </w:instrText>
      </w:r>
      <w:r>
        <w:rPr>
          <w:noProof/>
          <w:webHidden/>
        </w:rPr>
      </w:r>
      <w:r>
        <w:rPr>
          <w:noProof/>
          <w:webHidden/>
        </w:rPr>
        <w:fldChar w:fldCharType="separate"/>
      </w:r>
      <w:r>
        <w:rPr>
          <w:noProof/>
          <w:webHidden/>
        </w:rPr>
        <w:t>5-25</w:t>
      </w:r>
      <w:r>
        <w:rPr>
          <w:noProof/>
          <w:webHidden/>
        </w:rPr>
        <w:fldChar w:fldCharType="end"/>
      </w:r>
    </w:p>
    <w:p w14:paraId="5C8903F6" w14:textId="1645EB54" w:rsidR="00946CE0" w:rsidRDefault="00946CE0">
      <w:pPr>
        <w:pStyle w:val="TableofFigures"/>
        <w:rPr>
          <w:rFonts w:eastAsiaTheme="minorEastAsia"/>
          <w:noProof/>
          <w:kern w:val="2"/>
          <w:sz w:val="24"/>
          <w:szCs w:val="24"/>
          <w:lang w:val="en-IE" w:eastAsia="en-IE"/>
          <w14:ligatures w14:val="standardContextual"/>
        </w:rPr>
      </w:pPr>
      <w:r>
        <w:rPr>
          <w:noProof/>
        </w:rPr>
        <w:t>Table 5-15: Planning Permissions in the Surrounding Area</w:t>
      </w:r>
      <w:r>
        <w:rPr>
          <w:noProof/>
          <w:webHidden/>
        </w:rPr>
        <w:tab/>
      </w:r>
      <w:r>
        <w:rPr>
          <w:noProof/>
          <w:webHidden/>
        </w:rPr>
        <w:fldChar w:fldCharType="begin"/>
      </w:r>
      <w:r>
        <w:rPr>
          <w:noProof/>
          <w:webHidden/>
        </w:rPr>
        <w:instrText xml:space="preserve"> PAGEREF _Toc233123425 \h </w:instrText>
      </w:r>
      <w:r>
        <w:rPr>
          <w:noProof/>
          <w:webHidden/>
        </w:rPr>
      </w:r>
      <w:r>
        <w:rPr>
          <w:noProof/>
          <w:webHidden/>
        </w:rPr>
        <w:fldChar w:fldCharType="separate"/>
      </w:r>
      <w:r>
        <w:rPr>
          <w:noProof/>
          <w:webHidden/>
        </w:rPr>
        <w:t>5-26</w:t>
      </w:r>
      <w:r>
        <w:rPr>
          <w:noProof/>
          <w:webHidden/>
        </w:rPr>
        <w:fldChar w:fldCharType="end"/>
      </w:r>
    </w:p>
    <w:p w14:paraId="7165ACC4" w14:textId="0F69DC4C" w:rsidR="007935AD" w:rsidRDefault="003964F2" w:rsidP="003964F2">
      <w:pPr>
        <w:pStyle w:val="BodyText"/>
        <w:rPr>
          <w:noProof/>
        </w:rPr>
      </w:pPr>
      <w:r>
        <w:rPr>
          <w:noProof/>
        </w:rPr>
        <w:fldChar w:fldCharType="end"/>
      </w:r>
      <w:bookmarkEnd w:id="44"/>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59E1DD3F" w:rsidR="003B18BF" w:rsidRDefault="00A76346" w:rsidP="00497387">
      <w:pPr>
        <w:pStyle w:val="Heading1"/>
      </w:pPr>
      <w:bookmarkStart w:id="47" w:name="_Toc233122757"/>
      <w:bookmarkStart w:id="48" w:name="BodyContent"/>
      <w:r>
        <w:lastRenderedPageBreak/>
        <w:t>Population and Human Health</w:t>
      </w:r>
      <w:bookmarkEnd w:id="47"/>
    </w:p>
    <w:p w14:paraId="7E778456" w14:textId="51148C5A" w:rsidR="00336BAB" w:rsidRDefault="00CD62E2" w:rsidP="004B509F">
      <w:pPr>
        <w:pStyle w:val="Heading2"/>
      </w:pPr>
      <w:bookmarkStart w:id="49" w:name="_Toc233122758"/>
      <w:r>
        <w:t>Introduction</w:t>
      </w:r>
      <w:bookmarkEnd w:id="49"/>
    </w:p>
    <w:p w14:paraId="3CEB3900" w14:textId="5F4427B7" w:rsidR="00B64E1E" w:rsidRPr="00B64E1E" w:rsidRDefault="007305BD" w:rsidP="00B64E1E">
      <w:pPr>
        <w:pStyle w:val="BodyText"/>
      </w:pPr>
      <w:r>
        <w:rPr>
          <w:rStyle w:val="normaltextrun"/>
          <w:rFonts w:ascii="Arial" w:hAnsi="Arial" w:cs="Arial"/>
          <w:color w:val="000000"/>
          <w:szCs w:val="20"/>
          <w:shd w:val="clear" w:color="auto" w:fill="FFFFFF"/>
        </w:rPr>
        <w:t xml:space="preserve">This section of the Environmental Impact Assessment Report (EIAR) has been prepared by MacCabe Durney Barnes on behalf of South Dublin County Council.  </w:t>
      </w:r>
      <w:r w:rsidR="00B64E1E" w:rsidRPr="00B64E1E">
        <w:t>This chapter of the EIAR addresses the likely direct and indirect effects positively or negatively on Population and Human Health of the proposed housing development at</w:t>
      </w:r>
      <w:r w:rsidR="00B64E1E">
        <w:t xml:space="preserve"> Rathcoole, County Dublin.</w:t>
      </w:r>
    </w:p>
    <w:p w14:paraId="3486BA6C" w14:textId="3545A424" w:rsidR="00CC5132" w:rsidRPr="00CC5132" w:rsidRDefault="00B922E4" w:rsidP="00E43B45">
      <w:pPr>
        <w:pStyle w:val="Heading2"/>
      </w:pPr>
      <w:bookmarkStart w:id="50" w:name="_Toc233122759"/>
      <w:r>
        <w:t>Legislation, Policy and Guidance</w:t>
      </w:r>
      <w:bookmarkEnd w:id="50"/>
    </w:p>
    <w:p w14:paraId="0F55B7B7" w14:textId="77777777" w:rsidR="00DE58F9" w:rsidRDefault="00DE58F9" w:rsidP="00DE58F9">
      <w:pPr>
        <w:pStyle w:val="BodyText"/>
      </w:pPr>
      <w:r>
        <w:t xml:space="preserve">The methodology is based on established best practice with cognisance given to all relevant guidelines and legislation and, in particular, </w:t>
      </w:r>
    </w:p>
    <w:p w14:paraId="667595DC" w14:textId="101954FB" w:rsidR="00DE58F9" w:rsidRDefault="00DE58F9" w:rsidP="005F45A8">
      <w:pPr>
        <w:pStyle w:val="ListBullet"/>
      </w:pPr>
      <w:r>
        <w:t>Guidelines on Information to be contained in Environmental Impact Assessment Reports (EPA. 20</w:t>
      </w:r>
      <w:r w:rsidR="001F3E66">
        <w:t>22</w:t>
      </w:r>
      <w:r>
        <w:t xml:space="preserve">) </w:t>
      </w:r>
    </w:p>
    <w:p w14:paraId="48030378" w14:textId="5786DD04" w:rsidR="00DE58F9" w:rsidRDefault="00DE58F9" w:rsidP="005F45A8">
      <w:pPr>
        <w:pStyle w:val="ListBullet"/>
      </w:pPr>
      <w:r>
        <w:t>European Commission, Environmental Impact Assessment of Projects Guidance on the preparation of the Environmental Impact Assessment (2017)</w:t>
      </w:r>
    </w:p>
    <w:p w14:paraId="5A507FA2" w14:textId="36A8F7AC" w:rsidR="00CC5132" w:rsidRDefault="00DE58F9" w:rsidP="00DE58F9">
      <w:pPr>
        <w:pStyle w:val="BodyText"/>
      </w:pPr>
      <w:r>
        <w:t xml:space="preserve">The assessment of population is primarily based on a desk-based assessment. It seeks to determine the existing background environment (in terms of population), including the existing population, future population projections, existing and future economic activity in the area, employment, community infrastructure and recreation amenities in the subject areas. It is important that the Population analysis is highly aware of local sensitivities and issues at a very micro level, taking account of factors such as geographic proximity, established movements patterns or usage experiences of places that may potentially be affected.   </w:t>
      </w:r>
    </w:p>
    <w:p w14:paraId="32CEFF19" w14:textId="562E77E3" w:rsidR="008D51C8" w:rsidRDefault="00A81C25" w:rsidP="00B922E4">
      <w:pPr>
        <w:pStyle w:val="Heading3"/>
      </w:pPr>
      <w:bookmarkStart w:id="51" w:name="_Toc233122760"/>
      <w:r w:rsidRPr="00A81C25">
        <w:t>Desktop Research – Principal Data Sources</w:t>
      </w:r>
      <w:bookmarkEnd w:id="51"/>
    </w:p>
    <w:p w14:paraId="592A3490" w14:textId="77777777" w:rsidR="00C945EE" w:rsidRDefault="00C945EE" w:rsidP="00C945EE">
      <w:pPr>
        <w:pStyle w:val="BodyText"/>
      </w:pPr>
      <w:r>
        <w:t xml:space="preserve">The assessment involved desk-based research and analysis of existing documentation to build up profiles of the communities that would likely be affected by the Proposed Project. This desk-based assessment has been undertaken based on information from the following principal data sources: </w:t>
      </w:r>
    </w:p>
    <w:p w14:paraId="432F62A3" w14:textId="6735D70A" w:rsidR="00C945EE" w:rsidRDefault="00C945EE" w:rsidP="00C945EE">
      <w:pPr>
        <w:pStyle w:val="ListBullet"/>
      </w:pPr>
      <w:r>
        <w:t xml:space="preserve">Central Statistics Office (CSO) Census of Population, including Census 2016 and 2022; </w:t>
      </w:r>
    </w:p>
    <w:p w14:paraId="0BE7D764" w14:textId="7FD411F2" w:rsidR="00C945EE" w:rsidRDefault="00C945EE" w:rsidP="00C945EE">
      <w:pPr>
        <w:pStyle w:val="ListBullet"/>
      </w:pPr>
      <w:r>
        <w:t xml:space="preserve">Pobal Maps; </w:t>
      </w:r>
    </w:p>
    <w:p w14:paraId="583ED871" w14:textId="45FDCEF6" w:rsidR="00C945EE" w:rsidRDefault="00C945EE" w:rsidP="00C945EE">
      <w:pPr>
        <w:pStyle w:val="ListBullet"/>
      </w:pPr>
      <w:r>
        <w:t xml:space="preserve">Geodirectory data sourced from www.myplan.ie  </w:t>
      </w:r>
    </w:p>
    <w:p w14:paraId="7E023AF8" w14:textId="477B77EA" w:rsidR="00C945EE" w:rsidRDefault="00C945EE" w:rsidP="00C945EE">
      <w:pPr>
        <w:pStyle w:val="ListBullet"/>
      </w:pPr>
      <w:r>
        <w:t>Ordnance Survey of Ireland aerial photography;</w:t>
      </w:r>
    </w:p>
    <w:p w14:paraId="369D26B8" w14:textId="6421D5C8" w:rsidR="00C945EE" w:rsidRDefault="00C945EE" w:rsidP="00C945EE">
      <w:pPr>
        <w:pStyle w:val="ListBullet"/>
      </w:pPr>
      <w:r>
        <w:t xml:space="preserve">Planning search of recently submitted and granted planning applications for development in the area; </w:t>
      </w:r>
    </w:p>
    <w:p w14:paraId="45E3269A" w14:textId="690C07E1" w:rsidR="00C945EE" w:rsidRDefault="00C945EE" w:rsidP="00C945EE">
      <w:pPr>
        <w:pStyle w:val="ListBullet"/>
      </w:pPr>
      <w:r>
        <w:t>Tusla; and</w:t>
      </w:r>
    </w:p>
    <w:p w14:paraId="364CBFE8" w14:textId="5792C2F1" w:rsidR="00C945EE" w:rsidRDefault="00C945EE" w:rsidP="00C945EE">
      <w:pPr>
        <w:pStyle w:val="ListBullet"/>
      </w:pPr>
      <w:r>
        <w:t xml:space="preserve">Department of Education and </w:t>
      </w:r>
      <w:r w:rsidR="002D6882">
        <w:t>Youth</w:t>
      </w:r>
      <w:r>
        <w:t>.</w:t>
      </w:r>
    </w:p>
    <w:p w14:paraId="396AF894" w14:textId="77777777" w:rsidR="00C945EE" w:rsidRDefault="00C945EE" w:rsidP="00C945EE">
      <w:pPr>
        <w:pStyle w:val="BodyText"/>
      </w:pPr>
      <w:r>
        <w:t xml:space="preserve">A range of strategic planning guidance documents and technical reports were reviewed as part of the assessment process. The following presents a list of the key documents reviewed as part of this study: </w:t>
      </w:r>
    </w:p>
    <w:p w14:paraId="57CF22AD" w14:textId="5CDA2B11" w:rsidR="00C945EE" w:rsidRPr="00D97C63" w:rsidRDefault="00C945EE" w:rsidP="00C945EE">
      <w:pPr>
        <w:pStyle w:val="ListBullet"/>
      </w:pPr>
      <w:r w:rsidRPr="00D97C63">
        <w:t xml:space="preserve">Project Ireland 2040 – National Planning Framework (DEHLG 2017); </w:t>
      </w:r>
    </w:p>
    <w:p w14:paraId="407229AE" w14:textId="731A6478" w:rsidR="00C945EE" w:rsidRPr="00D97C63" w:rsidRDefault="00C945EE" w:rsidP="00C945EE">
      <w:pPr>
        <w:pStyle w:val="ListBullet"/>
      </w:pPr>
      <w:r w:rsidRPr="00D97C63">
        <w:t>Regional Spatial and Economic Strategy (RSES) (EMRA 2019);</w:t>
      </w:r>
    </w:p>
    <w:p w14:paraId="76B5C216" w14:textId="0E87D2DD" w:rsidR="00C945EE" w:rsidRPr="00D97C63" w:rsidRDefault="00D97C63" w:rsidP="00C945EE">
      <w:pPr>
        <w:pStyle w:val="ListBullet"/>
      </w:pPr>
      <w:r w:rsidRPr="00D97C63">
        <w:t>South Dublin County Development Plan 2022-2029</w:t>
      </w:r>
      <w:r w:rsidR="00C945EE" w:rsidRPr="00D97C63">
        <w:t xml:space="preserve">; </w:t>
      </w:r>
    </w:p>
    <w:p w14:paraId="1865937B" w14:textId="20FF5A15" w:rsidR="00D97C63" w:rsidRPr="00D97C63" w:rsidRDefault="00D97C63" w:rsidP="00C945EE">
      <w:pPr>
        <w:pStyle w:val="ListBullet"/>
      </w:pPr>
      <w:r w:rsidRPr="00D97C63">
        <w:t>Proposed Variation No. 2 of the South Dublin County Development Plan 2022-2028</w:t>
      </w:r>
    </w:p>
    <w:p w14:paraId="38F57539" w14:textId="1B24D5CE" w:rsidR="008C1858" w:rsidRPr="0030585F" w:rsidRDefault="008C1858" w:rsidP="00B922E4">
      <w:pPr>
        <w:pStyle w:val="Heading3"/>
      </w:pPr>
      <w:bookmarkStart w:id="52" w:name="_Toc233122761"/>
      <w:r w:rsidRPr="0030585F">
        <w:t>Human Health</w:t>
      </w:r>
      <w:bookmarkEnd w:id="52"/>
    </w:p>
    <w:p w14:paraId="2EB2C471" w14:textId="77777777" w:rsidR="00015702" w:rsidRDefault="00015702" w:rsidP="00015702">
      <w:pPr>
        <w:pStyle w:val="BodyText"/>
      </w:pPr>
      <w:r>
        <w:t xml:space="preserve">The Human Health assessment of the EIAR focuses on identifying the areas where human health impacts have been assessed, drawing on their assessments to ensure that all relevant human health impacts (particularly local community health) have been appropriately considered to reduce/avoid adverse impacts. </w:t>
      </w:r>
    </w:p>
    <w:p w14:paraId="3E6ACEE9" w14:textId="00BBECD6" w:rsidR="00015702" w:rsidRDefault="00015702" w:rsidP="00B84A92">
      <w:pPr>
        <w:pStyle w:val="BodyText"/>
      </w:pPr>
      <w:r>
        <w:lastRenderedPageBreak/>
        <w:t>In addition to the general EIA Guidance documentation set out above, this assessment has been prepared having regard to the following guidelines:</w:t>
      </w:r>
    </w:p>
    <w:p w14:paraId="2290965D" w14:textId="1F3D4CA0" w:rsidR="00015702" w:rsidRDefault="00015702" w:rsidP="00015702">
      <w:pPr>
        <w:pStyle w:val="BodyText"/>
        <w:numPr>
          <w:ilvl w:val="0"/>
          <w:numId w:val="23"/>
        </w:numPr>
      </w:pPr>
      <w:r>
        <w:t>The Health Impact Assessment (HIA) Resource and Tool Compilation (United States EPA 2016);</w:t>
      </w:r>
    </w:p>
    <w:p w14:paraId="28207464" w14:textId="3A789B05" w:rsidR="00084E95" w:rsidRDefault="00084E95" w:rsidP="00015702">
      <w:pPr>
        <w:pStyle w:val="BodyText"/>
        <w:numPr>
          <w:ilvl w:val="0"/>
          <w:numId w:val="23"/>
        </w:numPr>
      </w:pPr>
      <w:r w:rsidRPr="00084E95">
        <w:t>Determining Significance for Human Health in Environmental Impact Assessment (Institute of Environmental Management and Assessment (IEMA), 2022)</w:t>
      </w:r>
      <w:r>
        <w:t>;</w:t>
      </w:r>
    </w:p>
    <w:p w14:paraId="1FE53FD5" w14:textId="0CBC1ED1" w:rsidR="00015702" w:rsidRDefault="00015702" w:rsidP="00015702">
      <w:pPr>
        <w:pStyle w:val="BodyText"/>
        <w:numPr>
          <w:ilvl w:val="0"/>
          <w:numId w:val="23"/>
        </w:numPr>
      </w:pPr>
      <w:r>
        <w:t xml:space="preserve">Health in Environmental Impact Assessment – A Primer for a Proportionate Approach (Institute of Environmental Management and Assessment (IEMA) 2017); and </w:t>
      </w:r>
    </w:p>
    <w:p w14:paraId="38CEA43F" w14:textId="2FFC7FE2" w:rsidR="00015702" w:rsidRDefault="00015702" w:rsidP="00015702">
      <w:pPr>
        <w:pStyle w:val="BodyText"/>
        <w:numPr>
          <w:ilvl w:val="0"/>
          <w:numId w:val="23"/>
        </w:numPr>
      </w:pPr>
      <w:r>
        <w:t xml:space="preserve">Health Impact Assessment Guidance (Institute of Public Health in Ireland 2009).  </w:t>
      </w:r>
    </w:p>
    <w:p w14:paraId="6A7FE4DE" w14:textId="77777777" w:rsidR="00015702" w:rsidRDefault="00015702" w:rsidP="00015702">
      <w:pPr>
        <w:pStyle w:val="BodyText"/>
      </w:pPr>
      <w:r>
        <w:t>The European Commission guidance relating to the implementation of the 2014 Directive, in reference to ‘human health’ states:</w:t>
      </w:r>
    </w:p>
    <w:p w14:paraId="477C0CA3" w14:textId="77777777" w:rsidR="00015702" w:rsidRPr="003F3736" w:rsidRDefault="00015702" w:rsidP="003F3736">
      <w:pPr>
        <w:pStyle w:val="BodyText"/>
        <w:ind w:left="720"/>
        <w:rPr>
          <w:i/>
          <w:iCs/>
        </w:rPr>
      </w:pPr>
      <w:r w:rsidRPr="003F3736">
        <w:rPr>
          <w:i/>
          <w:iCs/>
        </w:rPr>
        <w:t>‘Human health is a very broad factor that would be highly Project dependent. The notion of human health should be considered in the context of other factors in Article 3(1) of the EIA Directive and thus environmentally related health issues (such as health effects caused by the release of toxic substances to the environment, health risks arising from major hazards associated with the Project, effects caused by changes in disease vectors caused by the Project, changes in living conditions, effects on vulnerable groups, exposure to traffic noise or air pollutants) are obvious aspects to study’.</w:t>
      </w:r>
    </w:p>
    <w:p w14:paraId="7CFDA9F2" w14:textId="77777777" w:rsidR="00015702" w:rsidRDefault="00015702" w:rsidP="00015702">
      <w:pPr>
        <w:pStyle w:val="BodyText"/>
      </w:pPr>
      <w:r>
        <w:t xml:space="preserve">The Human Health chapter of the EIAR focuses on identifying the areas where human health impacts have been assessed, drawing on their assessments to ensure that all relevant human health impacts (particularly local community health) have been appropriately assessed to reduce/avoid adverse impacts. </w:t>
      </w:r>
    </w:p>
    <w:p w14:paraId="2A0FCC4D" w14:textId="2594ABAB" w:rsidR="00665408" w:rsidRDefault="00015702" w:rsidP="00015702">
      <w:pPr>
        <w:pStyle w:val="BodyText"/>
      </w:pPr>
      <w:r>
        <w:t xml:space="preserve">The </w:t>
      </w:r>
      <w:r w:rsidR="00361FDB">
        <w:t>2022</w:t>
      </w:r>
      <w:r>
        <w:t xml:space="preserve"> EPA guidelines also note that, in an EIAR</w:t>
      </w:r>
      <w:r w:rsidR="00665408">
        <w:t>:</w:t>
      </w:r>
      <w:r>
        <w:t xml:space="preserve"> </w:t>
      </w:r>
    </w:p>
    <w:p w14:paraId="2A6D95DD" w14:textId="43C2FA79" w:rsidR="00015702" w:rsidRPr="003F3736" w:rsidRDefault="00015702" w:rsidP="000C3CC6">
      <w:pPr>
        <w:pStyle w:val="BodyText"/>
        <w:ind w:left="720"/>
        <w:rPr>
          <w:i/>
          <w:iCs/>
        </w:rPr>
      </w:pPr>
      <w:r w:rsidRPr="003F3736">
        <w:rPr>
          <w:i/>
          <w:iCs/>
        </w:rPr>
        <w:t>‘the assessment of impacts on population &amp; human health should refer to the assessments of those factors under which human health effects might occur, as addressed elsewhere in the EIAR e.g. under the environmental factors of air, water, soil etc.’, and that,  ‘assessment of other health &amp; safety issues are carried out under other EU Directives, as relevant. These may include reports prepared under the Integrated Pollution Prevention and Control, Industrial Emissions, Waste Framework, Landfill, Strategic Environmental Assessment [SEA], Seveso III, Floods or Nuclear Safety Directives. In keeping with the requirement of the amended Directive, an EIAR should take account of the results of such assessments without duplicating them</w:t>
      </w:r>
      <w:r w:rsidR="003F3736">
        <w:rPr>
          <w:i/>
          <w:iCs/>
        </w:rPr>
        <w:t>.</w:t>
      </w:r>
      <w:r w:rsidRPr="003F3736">
        <w:rPr>
          <w:i/>
          <w:iCs/>
        </w:rPr>
        <w:t>’</w:t>
      </w:r>
    </w:p>
    <w:p w14:paraId="491AF6F5" w14:textId="77777777" w:rsidR="00015702" w:rsidRDefault="00015702" w:rsidP="00015702">
      <w:pPr>
        <w:pStyle w:val="BodyText"/>
      </w:pPr>
      <w:r>
        <w:t>Potential impacts of the Proposed project on population and human health arise from traffic and transportation, air quality and climate, noise and vibration, townscape and visual, material assets: utilities and the risk of major accidents and/or disasters. These aspects are dealt with in the specific chapters in this EIAR dedicated to those topics. This chapter refers to the findings of those assessments included elsewhere in this EIAR which human health effects might occur.</w:t>
      </w:r>
    </w:p>
    <w:p w14:paraId="2A80ED45" w14:textId="3DA73004" w:rsidR="00015702" w:rsidRDefault="00015702" w:rsidP="00015702">
      <w:pPr>
        <w:pStyle w:val="BodyText"/>
      </w:pPr>
      <w:r>
        <w:t xml:space="preserve">In order to establish the existing receiving environment and compile a robust baseline for the application site, the methodology includes site visits in </w:t>
      </w:r>
      <w:r w:rsidR="00EA0DDB">
        <w:t>June 2026</w:t>
      </w:r>
      <w:r>
        <w:t>. The purpose of the site visits was to review and record the land use and property types located within the study area in order to inform the baseline assessment and to determine the location of potentially sensitive receptors (residential properties/developments, businesses, community infrastructure and recreational amenities). GeoDirectory, a complete database of all buildings in the Republic of Ireland and their geolocation, was also used to inform and validate the baseline assessment.</w:t>
      </w:r>
    </w:p>
    <w:p w14:paraId="62E9D846" w14:textId="7BB8040C" w:rsidR="008C1858" w:rsidRPr="00F83F8B" w:rsidRDefault="00015702" w:rsidP="00015702">
      <w:pPr>
        <w:pStyle w:val="BodyText"/>
      </w:pPr>
      <w:r>
        <w:t>Varying catchment areas around the site were used in accordance with good practice or</w:t>
      </w:r>
      <w:r w:rsidR="00F10F78">
        <w:t>,</w:t>
      </w:r>
      <w:r>
        <w:t xml:space="preserve"> where available</w:t>
      </w:r>
      <w:r w:rsidR="00F10F78">
        <w:t>,</w:t>
      </w:r>
      <w:r>
        <w:t xml:space="preserve"> guidelines. No formal national guidance is available on the appropriate study area to focus the assessment of population and human health: population impacts arising from </w:t>
      </w:r>
      <w:r w:rsidR="009B6400">
        <w:t>residential</w:t>
      </w:r>
      <w:r>
        <w:t xml:space="preserve"> development. As such, professional judgement was applied in determining the appropriate study areas</w:t>
      </w:r>
      <w:r w:rsidR="003E2E04">
        <w:t>.</w:t>
      </w:r>
      <w:r>
        <w:t xml:space="preserve">  A general local catchment of </w:t>
      </w:r>
      <w:r w:rsidR="00DE16A0">
        <w:t>2km</w:t>
      </w:r>
      <w:r>
        <w:t xml:space="preserve"> from the subject site set the context of the site adjoining the settlement of </w:t>
      </w:r>
      <w:r w:rsidR="00D46F69">
        <w:t>Rathcoole</w:t>
      </w:r>
      <w:r>
        <w:t xml:space="preserve"> (to include the </w:t>
      </w:r>
      <w:r w:rsidR="00DE16A0">
        <w:t>extents of the settlement</w:t>
      </w:r>
      <w:r w:rsidR="00AA5C4D">
        <w:t xml:space="preserve"> to the west</w:t>
      </w:r>
      <w:r>
        <w:t xml:space="preserve">). </w:t>
      </w:r>
      <w:r w:rsidR="00EC00A5">
        <w:t>Not all services considered within this cha</w:t>
      </w:r>
      <w:r w:rsidR="003163CC">
        <w:t xml:space="preserve">pter are within walking distance of the </w:t>
      </w:r>
      <w:r w:rsidR="0098664B">
        <w:t>site</w:t>
      </w:r>
      <w:r w:rsidR="000243B8">
        <w:t xml:space="preserve">. Where relevant </w:t>
      </w:r>
      <w:r w:rsidR="00073DD3">
        <w:t>facilities to which access must be provided through public transport or school buses are considered</w:t>
      </w:r>
      <w:r>
        <w:t xml:space="preserve">. Census information </w:t>
      </w:r>
      <w:r w:rsidRPr="00F83F8B">
        <w:t xml:space="preserve">used in this chapter include State, County, Town and Electoral Divisions. </w:t>
      </w:r>
    </w:p>
    <w:p w14:paraId="515736AE" w14:textId="30BF92C0" w:rsidR="00240214" w:rsidRDefault="00240214" w:rsidP="00240214">
      <w:pPr>
        <w:pStyle w:val="Heading2"/>
      </w:pPr>
      <w:bookmarkStart w:id="53" w:name="_Toc233122762"/>
      <w:r>
        <w:lastRenderedPageBreak/>
        <w:t>Methodology</w:t>
      </w:r>
      <w:bookmarkEnd w:id="53"/>
    </w:p>
    <w:p w14:paraId="333C0D05" w14:textId="16E7AFFD" w:rsidR="008C5FF6" w:rsidRDefault="008C5FF6" w:rsidP="008C5FF6">
      <w:pPr>
        <w:pStyle w:val="Heading3"/>
      </w:pPr>
      <w:bookmarkStart w:id="54" w:name="_Toc233122763"/>
      <w:r w:rsidRPr="00F83F8B">
        <w:t>Characteristics of the Proposed Development</w:t>
      </w:r>
      <w:bookmarkEnd w:id="54"/>
    </w:p>
    <w:p w14:paraId="1D403066" w14:textId="7B69F9A1" w:rsidR="007463A3" w:rsidRDefault="00DF4952" w:rsidP="007463A3">
      <w:pPr>
        <w:pStyle w:val="BodyText"/>
      </w:pPr>
      <w:r w:rsidRPr="00DF4952">
        <w:t>The proposed development comprises a residential-led scheme providing a total of 1</w:t>
      </w:r>
      <w:r w:rsidR="007463A3">
        <w:t>30 no. residential units together with associated recreational facilities, open space, active travel infrastructure, landscaping and supporting infrastructure.</w:t>
      </w:r>
    </w:p>
    <w:p w14:paraId="48A01706" w14:textId="0A46638A" w:rsidR="007463A3" w:rsidRDefault="007463A3" w:rsidP="007463A3">
      <w:pPr>
        <w:pStyle w:val="BodyText"/>
      </w:pPr>
      <w:r>
        <w:t>The residential element of the development comprises 43 no. two-storey houses, including 39 no. three-bedroom units and 4 no. four-bedroom units, arranged within 12 no. terraced rows. In addition, 16 no. duplex apartments, comprising 8 no. one-bedroom units and 8 no. three-bedroom units, are provided within 2 no. three-storey blocks. A further 4 no. age-friendly duplex apartments, comprising 2 no. one-bedroom units and 2 no. two-bedroom units, are provided within a separate three-storey block. The development also includes 7 no. age-friendly single-storey houses together with 1 no. age-friendly consultation room. The apartment component comprises 60 no. units, including 17 no. one-bedroom apartments and 43 no. two-bedroom apartments, accommodated within 4 no. apartment blocks ranging in height from four to five storeys.</w:t>
      </w:r>
    </w:p>
    <w:p w14:paraId="3CB9EB82" w14:textId="2EAB6A0D" w:rsidR="007463A3" w:rsidRDefault="007463A3" w:rsidP="007463A3">
      <w:pPr>
        <w:pStyle w:val="BodyText"/>
      </w:pPr>
      <w:r>
        <w:t xml:space="preserve">Landscaping and public realm works form a significant component of the proposed development and include the provision of approximately </w:t>
      </w:r>
      <w:r w:rsidR="00F333F4" w:rsidRPr="00F333F4">
        <w:t>17,911</w:t>
      </w:r>
      <w:r w:rsidR="002C72E0" w:rsidRPr="00F333F4">
        <w:t>m</w:t>
      </w:r>
      <w:r w:rsidR="002C72E0" w:rsidRPr="00F333F4">
        <w:rPr>
          <w:vertAlign w:val="superscript"/>
        </w:rPr>
        <w:t>2</w:t>
      </w:r>
      <w:r w:rsidRPr="00F333F4">
        <w:t xml:space="preserve"> of public open space incorporating formal and informal play areas. A network of pedestrian and cycle routes is proposed throughout the site, including the formalisation and enhancement of existing trails within the transitional woodland area. The landscape proposals also include vegetation removal where necessary to facilitate development, replacement planting, enhancement of riparian corridors and woodland areas, and the provision of boundary treatments throughout the site.</w:t>
      </w:r>
      <w:r w:rsidR="00800AB6" w:rsidRPr="00F333F4">
        <w:t xml:space="preserve"> </w:t>
      </w:r>
      <w:r w:rsidRPr="00F333F4">
        <w:t xml:space="preserve">The development will provide approximately </w:t>
      </w:r>
      <w:r w:rsidR="00F333F4" w:rsidRPr="00F333F4">
        <w:t>1,040</w:t>
      </w:r>
      <w:r w:rsidR="002C72E0" w:rsidRPr="00F333F4">
        <w:t>m</w:t>
      </w:r>
      <w:r w:rsidR="002C72E0" w:rsidRPr="00F333F4">
        <w:rPr>
          <w:vertAlign w:val="superscript"/>
        </w:rPr>
        <w:t>2</w:t>
      </w:r>
      <w:r w:rsidRPr="00F333F4">
        <w:t xml:space="preserve"> of communal open space to serve the proposed apartment and duplex units, together with private open space in the form</w:t>
      </w:r>
      <w:r>
        <w:t xml:space="preserve"> of gardens, terraces and balconies associated with the residential accommodation.</w:t>
      </w:r>
    </w:p>
    <w:p w14:paraId="0B27A383" w14:textId="4BB2B7C7" w:rsidR="007463A3" w:rsidRPr="00B637C2" w:rsidRDefault="007463A3" w:rsidP="007463A3">
      <w:pPr>
        <w:pStyle w:val="BodyText"/>
      </w:pPr>
      <w:r>
        <w:t xml:space="preserve">A </w:t>
      </w:r>
      <w:r w:rsidRPr="00B637C2">
        <w:t xml:space="preserve">total of 143 no. car parking spaces are proposed to serve the residential development, </w:t>
      </w:r>
      <w:r w:rsidR="00A20D93" w:rsidRPr="00B637C2">
        <w:t>24 no. EV, 4 no. accessible and 15 no. EV/accessible parking spaces</w:t>
      </w:r>
      <w:r w:rsidRPr="00B637C2">
        <w:t xml:space="preserve">. Bicycle parking provision comprises </w:t>
      </w:r>
      <w:r w:rsidR="00F958F9" w:rsidRPr="00B637C2">
        <w:t>1</w:t>
      </w:r>
      <w:r w:rsidR="00F958F9">
        <w:t>69</w:t>
      </w:r>
      <w:r w:rsidR="00F958F9" w:rsidRPr="00B637C2">
        <w:t xml:space="preserve"> </w:t>
      </w:r>
      <w:r w:rsidR="00AF7177" w:rsidRPr="00B637C2">
        <w:t xml:space="preserve">no. residential bicycle parking spaces </w:t>
      </w:r>
      <w:r w:rsidR="00291461" w:rsidRPr="00B637C2">
        <w:t xml:space="preserve">of which </w:t>
      </w:r>
      <w:r w:rsidR="009D7D60">
        <w:t>45</w:t>
      </w:r>
      <w:r w:rsidR="009D7D60" w:rsidRPr="00B637C2">
        <w:t xml:space="preserve"> </w:t>
      </w:r>
      <w:r w:rsidR="00291461" w:rsidRPr="00B637C2">
        <w:t xml:space="preserve">spaces are designated for visitors and a further </w:t>
      </w:r>
      <w:r w:rsidR="009D7D60">
        <w:t>12</w:t>
      </w:r>
      <w:r w:rsidR="009D7D60" w:rsidRPr="00B637C2">
        <w:t xml:space="preserve"> </w:t>
      </w:r>
      <w:r w:rsidR="00291461" w:rsidRPr="00B637C2">
        <w:t xml:space="preserve">spaces are provided to serve the proposed GAA pitches. </w:t>
      </w:r>
      <w:r w:rsidR="009613BD" w:rsidRPr="00B637C2">
        <w:t>V</w:t>
      </w:r>
      <w:r w:rsidRPr="00B637C2">
        <w:t xml:space="preserve">ehicular, pedestrian and cyclist infrastructure </w:t>
      </w:r>
      <w:r w:rsidR="009613BD" w:rsidRPr="00B637C2">
        <w:t>is proposed</w:t>
      </w:r>
      <w:r w:rsidR="00C7243E" w:rsidRPr="00B637C2">
        <w:t xml:space="preserve"> </w:t>
      </w:r>
      <w:r w:rsidRPr="00B637C2">
        <w:t xml:space="preserve">throughout the site. Access will be provided via a new T-junction and vehicular and pedestrian entrance from Greenogue Drive together with a new </w:t>
      </w:r>
      <w:r w:rsidR="0060731A">
        <w:t xml:space="preserve">pedestrian </w:t>
      </w:r>
      <w:r w:rsidRPr="00B637C2">
        <w:t>and active travel connection from Coolamber Drive. The existing Mullally's Lane arm will be replaced with an active travel route. An internal access road will connect the new junction with the approved school development (Reg. Ref. SD23A/0336) and the residential portion of the site. Additional pedestrian connections will be provided to Coolamber Road and Rathcoole Park. The primary access road will traverse the Coolmine Stream via a proposed bridge structure.</w:t>
      </w:r>
    </w:p>
    <w:p w14:paraId="65BCB004" w14:textId="4F7D3FE4" w:rsidR="007463A3" w:rsidRPr="00B637C2" w:rsidRDefault="007463A3" w:rsidP="007463A3">
      <w:pPr>
        <w:pStyle w:val="BodyText"/>
        <w:rPr>
          <w:lang w:val="en-IE"/>
        </w:rPr>
      </w:pPr>
      <w:r w:rsidRPr="00B637C2">
        <w:t xml:space="preserve">The recreational component of the development comprises 2 no. senior GAA pitches measuring approximately </w:t>
      </w:r>
      <w:r w:rsidR="00291461" w:rsidRPr="00B637C2">
        <w:rPr>
          <w:lang w:val="en-IE"/>
        </w:rPr>
        <w:t>20,800</w:t>
      </w:r>
      <w:r w:rsidR="002C72E0" w:rsidRPr="00B637C2">
        <w:t>m</w:t>
      </w:r>
      <w:r w:rsidR="002C72E0" w:rsidRPr="00B637C2">
        <w:rPr>
          <w:vertAlign w:val="superscript"/>
        </w:rPr>
        <w:t>2</w:t>
      </w:r>
      <w:r w:rsidR="002C72E0" w:rsidRPr="00B637C2">
        <w:t xml:space="preserve"> </w:t>
      </w:r>
      <w:r w:rsidRPr="00B637C2">
        <w:t xml:space="preserve">and 1 no. junior GAA pitch measuring approximately </w:t>
      </w:r>
      <w:r w:rsidR="00B637C2" w:rsidRPr="00B637C2">
        <w:rPr>
          <w:lang w:val="en-IE"/>
        </w:rPr>
        <w:t>6,240</w:t>
      </w:r>
      <w:r w:rsidR="002C72E0" w:rsidRPr="00B637C2">
        <w:t>m</w:t>
      </w:r>
      <w:r w:rsidR="002C72E0" w:rsidRPr="00B637C2">
        <w:rPr>
          <w:vertAlign w:val="superscript"/>
        </w:rPr>
        <w:t>2</w:t>
      </w:r>
      <w:r w:rsidRPr="00B637C2">
        <w:t xml:space="preserve">. These facilities will be served by a GAA pavilion measuring approximately </w:t>
      </w:r>
      <w:r w:rsidR="000D749C">
        <w:rPr>
          <w:lang w:val="en-IE"/>
        </w:rPr>
        <w:t>13</w:t>
      </w:r>
      <w:r w:rsidR="00F958F9">
        <w:rPr>
          <w:lang w:val="en-IE"/>
        </w:rPr>
        <w:t>7.26</w:t>
      </w:r>
      <w:r w:rsidR="000D749C" w:rsidRPr="00B637C2">
        <w:t>m</w:t>
      </w:r>
      <w:r w:rsidR="000D749C" w:rsidRPr="00B637C2">
        <w:rPr>
          <w:vertAlign w:val="superscript"/>
        </w:rPr>
        <w:t>2</w:t>
      </w:r>
      <w:r w:rsidR="000D749C" w:rsidRPr="00B637C2">
        <w:t xml:space="preserve"> </w:t>
      </w:r>
      <w:r w:rsidRPr="00B637C2">
        <w:t xml:space="preserve">together with </w:t>
      </w:r>
      <w:r w:rsidR="00B637C2" w:rsidRPr="00B637C2">
        <w:t>43</w:t>
      </w:r>
      <w:r w:rsidRPr="00B637C2">
        <w:t xml:space="preserve"> no. associated car parking spaces. Ancillary works include boundary treatments, site levelling, topsoil stripping and placement, pitch construction works and all associated engineering and landscaping interventions necessary to facilitate the development.</w:t>
      </w:r>
    </w:p>
    <w:p w14:paraId="6342686A" w14:textId="12B982EA" w:rsidR="00F83F8B" w:rsidRDefault="007463A3" w:rsidP="007463A3">
      <w:pPr>
        <w:pStyle w:val="BodyText"/>
      </w:pPr>
      <w:r>
        <w:t>The proposed development also includes ESB substations and switchrooms, public lighting, surface water and foul drainage infrastructure, water supply infrastructure, Sustainable Urban Drainage Systems (SuDS) features including green/blue roofs and detention basins, and all associated site development works above and below ground necessary to facilitate the development.</w:t>
      </w:r>
    </w:p>
    <w:p w14:paraId="532829EB" w14:textId="24109956" w:rsidR="00CF56D9" w:rsidRDefault="00CF56D9" w:rsidP="00CF56D9">
      <w:pPr>
        <w:pStyle w:val="Heading3"/>
      </w:pPr>
      <w:bookmarkStart w:id="55" w:name="_Toc233122764"/>
      <w:r>
        <w:t>Baseline Description</w:t>
      </w:r>
      <w:bookmarkEnd w:id="55"/>
    </w:p>
    <w:p w14:paraId="4318499A" w14:textId="77777777" w:rsidR="000F4FA0" w:rsidRDefault="000F4FA0" w:rsidP="000F4FA0">
      <w:pPr>
        <w:pStyle w:val="BodyText"/>
      </w:pPr>
      <w:r>
        <w:t>A description of the receiving environment relevant to the proposed development in relation to population and human health is given in this section. Specific sections of this EIAR provide the baseline scenario relevant to the environmental effect being assessed. The reason is so as not to duplicate baseline scenarios in this EIAR section.  However, the assessment of effects on population and human health refers to those environmental topics under which human health effects may occur (e.g. noise, water quality, air quality, etc.).</w:t>
      </w:r>
    </w:p>
    <w:p w14:paraId="15CC7470" w14:textId="51109223" w:rsidR="000F4FA0" w:rsidRDefault="000F4FA0" w:rsidP="000F4FA0">
      <w:pPr>
        <w:pStyle w:val="BodyText"/>
      </w:pPr>
      <w:r>
        <w:lastRenderedPageBreak/>
        <w:t>The EPA Guidelines (2002) and (20</w:t>
      </w:r>
      <w:r w:rsidR="00361FDB">
        <w:t>22</w:t>
      </w:r>
      <w:r>
        <w:t>) and the EPA Advice Notes (2003) and (2015) identify sensitive receptors as neighbouring landowners, local communities and other parties likely to be impacted by the proposal. Surrounding developments including homes, schools have been identified. Consideration has also been given to the potential temporary populations such as tourists and the cultural heritage/historical and natural heritage sites they may visit as walkers, cyclists, and drivers.</w:t>
      </w:r>
    </w:p>
    <w:p w14:paraId="5F9B97D8" w14:textId="77777777" w:rsidR="000F4FA0" w:rsidRDefault="000F4FA0" w:rsidP="000F4FA0">
      <w:pPr>
        <w:pStyle w:val="BodyText"/>
      </w:pPr>
      <w:r>
        <w:t>The following provides a description of the receiving environment, with focus on demography, land use and local amenity.</w:t>
      </w:r>
    </w:p>
    <w:p w14:paraId="6F1D2B48" w14:textId="5BBC330D" w:rsidR="000F4FA0" w:rsidRDefault="000F4FA0" w:rsidP="000F4FA0">
      <w:pPr>
        <w:pStyle w:val="BodyText"/>
      </w:pPr>
      <w:r>
        <w:t>The findings of the 2022 census have been used to determine the current population characteristics of the study area with a comparison to South Dublin as a whole to benchmark the data. Through understanding the characteristics of the existing population residing in the study area, it is possible to assess the potential impacts that the proposed development will have upon the population.</w:t>
      </w:r>
    </w:p>
    <w:p w14:paraId="2A605035" w14:textId="4D1265FC" w:rsidR="00CF56D9" w:rsidRDefault="000F4FA0" w:rsidP="000F4FA0">
      <w:pPr>
        <w:pStyle w:val="BodyText"/>
      </w:pPr>
      <w:r>
        <w:t>It should be noted that the description of the baseline environment of those factors under which human health effects might occur has also been addressed elsewhere in this EIAR, under the environmental factors of traffic and transportation, air quality and climate, noise and vibration and material assets.</w:t>
      </w:r>
    </w:p>
    <w:p w14:paraId="7B7F481D" w14:textId="7A841F40" w:rsidR="00986056" w:rsidRDefault="00986056" w:rsidP="00986056">
      <w:pPr>
        <w:pStyle w:val="Heading4"/>
      </w:pPr>
      <w:r>
        <w:t>Land Use and Settlement Patterns</w:t>
      </w:r>
    </w:p>
    <w:p w14:paraId="4ADC62B9" w14:textId="29135144" w:rsidR="0094420A" w:rsidRDefault="0094420A" w:rsidP="008E24F5">
      <w:pPr>
        <w:pStyle w:val="BodyText"/>
      </w:pPr>
      <w:r w:rsidRPr="0094420A">
        <w:t xml:space="preserve">The Proposed Project is located in the administrative area of </w:t>
      </w:r>
      <w:r>
        <w:t>South Dublin</w:t>
      </w:r>
      <w:r w:rsidRPr="0094420A">
        <w:t xml:space="preserve"> County Council in County Dublin, within the townland of </w:t>
      </w:r>
      <w:r>
        <w:t>Rathcoole</w:t>
      </w:r>
      <w:r w:rsidRPr="0094420A">
        <w:t xml:space="preserve"> and the Electoral Division</w:t>
      </w:r>
      <w:r w:rsidR="00BB0F0A">
        <w:t>s</w:t>
      </w:r>
      <w:r w:rsidRPr="0094420A">
        <w:t xml:space="preserve"> (ED</w:t>
      </w:r>
      <w:r w:rsidR="00BB0F0A">
        <w:t>s</w:t>
      </w:r>
      <w:r w:rsidRPr="0094420A">
        <w:t xml:space="preserve">) of </w:t>
      </w:r>
      <w:r w:rsidR="00BB0F0A">
        <w:t>Rathcoole and Saggart</w:t>
      </w:r>
      <w:r w:rsidRPr="0094420A">
        <w:t xml:space="preserve">.  The subject site is undeveloped and sits on the edge of the </w:t>
      </w:r>
      <w:r w:rsidR="004A23EB">
        <w:t>Rathcoole</w:t>
      </w:r>
      <w:r w:rsidRPr="0094420A">
        <w:t xml:space="preserve">Town as defined in the Census. This settlement area captures the census information data on </w:t>
      </w:r>
      <w:r w:rsidR="004A23EB">
        <w:t>Rathcoole</w:t>
      </w:r>
      <w:r w:rsidRPr="0094420A">
        <w:t xml:space="preserve"> and presents benchmark information on the town and profile of the population.</w:t>
      </w:r>
    </w:p>
    <w:p w14:paraId="40EEC511" w14:textId="776BFBB9" w:rsidR="008E24F5" w:rsidRDefault="008E24F5" w:rsidP="008E24F5">
      <w:pPr>
        <w:pStyle w:val="BodyText"/>
      </w:pPr>
      <w:r>
        <w:t>The application site consists of a site of c</w:t>
      </w:r>
      <w:r w:rsidR="00867F0D">
        <w:t>.11.3ha</w:t>
      </w:r>
      <w:r>
        <w:t xml:space="preserve"> to the south and southeast of Rathcoole Village, County Dublin. Rathcoole Village is located c.15km to the southwest of Dublin City Centre, c.13km northeast of Naas, County Kildare and c.13km to the north of Blessington, County Wicklow. The established settlement largely consists of a traditional development pattern with a central main street which contains local shops and facilities and is surrounded by relatively low density housing estates.</w:t>
      </w:r>
    </w:p>
    <w:p w14:paraId="230AF48B" w14:textId="77777777" w:rsidR="008E24F5" w:rsidRDefault="008E24F5" w:rsidP="008E24F5">
      <w:pPr>
        <w:pStyle w:val="BodyText"/>
      </w:pPr>
      <w:r>
        <w:t>Rathcoole Village Centre is approximately 2km from the Red Line Luas stop at Saggart which is located at Fortunestown Lane to the east of the Citywest Golf Course. Bus stops serving Kildare, Newbridge and Dublin are located along Main Street, School Road and at the slip road to the north of the N7. The site is well connected to Dublin and Kildare with direct access to the N7 motorway to the north of Rathcoole Village.</w:t>
      </w:r>
    </w:p>
    <w:p w14:paraId="76544A64" w14:textId="77777777" w:rsidR="008E24F5" w:rsidRDefault="008E24F5" w:rsidP="008E24F5">
      <w:pPr>
        <w:pStyle w:val="BodyText"/>
      </w:pPr>
      <w:r>
        <w:t>The greenfield site is situated</w:t>
      </w:r>
      <w:r w:rsidRPr="007C1EBF">
        <w:t xml:space="preserve"> </w:t>
      </w:r>
      <w:r>
        <w:t xml:space="preserve">adjacent to Rathcoole Park, which extends along its northwestern boundary. Saggart’s western residential estates bound the site to the east and existing residential estates extend along the site’s northern boundary. Those at </w:t>
      </w:r>
      <w:r w:rsidRPr="007C1EBF">
        <w:t xml:space="preserve">Beechwood Lawns </w:t>
      </w:r>
      <w:r>
        <w:t xml:space="preserve">are separated from the site </w:t>
      </w:r>
      <w:r w:rsidRPr="007C1EBF">
        <w:t>by the existing Rathcoole Park</w:t>
      </w:r>
      <w:r>
        <w:t xml:space="preserve"> and approved Department of Education</w:t>
      </w:r>
      <w:r w:rsidRPr="007C1EBF">
        <w:t xml:space="preserve"> school development (SDCC Ref. SD23A/0336).</w:t>
      </w:r>
      <w:r>
        <w:t xml:space="preserve"> To the west, Rathcoole Woodlands extends to residential estates proximate Mullally’s Lane Roundabout. Agricultural lands are located to the southwest and south of the site. </w:t>
      </w:r>
    </w:p>
    <w:p w14:paraId="1AB6CCA0" w14:textId="77777777" w:rsidR="008E24F5" w:rsidRDefault="008E24F5" w:rsidP="008E24F5">
      <w:pPr>
        <w:pStyle w:val="BodyText"/>
      </w:pPr>
      <w:r>
        <w:t>Access to the site is currently via Mullally’s Lane and Rathcoole Park. Future access is to be provided via a new access road also forming part of this application running eastwards through the approved Department of Education lands from Mullally’s Lane Roundabout. This road will also provide access to the new school.</w:t>
      </w:r>
      <w:r w:rsidRPr="00EA1858">
        <w:t xml:space="preserve"> An Irish Water Easement runs along the southeastern extent of the subject lands.  </w:t>
      </w:r>
    </w:p>
    <w:p w14:paraId="40D022B1" w14:textId="246086D4" w:rsidR="005C07A7" w:rsidRDefault="005C07A7" w:rsidP="008E24F5">
      <w:pPr>
        <w:pStyle w:val="BodyText"/>
      </w:pPr>
      <w:r w:rsidRPr="005C07A7">
        <w:rPr>
          <w:noProof/>
        </w:rPr>
        <w:lastRenderedPageBreak/>
        <w:drawing>
          <wp:inline distT="0" distB="0" distL="0" distR="0" wp14:anchorId="2621485C" wp14:editId="7E834170">
            <wp:extent cx="5939790" cy="3781425"/>
            <wp:effectExtent l="0" t="0" r="3810" b="9525"/>
            <wp:docPr id="2008092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92750" name=""/>
                    <pic:cNvPicPr/>
                  </pic:nvPicPr>
                  <pic:blipFill>
                    <a:blip r:embed="rId19"/>
                    <a:stretch>
                      <a:fillRect/>
                    </a:stretch>
                  </pic:blipFill>
                  <pic:spPr>
                    <a:xfrm>
                      <a:off x="0" y="0"/>
                      <a:ext cx="5939790" cy="3781425"/>
                    </a:xfrm>
                    <a:prstGeom prst="rect">
                      <a:avLst/>
                    </a:prstGeom>
                  </pic:spPr>
                </pic:pic>
              </a:graphicData>
            </a:graphic>
          </wp:inline>
        </w:drawing>
      </w:r>
    </w:p>
    <w:p w14:paraId="09C8D33D" w14:textId="06E4C5B4" w:rsidR="0085613B" w:rsidRDefault="0085613B" w:rsidP="0085613B">
      <w:pPr>
        <w:pStyle w:val="Plates"/>
        <w:rPr>
          <w:lang w:val="en-IE"/>
        </w:rPr>
      </w:pPr>
      <w:bookmarkStart w:id="56" w:name="_Toc233123404"/>
      <w:r w:rsidRPr="00733E9A">
        <w:t xml:space="preserve">Plate </w:t>
      </w:r>
      <w:r>
        <w:fldChar w:fldCharType="begin"/>
      </w:r>
      <w:r>
        <w:instrText>STYLEREF 1 \s</w:instrText>
      </w:r>
      <w:r>
        <w:fldChar w:fldCharType="separate"/>
      </w:r>
      <w:r w:rsidR="00946CE0">
        <w:rPr>
          <w:noProof/>
        </w:rPr>
        <w:t>5</w:t>
      </w:r>
      <w:r>
        <w:fldChar w:fldCharType="end"/>
      </w:r>
      <w:r w:rsidRPr="00733E9A">
        <w:noBreakHyphen/>
      </w:r>
      <w:r>
        <w:fldChar w:fldCharType="begin"/>
      </w:r>
      <w:r>
        <w:instrText>SEQ Figure \* ARABIC \s 1</w:instrText>
      </w:r>
      <w:r>
        <w:fldChar w:fldCharType="separate"/>
      </w:r>
      <w:r w:rsidR="00946CE0">
        <w:rPr>
          <w:noProof/>
        </w:rPr>
        <w:t>1</w:t>
      </w:r>
      <w:r>
        <w:fldChar w:fldCharType="end"/>
      </w:r>
      <w:r w:rsidRPr="00733E9A">
        <w:t xml:space="preserve">: </w:t>
      </w:r>
      <w:r w:rsidR="00041899" w:rsidRPr="00041899">
        <w:rPr>
          <w:lang w:val="en-IE"/>
        </w:rPr>
        <w:t>Location of subject and 2km catchment for illustrative purposes (</w:t>
      </w:r>
      <w:r w:rsidR="00096CF0">
        <w:rPr>
          <w:lang w:val="en-IE"/>
        </w:rPr>
        <w:t>S</w:t>
      </w:r>
      <w:r w:rsidR="00041899" w:rsidRPr="00041899">
        <w:rPr>
          <w:lang w:val="en-IE"/>
        </w:rPr>
        <w:t>ource: CSO</w:t>
      </w:r>
      <w:r w:rsidR="00096CF0">
        <w:rPr>
          <w:lang w:val="en-IE"/>
        </w:rPr>
        <w:t xml:space="preserve"> &amp; MDB</w:t>
      </w:r>
      <w:r w:rsidR="00041899" w:rsidRPr="00041899">
        <w:rPr>
          <w:lang w:val="en-IE"/>
        </w:rPr>
        <w:t>)</w:t>
      </w:r>
      <w:bookmarkEnd w:id="56"/>
    </w:p>
    <w:p w14:paraId="5AF7A78A" w14:textId="77777777" w:rsidR="004C4DCF" w:rsidRDefault="004C4DCF" w:rsidP="004C4DCF">
      <w:pPr>
        <w:pStyle w:val="Heading3"/>
      </w:pPr>
      <w:bookmarkStart w:id="57" w:name="_Toc232437432"/>
      <w:bookmarkStart w:id="58" w:name="_Toc233122765"/>
      <w:r>
        <w:t>Site Context</w:t>
      </w:r>
      <w:bookmarkEnd w:id="57"/>
      <w:bookmarkEnd w:id="58"/>
    </w:p>
    <w:p w14:paraId="69E34660" w14:textId="77777777" w:rsidR="004C4DCF" w:rsidRDefault="004C4DCF" w:rsidP="004C4DCF">
      <w:r w:rsidRPr="00187CC4">
        <w:t xml:space="preserve">The site is located within the administrative area of </w:t>
      </w:r>
      <w:r>
        <w:t>South Dublin</w:t>
      </w:r>
      <w:r w:rsidRPr="00187CC4">
        <w:t xml:space="preserve"> County Council. </w:t>
      </w:r>
      <w:r>
        <w:t>Rathcoole Village is a designated ‘Self-Sustaining Growth Town’ within the SDCC Development Plan 2022-2028, which is not considered to be situated within Dublin City and its suburbs. It is however situated within the metropolitan area identified within the Regional Spatial and Economic Strategy Metropolitan Area Strategic Plan (MASP).</w:t>
      </w:r>
    </w:p>
    <w:p w14:paraId="4F0FCAA2" w14:textId="77777777" w:rsidR="004C4DCF" w:rsidRDefault="004C4DCF" w:rsidP="004C4DCF"/>
    <w:p w14:paraId="1E64C707" w14:textId="350F14C5" w:rsidR="004C4DCF" w:rsidRDefault="004C4DCF" w:rsidP="00C0529B">
      <w:r w:rsidRPr="00187CC4">
        <w:t xml:space="preserve">The policies and objectives found within the </w:t>
      </w:r>
      <w:r>
        <w:t>South Dublin</w:t>
      </w:r>
      <w:r w:rsidRPr="00187CC4">
        <w:t xml:space="preserve"> County Development Plan </w:t>
      </w:r>
      <w:r>
        <w:t>2022-2028</w:t>
      </w:r>
      <w:r w:rsidRPr="00187CC4">
        <w:t xml:space="preserve"> form the relevant plan for the area. The subject site is zoned for</w:t>
      </w:r>
      <w:r>
        <w:t xml:space="preserve"> New</w:t>
      </w:r>
      <w:r w:rsidRPr="00187CC4">
        <w:t xml:space="preserve"> Residential</w:t>
      </w:r>
      <w:r>
        <w:t xml:space="preserve"> (RES-N)</w:t>
      </w:r>
      <w:r w:rsidRPr="00187CC4">
        <w:t>, Open Space</w:t>
      </w:r>
      <w:r>
        <w:t xml:space="preserve"> (OS)</w:t>
      </w:r>
      <w:r w:rsidRPr="00187CC4">
        <w:t xml:space="preserve">, </w:t>
      </w:r>
      <w:r>
        <w:t xml:space="preserve">and Rural and Agriculture (RU). </w:t>
      </w:r>
      <w:r w:rsidRPr="007375FB">
        <w:t>Rathcoole Village, located to the north of the site, is predominantly zoned Objective RES (Residential). A cluster of existing residential properties is also located to the north-west of the site. A c.5.8 ha site to the east of Stoney Hill Road is zoned Objective RES-N and was recently the subject of a residential development proposal (A</w:t>
      </w:r>
      <w:r>
        <w:t>C</w:t>
      </w:r>
      <w:r w:rsidRPr="007375FB">
        <w:t>P Ref. 324071), which was refused permission on appeal.</w:t>
      </w:r>
    </w:p>
    <w:p w14:paraId="5CCFD3BF" w14:textId="77777777" w:rsidR="00C0529B" w:rsidRDefault="00C0529B" w:rsidP="00C0529B">
      <w:r>
        <w:t xml:space="preserve">Several </w:t>
      </w:r>
      <w:r w:rsidRPr="00B53B28">
        <w:t>Specific Local Objectives (SLO)</w:t>
      </w:r>
      <w:r>
        <w:t xml:space="preserve"> also apply to the site. </w:t>
      </w:r>
      <w:r w:rsidRPr="00BD4332">
        <w:t>TA</w:t>
      </w:r>
      <w:r>
        <w:t xml:space="preserve"> </w:t>
      </w:r>
      <w:r w:rsidRPr="00BD4332">
        <w:t xml:space="preserve">indicates an objective to provide for traveller accommodation </w:t>
      </w:r>
      <w:r>
        <w:t>at the site. There is an SLO to provide a school (S) on the RES-N zoning. Two local green infrastructure and community objectives additionally apply to the site:</w:t>
      </w:r>
    </w:p>
    <w:p w14:paraId="2BFB2519" w14:textId="77777777" w:rsidR="00C0529B" w:rsidRDefault="00C0529B" w:rsidP="00C0529B"/>
    <w:p w14:paraId="5CCAFA56" w14:textId="77777777" w:rsidR="00C0529B" w:rsidRDefault="00C0529B" w:rsidP="00C0529B">
      <w:pPr>
        <w:pStyle w:val="ListBullet"/>
      </w:pPr>
      <w:r>
        <w:t>GI7 SLO1 – maintain the green wildlife corridor between Saggart and Rathcoole and incorporate it into the designs for Rathcoole Park.</w:t>
      </w:r>
    </w:p>
    <w:p w14:paraId="71F28F4E" w14:textId="77777777" w:rsidR="00C0529B" w:rsidRDefault="00C0529B" w:rsidP="00C0529B">
      <w:pPr>
        <w:pStyle w:val="ListBullet"/>
      </w:pPr>
      <w:r>
        <w:t>GI7 SLO2</w:t>
      </w:r>
      <w:r w:rsidRPr="00BD4332">
        <w:t xml:space="preserve"> </w:t>
      </w:r>
      <w:r>
        <w:t>– protect and augment the Alluvial Woodlands within the RU zoning with consideration of linages to proximate amenity areas and provision of sensititve passible amenity uses.</w:t>
      </w:r>
    </w:p>
    <w:p w14:paraId="017089EB" w14:textId="77777777" w:rsidR="00C0529B" w:rsidRPr="00187CC4" w:rsidRDefault="00C0529B" w:rsidP="00C0529B">
      <w:pPr>
        <w:pStyle w:val="ListBullet"/>
      </w:pPr>
      <w:r>
        <w:t>CS10 SLO1 – provide a primary school, library hub, 2 full sized GAA and 1 junior GAA pitch, pavilion, access road and open space.</w:t>
      </w:r>
    </w:p>
    <w:p w14:paraId="5567A31C" w14:textId="526144E3" w:rsidR="00C0529B" w:rsidRDefault="00C0529B" w:rsidP="00C0529B">
      <w:r>
        <w:t xml:space="preserve">The subject site </w:t>
      </w:r>
      <w:r w:rsidR="00815510">
        <w:t xml:space="preserve">measures </w:t>
      </w:r>
      <w:r w:rsidR="00867F0D">
        <w:t>11.3</w:t>
      </w:r>
      <w:r>
        <w:t xml:space="preserve">ha </w:t>
      </w:r>
      <w:r w:rsidR="00815510">
        <w:t xml:space="preserve">to </w:t>
      </w:r>
      <w:r>
        <w:t xml:space="preserve">the south and southeast of Rathcoole Village. The site comprises an undeveloped greenfield area which is characterised by a combination of </w:t>
      </w:r>
      <w:r w:rsidR="00867F0D">
        <w:t>Annex I hay meadow</w:t>
      </w:r>
      <w:r w:rsidR="00262657">
        <w:t>,</w:t>
      </w:r>
      <w:r>
        <w:t xml:space="preserve"> scrub, hedgerows and immature woodland. The site boundaries are generally defined by established hedgerows with tree cover concentrated primarily along these hedgerows. The Camac River is situated to the east of the site, the Crockshane (Slade) Stream to the south and the Coolmine Stream bisects the western portion of the site and flows into Rathcoole Park. </w:t>
      </w:r>
    </w:p>
    <w:p w14:paraId="093F1532" w14:textId="77777777" w:rsidR="00C0529B" w:rsidRDefault="00C0529B" w:rsidP="0085613B">
      <w:pPr>
        <w:pStyle w:val="Plates"/>
      </w:pPr>
    </w:p>
    <w:p w14:paraId="53C52E0B" w14:textId="529F5AAC" w:rsidR="004E4FA4" w:rsidRDefault="004E4FA4" w:rsidP="004E4FA4">
      <w:pPr>
        <w:pStyle w:val="Heading4"/>
      </w:pPr>
      <w:r>
        <w:lastRenderedPageBreak/>
        <w:t>Demography</w:t>
      </w:r>
    </w:p>
    <w:p w14:paraId="33D8FD66" w14:textId="370BA16E" w:rsidR="006604A3" w:rsidRDefault="006604A3" w:rsidP="006604A3">
      <w:pPr>
        <w:pStyle w:val="BodyText"/>
        <w:rPr>
          <w:lang w:eastAsia="en-IE"/>
        </w:rPr>
      </w:pPr>
      <w:r>
        <w:rPr>
          <w:lang w:eastAsia="en-IE"/>
        </w:rPr>
        <w:t>The Central Statistics Office (CSO) provides information on population and socio-economic aspects of the population residing within the Settlement of Rathcoole, which the subject lands are located within</w:t>
      </w:r>
      <w:r w:rsidR="006D75A3">
        <w:rPr>
          <w:lang w:eastAsia="en-IE"/>
        </w:rPr>
        <w:t xml:space="preserve"> and adjacent, within</w:t>
      </w:r>
      <w:r>
        <w:rPr>
          <w:lang w:eastAsia="en-IE"/>
        </w:rPr>
        <w:t xml:space="preserve"> the administrative area of </w:t>
      </w:r>
      <w:r w:rsidR="006D75A3">
        <w:rPr>
          <w:lang w:eastAsia="en-IE"/>
        </w:rPr>
        <w:t>South Dublin</w:t>
      </w:r>
      <w:r>
        <w:rPr>
          <w:lang w:eastAsia="en-IE"/>
        </w:rPr>
        <w:t xml:space="preserve"> County Council. The most recent census of population by the CSO was undertaken in 20</w:t>
      </w:r>
      <w:r w:rsidR="005100A7">
        <w:rPr>
          <w:lang w:eastAsia="en-IE"/>
        </w:rPr>
        <w:t>22</w:t>
      </w:r>
      <w:r>
        <w:rPr>
          <w:lang w:eastAsia="en-IE"/>
        </w:rPr>
        <w:t>. The census provides demographic trends for the Country, region, county, town and local levels. The CSO population statistics relevant to this EIAR are set out in</w:t>
      </w:r>
      <w:r w:rsidR="005100A7">
        <w:rPr>
          <w:lang w:eastAsia="en-IE"/>
        </w:rPr>
        <w:t xml:space="preserve"> </w:t>
      </w:r>
      <w:r w:rsidR="005100A7">
        <w:rPr>
          <w:lang w:eastAsia="en-IE"/>
        </w:rPr>
        <w:fldChar w:fldCharType="begin"/>
      </w:r>
      <w:r w:rsidR="005100A7">
        <w:rPr>
          <w:lang w:eastAsia="en-IE"/>
        </w:rPr>
        <w:instrText xml:space="preserve"> REF _Ref232518030 \h </w:instrText>
      </w:r>
      <w:r w:rsidR="005100A7">
        <w:rPr>
          <w:lang w:eastAsia="en-IE"/>
        </w:rPr>
      </w:r>
      <w:r w:rsidR="005100A7">
        <w:rPr>
          <w:lang w:eastAsia="en-IE"/>
        </w:rPr>
        <w:fldChar w:fldCharType="separate"/>
      </w:r>
      <w:r w:rsidR="00946CE0" w:rsidRPr="00733E9A">
        <w:t xml:space="preserve">Table </w:t>
      </w:r>
      <w:r w:rsidR="00946CE0">
        <w:rPr>
          <w:noProof/>
        </w:rPr>
        <w:t>5</w:t>
      </w:r>
      <w:r w:rsidR="00946CE0" w:rsidRPr="00733E9A">
        <w:t>-</w:t>
      </w:r>
      <w:r w:rsidR="00946CE0">
        <w:rPr>
          <w:noProof/>
        </w:rPr>
        <w:t>1</w:t>
      </w:r>
      <w:r w:rsidR="005100A7">
        <w:rPr>
          <w:lang w:eastAsia="en-IE"/>
        </w:rPr>
        <w:fldChar w:fldCharType="end"/>
      </w:r>
      <w:r w:rsidR="005100A7">
        <w:rPr>
          <w:lang w:eastAsia="en-IE"/>
        </w:rPr>
        <w:t xml:space="preserve"> below.</w:t>
      </w:r>
    </w:p>
    <w:p w14:paraId="36ADC294" w14:textId="00B5FD0E" w:rsidR="005100A7" w:rsidRPr="00733E9A" w:rsidRDefault="005100A7" w:rsidP="005100A7">
      <w:pPr>
        <w:pStyle w:val="Caption"/>
      </w:pPr>
      <w:bookmarkStart w:id="59" w:name="_Ref232518030"/>
      <w:bookmarkStart w:id="60" w:name="_Toc233123411"/>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1</w:t>
      </w:r>
      <w:r>
        <w:fldChar w:fldCharType="end"/>
      </w:r>
      <w:bookmarkEnd w:id="59"/>
      <w:r w:rsidRPr="00733E9A">
        <w:t xml:space="preserve">: </w:t>
      </w:r>
      <w:r>
        <w:t>Population Change 2016-2022 (Source: CSO)</w:t>
      </w:r>
      <w:bookmarkEnd w:id="60"/>
    </w:p>
    <w:tbl>
      <w:tblPr>
        <w:tblStyle w:val="AECOMtable"/>
        <w:tblW w:w="4950" w:type="pct"/>
        <w:tblLayout w:type="fixed"/>
        <w:tblLook w:val="04A0" w:firstRow="1" w:lastRow="0" w:firstColumn="1" w:lastColumn="0" w:noHBand="0" w:noVBand="1"/>
      </w:tblPr>
      <w:tblGrid>
        <w:gridCol w:w="2753"/>
        <w:gridCol w:w="2169"/>
        <w:gridCol w:w="2169"/>
        <w:gridCol w:w="2169"/>
      </w:tblGrid>
      <w:tr w:rsidR="005100A7" w:rsidRPr="00733E9A" w14:paraId="2E6EFD1D" w14:textId="77777777">
        <w:trPr>
          <w:cnfStyle w:val="100000000000" w:firstRow="1" w:lastRow="0" w:firstColumn="0" w:lastColumn="0" w:oddVBand="0" w:evenVBand="0" w:oddHBand="0" w:evenHBand="0" w:firstRowFirstColumn="0" w:firstRowLastColumn="0" w:lastRowFirstColumn="0" w:lastRowLastColumn="0"/>
          <w:tblHeader/>
        </w:trPr>
        <w:tc>
          <w:tcPr>
            <w:tcW w:w="2753" w:type="dxa"/>
          </w:tcPr>
          <w:p w14:paraId="430E7E88" w14:textId="2345A775" w:rsidR="005100A7" w:rsidRPr="00733E9A" w:rsidRDefault="005100A7">
            <w:pPr>
              <w:pStyle w:val="Tabletext"/>
            </w:pPr>
            <w:r>
              <w:t>Area</w:t>
            </w:r>
          </w:p>
        </w:tc>
        <w:tc>
          <w:tcPr>
            <w:tcW w:w="2169" w:type="dxa"/>
          </w:tcPr>
          <w:p w14:paraId="1E190E49" w14:textId="0D9A8684" w:rsidR="005100A7" w:rsidRPr="00733E9A" w:rsidRDefault="006800F0">
            <w:pPr>
              <w:pStyle w:val="Tabletext"/>
            </w:pPr>
            <w:r>
              <w:t>2016</w:t>
            </w:r>
          </w:p>
        </w:tc>
        <w:tc>
          <w:tcPr>
            <w:tcW w:w="2169" w:type="dxa"/>
          </w:tcPr>
          <w:p w14:paraId="4245C90E" w14:textId="3DB46CD8" w:rsidR="005100A7" w:rsidRPr="00733E9A" w:rsidRDefault="006800F0">
            <w:pPr>
              <w:pStyle w:val="Tabletext"/>
            </w:pPr>
            <w:r>
              <w:t>2022</w:t>
            </w:r>
          </w:p>
        </w:tc>
        <w:tc>
          <w:tcPr>
            <w:tcW w:w="2169" w:type="dxa"/>
          </w:tcPr>
          <w:p w14:paraId="0A3F0351" w14:textId="3A142572" w:rsidR="005100A7" w:rsidRPr="00733E9A" w:rsidRDefault="006800F0">
            <w:pPr>
              <w:pStyle w:val="Tabletext"/>
            </w:pPr>
            <w:r>
              <w:t>% Change 2016-2022</w:t>
            </w:r>
          </w:p>
        </w:tc>
      </w:tr>
      <w:tr w:rsidR="00C63E07" w:rsidRPr="00733E9A" w14:paraId="13DCE605" w14:textId="77777777">
        <w:trPr>
          <w:trHeight w:val="225"/>
        </w:trPr>
        <w:tc>
          <w:tcPr>
            <w:tcW w:w="2753" w:type="dxa"/>
          </w:tcPr>
          <w:p w14:paraId="72F10E55" w14:textId="735954C3" w:rsidR="00C63E07" w:rsidRPr="004C237F" w:rsidRDefault="00C63E07" w:rsidP="00C63E07">
            <w:pPr>
              <w:pStyle w:val="Tabletext"/>
            </w:pPr>
            <w:r w:rsidRPr="004C237F">
              <w:t>Ireland</w:t>
            </w:r>
          </w:p>
        </w:tc>
        <w:tc>
          <w:tcPr>
            <w:tcW w:w="2169" w:type="dxa"/>
          </w:tcPr>
          <w:p w14:paraId="24BFDA0D" w14:textId="343BC039" w:rsidR="00C63E07" w:rsidRPr="004C237F" w:rsidRDefault="007105A4" w:rsidP="00C63E07">
            <w:pPr>
              <w:pStyle w:val="Tabletext"/>
            </w:pPr>
            <w:r w:rsidRPr="004C237F">
              <w:rPr>
                <w:rFonts w:ascii="Arial" w:hAnsi="Arial" w:cs="Arial"/>
                <w:color w:val="384350"/>
                <w:shd w:val="clear" w:color="auto" w:fill="F2F7FA"/>
              </w:rPr>
              <w:t>4,761,865</w:t>
            </w:r>
          </w:p>
        </w:tc>
        <w:tc>
          <w:tcPr>
            <w:tcW w:w="2169" w:type="dxa"/>
          </w:tcPr>
          <w:p w14:paraId="6F1CF245" w14:textId="097B2B6D" w:rsidR="00C63E07" w:rsidRPr="004C237F" w:rsidRDefault="00C63E07" w:rsidP="00C63E07">
            <w:pPr>
              <w:pStyle w:val="Tabletext"/>
            </w:pPr>
            <w:r w:rsidRPr="004C237F">
              <w:rPr>
                <w:rFonts w:ascii="Arial" w:hAnsi="Arial" w:cs="Arial"/>
                <w:color w:val="384350"/>
                <w:shd w:val="clear" w:color="auto" w:fill="F2F7FA"/>
              </w:rPr>
              <w:t>5,149,139</w:t>
            </w:r>
          </w:p>
        </w:tc>
        <w:tc>
          <w:tcPr>
            <w:tcW w:w="2169" w:type="dxa"/>
          </w:tcPr>
          <w:p w14:paraId="44874132" w14:textId="71CD86E5" w:rsidR="00C63E07" w:rsidRPr="004C237F" w:rsidRDefault="003E44DC" w:rsidP="00C63E07">
            <w:pPr>
              <w:pStyle w:val="Tabletext"/>
            </w:pPr>
            <w:r w:rsidRPr="004C237F">
              <w:t>8.1%</w:t>
            </w:r>
          </w:p>
        </w:tc>
      </w:tr>
      <w:tr w:rsidR="005100A7" w:rsidRPr="00733E9A" w14:paraId="3CA13DA5" w14:textId="77777777">
        <w:trPr>
          <w:trHeight w:val="224"/>
        </w:trPr>
        <w:tc>
          <w:tcPr>
            <w:tcW w:w="2753" w:type="dxa"/>
            <w:tcBorders>
              <w:bottom w:val="single" w:sz="4" w:space="0" w:color="auto"/>
            </w:tcBorders>
          </w:tcPr>
          <w:p w14:paraId="1C7112E7" w14:textId="15647EDD" w:rsidR="005100A7" w:rsidRPr="004C237F" w:rsidRDefault="006800F0" w:rsidP="006800F0">
            <w:pPr>
              <w:pStyle w:val="Tabletext"/>
            </w:pPr>
            <w:r w:rsidRPr="004C237F">
              <w:t>South Dublin County</w:t>
            </w:r>
          </w:p>
        </w:tc>
        <w:tc>
          <w:tcPr>
            <w:tcW w:w="2169" w:type="dxa"/>
            <w:tcBorders>
              <w:bottom w:val="single" w:sz="4" w:space="0" w:color="auto"/>
            </w:tcBorders>
          </w:tcPr>
          <w:p w14:paraId="38EEED87" w14:textId="170ECA86" w:rsidR="005100A7" w:rsidRPr="004C237F" w:rsidRDefault="007C0985">
            <w:pPr>
              <w:pStyle w:val="Tabletext"/>
            </w:pPr>
            <w:r w:rsidRPr="004C237F">
              <w:t>278,767</w:t>
            </w:r>
          </w:p>
        </w:tc>
        <w:tc>
          <w:tcPr>
            <w:tcW w:w="2169" w:type="dxa"/>
            <w:tcBorders>
              <w:bottom w:val="single" w:sz="4" w:space="0" w:color="auto"/>
            </w:tcBorders>
          </w:tcPr>
          <w:p w14:paraId="411B2411" w14:textId="2299BF91" w:rsidR="005100A7" w:rsidRPr="004C237F" w:rsidRDefault="00801F28">
            <w:pPr>
              <w:pStyle w:val="Tabletext"/>
            </w:pPr>
            <w:r w:rsidRPr="004C237F">
              <w:t>301,075</w:t>
            </w:r>
          </w:p>
        </w:tc>
        <w:tc>
          <w:tcPr>
            <w:tcW w:w="2169" w:type="dxa"/>
            <w:tcBorders>
              <w:bottom w:val="single" w:sz="4" w:space="0" w:color="auto"/>
            </w:tcBorders>
          </w:tcPr>
          <w:p w14:paraId="494379B7" w14:textId="560891A1" w:rsidR="005100A7" w:rsidRPr="004C237F" w:rsidRDefault="004C237F">
            <w:pPr>
              <w:pStyle w:val="Tabletext"/>
            </w:pPr>
            <w:r w:rsidRPr="004C237F">
              <w:t>8%</w:t>
            </w:r>
          </w:p>
        </w:tc>
      </w:tr>
      <w:tr w:rsidR="006800F0" w:rsidRPr="00733E9A" w14:paraId="1A7F1581" w14:textId="77777777">
        <w:trPr>
          <w:trHeight w:val="224"/>
        </w:trPr>
        <w:tc>
          <w:tcPr>
            <w:tcW w:w="2753" w:type="dxa"/>
            <w:tcBorders>
              <w:bottom w:val="single" w:sz="4" w:space="0" w:color="auto"/>
            </w:tcBorders>
          </w:tcPr>
          <w:p w14:paraId="4C57B36D" w14:textId="3B149DFA" w:rsidR="006800F0" w:rsidRPr="004C237F" w:rsidRDefault="008B1352" w:rsidP="006800F0">
            <w:pPr>
              <w:pStyle w:val="Tabletext"/>
            </w:pPr>
            <w:r w:rsidRPr="004C237F">
              <w:t>Rathcoole ED</w:t>
            </w:r>
          </w:p>
        </w:tc>
        <w:tc>
          <w:tcPr>
            <w:tcW w:w="2169" w:type="dxa"/>
            <w:tcBorders>
              <w:bottom w:val="single" w:sz="4" w:space="0" w:color="auto"/>
            </w:tcBorders>
          </w:tcPr>
          <w:p w14:paraId="5B8B341D" w14:textId="30683174" w:rsidR="006800F0" w:rsidRPr="004C237F" w:rsidRDefault="007C0985">
            <w:pPr>
              <w:pStyle w:val="Tabletext"/>
            </w:pPr>
            <w:r w:rsidRPr="004C237F">
              <w:t>5,009</w:t>
            </w:r>
          </w:p>
        </w:tc>
        <w:tc>
          <w:tcPr>
            <w:tcW w:w="2169" w:type="dxa"/>
            <w:tcBorders>
              <w:bottom w:val="single" w:sz="4" w:space="0" w:color="auto"/>
            </w:tcBorders>
          </w:tcPr>
          <w:p w14:paraId="065B1C5F" w14:textId="69C932C5" w:rsidR="006800F0" w:rsidRPr="004C237F" w:rsidRDefault="00EF613B">
            <w:pPr>
              <w:pStyle w:val="Tabletext"/>
            </w:pPr>
            <w:r w:rsidRPr="004C237F">
              <w:t>6,590</w:t>
            </w:r>
          </w:p>
        </w:tc>
        <w:tc>
          <w:tcPr>
            <w:tcW w:w="2169" w:type="dxa"/>
            <w:tcBorders>
              <w:bottom w:val="single" w:sz="4" w:space="0" w:color="auto"/>
            </w:tcBorders>
          </w:tcPr>
          <w:p w14:paraId="705C2833" w14:textId="6C3E498B" w:rsidR="006800F0" w:rsidRPr="004C237F" w:rsidRDefault="004C237F">
            <w:pPr>
              <w:pStyle w:val="Tabletext"/>
            </w:pPr>
            <w:r w:rsidRPr="004C237F">
              <w:t>31.6%</w:t>
            </w:r>
          </w:p>
        </w:tc>
      </w:tr>
      <w:tr w:rsidR="008B1352" w:rsidRPr="00733E9A" w14:paraId="225828AD" w14:textId="77777777">
        <w:trPr>
          <w:trHeight w:val="224"/>
        </w:trPr>
        <w:tc>
          <w:tcPr>
            <w:tcW w:w="2753" w:type="dxa"/>
            <w:tcBorders>
              <w:bottom w:val="single" w:sz="4" w:space="0" w:color="auto"/>
            </w:tcBorders>
          </w:tcPr>
          <w:p w14:paraId="420E0ED9" w14:textId="19D3E8B0" w:rsidR="008B1352" w:rsidRPr="004C237F" w:rsidRDefault="008B1352" w:rsidP="006800F0">
            <w:pPr>
              <w:pStyle w:val="Tabletext"/>
            </w:pPr>
            <w:r w:rsidRPr="004C237F">
              <w:t>Saggart ED</w:t>
            </w:r>
          </w:p>
        </w:tc>
        <w:tc>
          <w:tcPr>
            <w:tcW w:w="2169" w:type="dxa"/>
            <w:tcBorders>
              <w:bottom w:val="single" w:sz="4" w:space="0" w:color="auto"/>
            </w:tcBorders>
          </w:tcPr>
          <w:p w14:paraId="305C829C" w14:textId="20BD7D05" w:rsidR="008B1352" w:rsidRPr="004C237F" w:rsidRDefault="0080702A">
            <w:pPr>
              <w:pStyle w:val="Tabletext"/>
            </w:pPr>
            <w:r w:rsidRPr="004C237F">
              <w:t>4,640</w:t>
            </w:r>
          </w:p>
        </w:tc>
        <w:tc>
          <w:tcPr>
            <w:tcW w:w="2169" w:type="dxa"/>
            <w:tcBorders>
              <w:bottom w:val="single" w:sz="4" w:space="0" w:color="auto"/>
            </w:tcBorders>
          </w:tcPr>
          <w:p w14:paraId="680B6419" w14:textId="2D2681E1" w:rsidR="008B1352" w:rsidRPr="004C237F" w:rsidRDefault="00EF613B">
            <w:pPr>
              <w:pStyle w:val="Tabletext"/>
            </w:pPr>
            <w:r w:rsidRPr="004C237F">
              <w:t>6,248</w:t>
            </w:r>
          </w:p>
        </w:tc>
        <w:tc>
          <w:tcPr>
            <w:tcW w:w="2169" w:type="dxa"/>
            <w:tcBorders>
              <w:bottom w:val="single" w:sz="4" w:space="0" w:color="auto"/>
            </w:tcBorders>
          </w:tcPr>
          <w:p w14:paraId="180C1396" w14:textId="74F4DB45" w:rsidR="008B1352" w:rsidRPr="004C237F" w:rsidRDefault="004C237F">
            <w:pPr>
              <w:pStyle w:val="Tabletext"/>
            </w:pPr>
            <w:r w:rsidRPr="004C237F">
              <w:t>34.7%</w:t>
            </w:r>
          </w:p>
        </w:tc>
      </w:tr>
      <w:tr w:rsidR="006800F0" w:rsidRPr="00733E9A" w14:paraId="06D78480" w14:textId="77777777">
        <w:trPr>
          <w:trHeight w:val="224"/>
        </w:trPr>
        <w:tc>
          <w:tcPr>
            <w:tcW w:w="2753" w:type="dxa"/>
            <w:tcBorders>
              <w:bottom w:val="single" w:sz="4" w:space="0" w:color="auto"/>
            </w:tcBorders>
          </w:tcPr>
          <w:p w14:paraId="1868BBC6" w14:textId="10DE2617" w:rsidR="006800F0" w:rsidRPr="004C237F" w:rsidRDefault="008B1352" w:rsidP="006800F0">
            <w:pPr>
              <w:pStyle w:val="Tabletext"/>
            </w:pPr>
            <w:r w:rsidRPr="004C237F">
              <w:t>Rathcoole Town</w:t>
            </w:r>
            <w:r w:rsidR="004802AE" w:rsidRPr="004C237F">
              <w:rPr>
                <w:rStyle w:val="FootnoteReference"/>
              </w:rPr>
              <w:footnoteReference w:id="1"/>
            </w:r>
          </w:p>
        </w:tc>
        <w:tc>
          <w:tcPr>
            <w:tcW w:w="2169" w:type="dxa"/>
            <w:tcBorders>
              <w:bottom w:val="single" w:sz="4" w:space="0" w:color="auto"/>
            </w:tcBorders>
          </w:tcPr>
          <w:p w14:paraId="04F86078" w14:textId="1C23E4A3" w:rsidR="006800F0" w:rsidRPr="004C237F" w:rsidRDefault="00B20831">
            <w:pPr>
              <w:pStyle w:val="Tabletext"/>
            </w:pPr>
            <w:r w:rsidRPr="004C237F">
              <w:t>4,351</w:t>
            </w:r>
          </w:p>
        </w:tc>
        <w:tc>
          <w:tcPr>
            <w:tcW w:w="2169" w:type="dxa"/>
            <w:tcBorders>
              <w:bottom w:val="single" w:sz="4" w:space="0" w:color="auto"/>
            </w:tcBorders>
          </w:tcPr>
          <w:p w14:paraId="47997E49" w14:textId="233DF06F" w:rsidR="006800F0" w:rsidRPr="004C237F" w:rsidRDefault="00FB4B49">
            <w:pPr>
              <w:pStyle w:val="Tabletext"/>
            </w:pPr>
            <w:r w:rsidRPr="004C237F">
              <w:t>5,792</w:t>
            </w:r>
          </w:p>
        </w:tc>
        <w:tc>
          <w:tcPr>
            <w:tcW w:w="2169" w:type="dxa"/>
            <w:tcBorders>
              <w:bottom w:val="single" w:sz="4" w:space="0" w:color="auto"/>
            </w:tcBorders>
          </w:tcPr>
          <w:p w14:paraId="668E942E" w14:textId="307AD742" w:rsidR="006800F0" w:rsidRPr="004C237F" w:rsidRDefault="004C237F">
            <w:pPr>
              <w:pStyle w:val="Tabletext"/>
            </w:pPr>
            <w:r w:rsidRPr="004C237F">
              <w:t>33.1%</w:t>
            </w:r>
          </w:p>
        </w:tc>
      </w:tr>
      <w:tr w:rsidR="005100A7" w:rsidRPr="00733E9A" w14:paraId="1E7F2A7D" w14:textId="77777777">
        <w:trPr>
          <w:trHeight w:val="224"/>
        </w:trPr>
        <w:tc>
          <w:tcPr>
            <w:tcW w:w="9260" w:type="dxa"/>
            <w:gridSpan w:val="4"/>
            <w:tcBorders>
              <w:top w:val="single" w:sz="4" w:space="0" w:color="auto"/>
              <w:bottom w:val="nil"/>
            </w:tcBorders>
          </w:tcPr>
          <w:p w14:paraId="10C6A674" w14:textId="2CBF8608" w:rsidR="005100A7" w:rsidRPr="00733E9A" w:rsidRDefault="005100A7">
            <w:pPr>
              <w:pStyle w:val="Tabletext"/>
              <w:rPr>
                <w:i/>
                <w:iCs/>
              </w:rPr>
            </w:pPr>
            <w:r w:rsidRPr="00733E9A">
              <w:rPr>
                <w:i/>
                <w:iCs/>
              </w:rPr>
              <w:t xml:space="preserve">Source: </w:t>
            </w:r>
            <w:r w:rsidR="007105A4">
              <w:rPr>
                <w:i/>
                <w:iCs/>
              </w:rPr>
              <w:t>CSO</w:t>
            </w:r>
          </w:p>
          <w:p w14:paraId="2FEC7CDE" w14:textId="77777777" w:rsidR="005100A7" w:rsidRPr="00733E9A" w:rsidRDefault="005100A7">
            <w:pPr>
              <w:pStyle w:val="Tabletext"/>
            </w:pPr>
          </w:p>
        </w:tc>
      </w:tr>
    </w:tbl>
    <w:p w14:paraId="60C5163F" w14:textId="77777777" w:rsidR="00A61364" w:rsidRDefault="00F0303C" w:rsidP="006604A3">
      <w:pPr>
        <w:pStyle w:val="BodyText"/>
      </w:pPr>
      <w:r>
        <w:t>It</w:t>
      </w:r>
      <w:r w:rsidR="001D350E">
        <w:t xml:space="preserve"> is notable that Saggart ED, which is located more proximate to Dublin City, grew at a slightly </w:t>
      </w:r>
      <w:r w:rsidR="004314B6">
        <w:t>stronger rate (2.9%) than Rathcoole ED.</w:t>
      </w:r>
      <w:r w:rsidR="00C479CA">
        <w:t xml:space="preserve"> </w:t>
      </w:r>
    </w:p>
    <w:p w14:paraId="2789221B" w14:textId="6AA47EF1" w:rsidR="00A61364" w:rsidRDefault="001762BB" w:rsidP="006604A3">
      <w:pPr>
        <w:pStyle w:val="BodyText"/>
      </w:pPr>
      <w:r>
        <w:t>Comparing</w:t>
      </w:r>
      <w:r w:rsidR="00C479CA">
        <w:t xml:space="preserve"> findin</w:t>
      </w:r>
      <w:r>
        <w:t>g</w:t>
      </w:r>
      <w:r w:rsidR="00C479CA">
        <w:t>s for Rathcoole Town to South Dublin County as a whole,</w:t>
      </w:r>
      <w:r w:rsidR="001C08C1">
        <w:t xml:space="preserve"> can also provide </w:t>
      </w:r>
      <w:r w:rsidR="008F189F" w:rsidRPr="001A4AAE">
        <w:t xml:space="preserve">insight into the performance of an area in facilitating future population growth. </w:t>
      </w:r>
      <w:r w:rsidR="008570A8">
        <w:t>B</w:t>
      </w:r>
      <w:r w:rsidR="008570A8" w:rsidRPr="008570A8">
        <w:t>oth Rathcoole Town (+33.1%) and the wider Rathcoole ED (+31.6%) experienced population growth approximately four times greater than the national (+8.1%) and South Dublin County (+8.0%) averages over the 2016–2022 period.</w:t>
      </w:r>
    </w:p>
    <w:p w14:paraId="4B3ABB6A" w14:textId="51FE5F2B" w:rsidR="005100A7" w:rsidRDefault="008F189F" w:rsidP="006604A3">
      <w:pPr>
        <w:pStyle w:val="BodyText"/>
      </w:pPr>
      <w:r w:rsidRPr="001A4AAE">
        <w:t>According to the 20</w:t>
      </w:r>
      <w:r>
        <w:t>22</w:t>
      </w:r>
      <w:r w:rsidRPr="001A4AAE">
        <w:t xml:space="preserve"> census</w:t>
      </w:r>
      <w:r>
        <w:t xml:space="preserve">, Rathcoole Town </w:t>
      </w:r>
      <w:r w:rsidRPr="001A4AAE">
        <w:t xml:space="preserve">had a population of </w:t>
      </w:r>
      <w:r w:rsidRPr="008F189F">
        <w:t>5,792</w:t>
      </w:r>
      <w:r>
        <w:t xml:space="preserve"> </w:t>
      </w:r>
      <w:r w:rsidRPr="001A4AAE">
        <w:t xml:space="preserve">people in a catchment of </w:t>
      </w:r>
      <w:r w:rsidR="00733565">
        <w:t>1,924</w:t>
      </w:r>
      <w:r w:rsidRPr="001A4AAE">
        <w:t xml:space="preserve"> households.</w:t>
      </w:r>
      <w:r w:rsidR="0026089E">
        <w:t xml:space="preserve"> </w:t>
      </w:r>
      <w:r w:rsidR="00862485">
        <w:t>The highest proportion of households are 2 person (27%)</w:t>
      </w:r>
      <w:r w:rsidR="005F61C5">
        <w:t>, 3 person (</w:t>
      </w:r>
      <w:r w:rsidR="00FA3266">
        <w:t>19.5%) and 4 person</w:t>
      </w:r>
      <w:r w:rsidR="005F61C5">
        <w:t xml:space="preserve"> (22.5%)</w:t>
      </w:r>
      <w:r w:rsidR="0004233E">
        <w:t>. The remainder of household sizes make up a total of 31%.</w:t>
      </w:r>
      <w:r w:rsidR="00BB700E">
        <w:t xml:space="preserve"> </w:t>
      </w:r>
      <w:r w:rsidR="00BB700E" w:rsidRPr="00707D22">
        <w:t xml:space="preserve">The household composition for the study area is broadly in keeping with </w:t>
      </w:r>
      <w:r w:rsidR="00BB700E">
        <w:t>South Dublin</w:t>
      </w:r>
      <w:r w:rsidR="00BB700E" w:rsidRPr="00707D22">
        <w:t xml:space="preserve"> as a whole</w:t>
      </w:r>
      <w:r w:rsidR="00BB700E">
        <w:t xml:space="preserve">. </w:t>
      </w:r>
      <w:r w:rsidR="005A1BA3">
        <w:t xml:space="preserve">On average, the household size in South Dublin County is 2.97 persons while in Rathcoole Town it is </w:t>
      </w:r>
      <w:r w:rsidR="00FD4D1F">
        <w:t>2.96</w:t>
      </w:r>
      <w:r w:rsidR="005A1BA3">
        <w:t xml:space="preserve"> persons. Saggart ED has a slightly lower average household size of 2.93 persons while </w:t>
      </w:r>
      <w:r w:rsidR="00FD4D1F">
        <w:t>Rathcoole ED has a higher average household size of 3 persons.</w:t>
      </w:r>
      <w:r w:rsidR="00BB700E">
        <w:t xml:space="preserve"> </w:t>
      </w:r>
    </w:p>
    <w:p w14:paraId="33321936" w14:textId="29A1EED7" w:rsidR="00D80EB8" w:rsidRDefault="0026089E" w:rsidP="006604A3">
      <w:pPr>
        <w:pStyle w:val="BodyText"/>
      </w:pPr>
      <w:r>
        <w:rPr>
          <w:noProof/>
        </w:rPr>
        <w:lastRenderedPageBreak/>
        <w:drawing>
          <wp:inline distT="0" distB="0" distL="0" distR="0" wp14:anchorId="44548433" wp14:editId="206DD7D5">
            <wp:extent cx="5745480" cy="3616656"/>
            <wp:effectExtent l="0" t="0" r="7620" b="3175"/>
            <wp:docPr id="2081429954" name="Chart 1">
              <a:extLst xmlns:a="http://schemas.openxmlformats.org/drawingml/2006/main">
                <a:ext uri="{FF2B5EF4-FFF2-40B4-BE49-F238E27FC236}">
                  <a16:creationId xmlns:a16="http://schemas.microsoft.com/office/drawing/2014/main" id="{59E0D58C-8D10-F120-281D-B58BE8DAC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19A341F" w14:textId="63AF003B" w:rsidR="0025293F" w:rsidRDefault="0025293F" w:rsidP="0025293F">
      <w:pPr>
        <w:pStyle w:val="Caption"/>
      </w:pPr>
      <w:bookmarkStart w:id="61" w:name="_Toc233123405"/>
      <w:r w:rsidRPr="00733E9A">
        <w:t xml:space="preserve">Plate </w:t>
      </w:r>
      <w:r>
        <w:fldChar w:fldCharType="begin"/>
      </w:r>
      <w:r>
        <w:instrText>STYLEREF 1 \s</w:instrText>
      </w:r>
      <w:r>
        <w:fldChar w:fldCharType="separate"/>
      </w:r>
      <w:r w:rsidR="00946CE0">
        <w:rPr>
          <w:noProof/>
        </w:rPr>
        <w:t>5</w:t>
      </w:r>
      <w:r>
        <w:fldChar w:fldCharType="end"/>
      </w:r>
      <w:r w:rsidRPr="00733E9A">
        <w:noBreakHyphen/>
      </w:r>
      <w:r>
        <w:fldChar w:fldCharType="begin"/>
      </w:r>
      <w:r>
        <w:instrText>SEQ Figure \* ARABIC \s 1</w:instrText>
      </w:r>
      <w:r>
        <w:fldChar w:fldCharType="separate"/>
      </w:r>
      <w:r w:rsidR="00946CE0">
        <w:rPr>
          <w:noProof/>
        </w:rPr>
        <w:t>2</w:t>
      </w:r>
      <w:r>
        <w:fldChar w:fldCharType="end"/>
      </w:r>
      <w:r w:rsidRPr="00733E9A">
        <w:t>:</w:t>
      </w:r>
      <w:r>
        <w:t xml:space="preserve"> Household Size Distribution (Source: CSO)</w:t>
      </w:r>
      <w:bookmarkEnd w:id="61"/>
    </w:p>
    <w:p w14:paraId="6B25105D" w14:textId="320AA5B4" w:rsidR="00D768BC" w:rsidRDefault="00D768BC" w:rsidP="006604A3">
      <w:pPr>
        <w:pStyle w:val="BodyText"/>
      </w:pPr>
      <w:r>
        <w:t xml:space="preserve">Rathcoole Town has a higher proportion of </w:t>
      </w:r>
      <w:r w:rsidR="00BE0120">
        <w:t>dependent</w:t>
      </w:r>
      <w:r w:rsidR="00B62937">
        <w:t xml:space="preserve"> children than South Dublin (c.</w:t>
      </w:r>
      <w:r w:rsidR="00290872">
        <w:t>31.5</w:t>
      </w:r>
      <w:r w:rsidR="008E4D34">
        <w:t>% versus c.</w:t>
      </w:r>
      <w:r w:rsidR="00290872">
        <w:t>28</w:t>
      </w:r>
      <w:r w:rsidR="008E4D34">
        <w:t xml:space="preserve">%), </w:t>
      </w:r>
      <w:r w:rsidR="00595665">
        <w:t>and a slightly lower working aged cohort (c.</w:t>
      </w:r>
      <w:r w:rsidR="002C66D1">
        <w:t xml:space="preserve">55% versus 59%). The retirement aged cohort is also </w:t>
      </w:r>
      <w:r w:rsidR="0025293F">
        <w:t xml:space="preserve">equivalent (c.13%). The age distribution of Rathcoole and Saggart EDs is visible in </w:t>
      </w:r>
      <w:r w:rsidR="0025293F">
        <w:fldChar w:fldCharType="begin"/>
      </w:r>
      <w:r w:rsidR="0025293F">
        <w:instrText xml:space="preserve"> REF _Ref232587128 \h </w:instrText>
      </w:r>
      <w:r w:rsidR="0025293F">
        <w:fldChar w:fldCharType="separate"/>
      </w:r>
      <w:r w:rsidR="00946CE0" w:rsidRPr="00733E9A">
        <w:t xml:space="preserve">Plate </w:t>
      </w:r>
      <w:r w:rsidR="00946CE0">
        <w:rPr>
          <w:noProof/>
        </w:rPr>
        <w:t>5</w:t>
      </w:r>
      <w:r w:rsidR="00946CE0" w:rsidRPr="00733E9A">
        <w:noBreakHyphen/>
      </w:r>
      <w:r w:rsidR="00946CE0">
        <w:rPr>
          <w:noProof/>
        </w:rPr>
        <w:t>3</w:t>
      </w:r>
      <w:r w:rsidR="0025293F">
        <w:fldChar w:fldCharType="end"/>
      </w:r>
      <w:r w:rsidR="0025293F">
        <w:t xml:space="preserve"> below.</w:t>
      </w:r>
    </w:p>
    <w:p w14:paraId="6A54AF94" w14:textId="3FCE21AA" w:rsidR="005F033C" w:rsidRDefault="005F033C" w:rsidP="006604A3">
      <w:pPr>
        <w:pStyle w:val="BodyText"/>
      </w:pPr>
      <w:r>
        <w:rPr>
          <w:noProof/>
        </w:rPr>
        <w:drawing>
          <wp:inline distT="0" distB="0" distL="0" distR="0" wp14:anchorId="61EE5E88" wp14:editId="62D7BC89">
            <wp:extent cx="5745708" cy="3616657"/>
            <wp:effectExtent l="0" t="0" r="7620" b="3175"/>
            <wp:docPr id="150417800" name="Chart 1">
              <a:extLst xmlns:a="http://schemas.openxmlformats.org/drawingml/2006/main">
                <a:ext uri="{FF2B5EF4-FFF2-40B4-BE49-F238E27FC236}">
                  <a16:creationId xmlns:a16="http://schemas.microsoft.com/office/drawing/2014/main" id="{D30BDDD9-5123-3F86-38E2-8547AAE124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C6701ED" w14:textId="708A3A0C" w:rsidR="0025293F" w:rsidRDefault="0025293F" w:rsidP="0025293F">
      <w:pPr>
        <w:pStyle w:val="Caption"/>
      </w:pPr>
      <w:bookmarkStart w:id="62" w:name="_Ref232587128"/>
      <w:bookmarkStart w:id="63" w:name="_Toc233123406"/>
      <w:r w:rsidRPr="00733E9A">
        <w:t xml:space="preserve">Plate </w:t>
      </w:r>
      <w:r>
        <w:fldChar w:fldCharType="begin"/>
      </w:r>
      <w:r>
        <w:instrText>STYLEREF 1 \s</w:instrText>
      </w:r>
      <w:r>
        <w:fldChar w:fldCharType="separate"/>
      </w:r>
      <w:r w:rsidR="00946CE0">
        <w:rPr>
          <w:noProof/>
        </w:rPr>
        <w:t>5</w:t>
      </w:r>
      <w:r>
        <w:fldChar w:fldCharType="end"/>
      </w:r>
      <w:r w:rsidRPr="00733E9A">
        <w:noBreakHyphen/>
      </w:r>
      <w:r>
        <w:fldChar w:fldCharType="begin"/>
      </w:r>
      <w:r>
        <w:instrText>SEQ Figure \* ARABIC \s 1</w:instrText>
      </w:r>
      <w:r>
        <w:fldChar w:fldCharType="separate"/>
      </w:r>
      <w:r w:rsidR="00946CE0">
        <w:rPr>
          <w:noProof/>
        </w:rPr>
        <w:t>3</w:t>
      </w:r>
      <w:r>
        <w:fldChar w:fldCharType="end"/>
      </w:r>
      <w:bookmarkEnd w:id="62"/>
      <w:r w:rsidRPr="00733E9A">
        <w:t>:</w:t>
      </w:r>
      <w:r>
        <w:t xml:space="preserve"> Age </w:t>
      </w:r>
      <w:r w:rsidR="00922DD7">
        <w:t>Distribution</w:t>
      </w:r>
      <w:r>
        <w:t xml:space="preserve"> (Source: CSO)</w:t>
      </w:r>
      <w:bookmarkEnd w:id="63"/>
    </w:p>
    <w:p w14:paraId="42DB992E" w14:textId="66663F1D" w:rsidR="00230683" w:rsidRDefault="00BA6E62" w:rsidP="00230683">
      <w:pPr>
        <w:pStyle w:val="Heading4"/>
      </w:pPr>
      <w:r>
        <w:t>Population and Housing Targets</w:t>
      </w:r>
    </w:p>
    <w:p w14:paraId="786D230F" w14:textId="6B447C5E" w:rsidR="00A92456" w:rsidRDefault="009519B8" w:rsidP="00A92456">
      <w:pPr>
        <w:pStyle w:val="BodyText"/>
      </w:pPr>
      <w:r>
        <w:t>The SDCCDP 2022-2028</w:t>
      </w:r>
      <w:r w:rsidR="00BE246F">
        <w:t xml:space="preserve"> outlines the population change for Rathcoole Town (settlement) and its projected population target. These figures are updated on the basis of the revised NPF and </w:t>
      </w:r>
      <w:r w:rsidR="009D3F4F">
        <w:t>CSO Census data within proposed Variation No.2.</w:t>
      </w:r>
      <w:r w:rsidR="00A0335B">
        <w:t xml:space="preserve"> The high population </w:t>
      </w:r>
      <w:r w:rsidR="00BC0D27">
        <w:t xml:space="preserve">target (increase of 50,233 persons) from 2016-2031 was </w:t>
      </w:r>
      <w:r w:rsidR="00BC0D27">
        <w:lastRenderedPageBreak/>
        <w:t xml:space="preserve">selected in the SDCCDP 2022-2028. </w:t>
      </w:r>
      <w:r w:rsidR="00F14566">
        <w:t>Proposed Variation No.2 acknowledges that while the NPF provides revised national, regional and city level population projections to 2040</w:t>
      </w:r>
      <w:r w:rsidR="004C563A">
        <w:t>, population projections at a local authority (LA) level have not yet been updated to reflect the revised NPF.</w:t>
      </w:r>
    </w:p>
    <w:p w14:paraId="57949E7D" w14:textId="0AAE6F60" w:rsidR="00A93D8B" w:rsidRDefault="00A93D8B" w:rsidP="00A93D8B">
      <w:pPr>
        <w:pStyle w:val="BodyText"/>
      </w:pPr>
      <w:r>
        <w:t>The proposed Variation No.2 updates the adopted plan's housing supply figures and targets as follows. In 2022, South Dublin County contained 106,074 residential units, of which 3,899 were vacant, representing a vacancy rate of 3.68%. The housing stock increased by 7,867 units between 2016 and 2022, representing growth of 7.81%, while vacancy levels remained relatively low and below what would generally be considered a normal market vacancy rate.</w:t>
      </w:r>
    </w:p>
    <w:p w14:paraId="044894D2" w14:textId="47B1F29C" w:rsidR="00A93D8B" w:rsidRDefault="00A93D8B" w:rsidP="00A93D8B">
      <w:pPr>
        <w:pStyle w:val="BodyText"/>
      </w:pPr>
      <w:r>
        <w:t xml:space="preserve">Since the adoption of the </w:t>
      </w:r>
      <w:r w:rsidR="00B21F4E">
        <w:t>SDCCDP</w:t>
      </w:r>
      <w:r>
        <w:t xml:space="preserve"> in 2022, housing delivery has remained consistent, with approximately 2,600 dwellings completed annually. At the end of 2025, planning permission existed for 12,616 residential units across the county, with almost 5,000 units under construction on 50 active sites.</w:t>
      </w:r>
    </w:p>
    <w:p w14:paraId="6D7D7FF8" w14:textId="134769EA" w:rsidR="00A93D8B" w:rsidRDefault="00A93D8B" w:rsidP="00A93D8B">
      <w:pPr>
        <w:pStyle w:val="BodyText"/>
      </w:pPr>
      <w:r>
        <w:t xml:space="preserve">The revised </w:t>
      </w:r>
      <w:r w:rsidR="00A00968">
        <w:t>NPF</w:t>
      </w:r>
      <w:r>
        <w:t xml:space="preserve"> (2025) and accompanying </w:t>
      </w:r>
      <w:r w:rsidRPr="007D6967">
        <w:rPr>
          <w:i/>
          <w:iCs/>
        </w:rPr>
        <w:t xml:space="preserve">'NPF Implementation: Housing Growth Requirements – Guidelines for Planning Authorities' </w:t>
      </w:r>
      <w:r>
        <w:t>(2025) have significantly increased housing delivery requirements for South Dublin County. While the annual housing supply target at the time of Development Plan adoption was 2,596 units per annum, the revised housing growth requirement has increased to 3,270 units per annum for the period 2025–2034, reducing to 2,414 units per annum for the period 2035–2040. This represents a substantial increase in housing delivery expectations and highlights the continued need to bring forward appropriately located residential development within the county.</w:t>
      </w:r>
    </w:p>
    <w:p w14:paraId="74C7FBE7" w14:textId="3DCA07E2" w:rsidR="00E86AFA" w:rsidRDefault="00E86AFA" w:rsidP="00E86AFA">
      <w:pPr>
        <w:pStyle w:val="BodyText"/>
      </w:pPr>
      <w:r>
        <w:t xml:space="preserve">In addition to the baseline housing growth requirements, the </w:t>
      </w:r>
      <w:r w:rsidRPr="00DE4598">
        <w:rPr>
          <w:i/>
          <w:iCs/>
        </w:rPr>
        <w:t>'NPF Implementation: Housing Growth Requirements</w:t>
      </w:r>
      <w:r w:rsidR="00DE4598">
        <w:t xml:space="preserve">’ </w:t>
      </w:r>
      <w:r>
        <w:t>require planning authorities to provide additional flexibility to provide for up to 50% additional housing provision above the baseline housing growth requirements. This additional provision does not alter the baseline targets but is intended to ensure that housing delivery requirements can be achieved flexibly where opportunities arise.</w:t>
      </w:r>
    </w:p>
    <w:p w14:paraId="196DC722" w14:textId="0681FD1B" w:rsidR="00F91FAF" w:rsidRDefault="00256FC2" w:rsidP="00256FC2">
      <w:pPr>
        <w:pStyle w:val="Caption"/>
      </w:pPr>
      <w:bookmarkStart w:id="64" w:name="_Toc233123412"/>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2</w:t>
      </w:r>
      <w:r>
        <w:fldChar w:fldCharType="end"/>
      </w:r>
      <w:r w:rsidRPr="00733E9A">
        <w:t xml:space="preserve">: </w:t>
      </w:r>
      <w:r>
        <w:t>Population Change 2016-2022 (Source: CSO)</w:t>
      </w:r>
      <w:bookmarkEnd w:id="64"/>
    </w:p>
    <w:tbl>
      <w:tblPr>
        <w:tblW w:w="5000" w:type="pct"/>
        <w:tblBorders>
          <w:insideH w:val="single" w:sz="4" w:space="0" w:color="auto"/>
        </w:tblBorders>
        <w:tblLook w:val="04A0" w:firstRow="1" w:lastRow="0" w:firstColumn="1" w:lastColumn="0" w:noHBand="0" w:noVBand="1"/>
      </w:tblPr>
      <w:tblGrid>
        <w:gridCol w:w="4990"/>
        <w:gridCol w:w="1091"/>
        <w:gridCol w:w="1091"/>
        <w:gridCol w:w="1091"/>
        <w:gridCol w:w="1091"/>
      </w:tblGrid>
      <w:tr w:rsidR="00AB03B9" w:rsidRPr="009F2EA5" w14:paraId="5AB26066" w14:textId="77777777" w:rsidTr="009F2EA5">
        <w:trPr>
          <w:trHeight w:val="300"/>
        </w:trPr>
        <w:tc>
          <w:tcPr>
            <w:tcW w:w="2668" w:type="pct"/>
            <w:tcBorders>
              <w:top w:val="nil"/>
              <w:bottom w:val="single" w:sz="4" w:space="0" w:color="008768" w:themeColor="accent1"/>
            </w:tcBorders>
            <w:vAlign w:val="center"/>
            <w:hideMark/>
          </w:tcPr>
          <w:p w14:paraId="0E337E1A" w14:textId="77777777" w:rsidR="00AB03B9" w:rsidRPr="009F2EA5" w:rsidRDefault="00AB03B9" w:rsidP="009F2EA5">
            <w:pPr>
              <w:tabs>
                <w:tab w:val="clear" w:pos="284"/>
              </w:tabs>
              <w:spacing w:line="240" w:lineRule="auto"/>
              <w:jc w:val="left"/>
              <w:rPr>
                <w:rFonts w:asciiTheme="majorHAnsi" w:eastAsia="Times New Roman" w:hAnsiTheme="majorHAnsi" w:cstheme="majorHAnsi"/>
                <w:b/>
                <w:bCs/>
                <w:color w:val="008768" w:themeColor="accent1"/>
                <w:kern w:val="0"/>
                <w:sz w:val="18"/>
                <w:lang w:val="en-IE" w:eastAsia="en-IE"/>
              </w:rPr>
            </w:pPr>
            <w:r w:rsidRPr="009F2EA5">
              <w:rPr>
                <w:rFonts w:asciiTheme="majorHAnsi" w:eastAsia="Times New Roman" w:hAnsiTheme="majorHAnsi" w:cstheme="majorHAnsi"/>
                <w:b/>
                <w:bCs/>
                <w:color w:val="008768" w:themeColor="accent1"/>
                <w:kern w:val="0"/>
                <w:sz w:val="18"/>
                <w:lang w:val="en-IE" w:eastAsia="en-IE"/>
              </w:rPr>
              <w:t>Housing Growth Requirement (No. of Dwellings Equivalent)</w:t>
            </w:r>
          </w:p>
        </w:tc>
        <w:tc>
          <w:tcPr>
            <w:tcW w:w="583" w:type="pct"/>
            <w:tcBorders>
              <w:top w:val="nil"/>
              <w:bottom w:val="single" w:sz="8" w:space="0" w:color="008768" w:themeColor="accent1"/>
            </w:tcBorders>
            <w:vAlign w:val="center"/>
            <w:hideMark/>
          </w:tcPr>
          <w:p w14:paraId="6879697C" w14:textId="77777777" w:rsidR="00AB03B9" w:rsidRPr="009F2EA5" w:rsidRDefault="00AB03B9" w:rsidP="009F2EA5">
            <w:pPr>
              <w:tabs>
                <w:tab w:val="clear" w:pos="284"/>
              </w:tabs>
              <w:spacing w:line="240" w:lineRule="auto"/>
              <w:jc w:val="left"/>
              <w:rPr>
                <w:rFonts w:asciiTheme="majorHAnsi" w:eastAsia="Times New Roman" w:hAnsiTheme="majorHAnsi" w:cstheme="majorHAnsi"/>
                <w:b/>
                <w:bCs/>
                <w:color w:val="008768" w:themeColor="accent1"/>
                <w:kern w:val="0"/>
                <w:sz w:val="18"/>
                <w:lang w:val="en-IE" w:eastAsia="en-IE"/>
              </w:rPr>
            </w:pPr>
            <w:r w:rsidRPr="009F2EA5">
              <w:rPr>
                <w:rFonts w:asciiTheme="majorHAnsi" w:eastAsia="Times New Roman" w:hAnsiTheme="majorHAnsi" w:cstheme="majorHAnsi"/>
                <w:b/>
                <w:bCs/>
                <w:color w:val="008768" w:themeColor="accent1"/>
                <w:kern w:val="0"/>
                <w:sz w:val="18"/>
                <w:lang w:val="en-IE" w:eastAsia="en-IE"/>
              </w:rPr>
              <w:t>2025–2028</w:t>
            </w:r>
          </w:p>
        </w:tc>
        <w:tc>
          <w:tcPr>
            <w:tcW w:w="583" w:type="pct"/>
            <w:tcBorders>
              <w:top w:val="nil"/>
              <w:bottom w:val="single" w:sz="8" w:space="0" w:color="008768" w:themeColor="accent1"/>
            </w:tcBorders>
            <w:vAlign w:val="center"/>
            <w:hideMark/>
          </w:tcPr>
          <w:p w14:paraId="14D0A32D" w14:textId="77777777" w:rsidR="00AB03B9" w:rsidRPr="009F2EA5" w:rsidRDefault="00AB03B9" w:rsidP="009F2EA5">
            <w:pPr>
              <w:tabs>
                <w:tab w:val="clear" w:pos="284"/>
              </w:tabs>
              <w:spacing w:line="240" w:lineRule="auto"/>
              <w:jc w:val="left"/>
              <w:rPr>
                <w:rFonts w:asciiTheme="majorHAnsi" w:eastAsia="Times New Roman" w:hAnsiTheme="majorHAnsi" w:cstheme="majorHAnsi"/>
                <w:b/>
                <w:bCs/>
                <w:color w:val="008768" w:themeColor="accent1"/>
                <w:kern w:val="0"/>
                <w:sz w:val="18"/>
                <w:lang w:val="en-IE" w:eastAsia="en-IE"/>
              </w:rPr>
            </w:pPr>
            <w:r w:rsidRPr="009F2EA5">
              <w:rPr>
                <w:rFonts w:asciiTheme="majorHAnsi" w:eastAsia="Times New Roman" w:hAnsiTheme="majorHAnsi" w:cstheme="majorHAnsi"/>
                <w:b/>
                <w:bCs/>
                <w:color w:val="008768" w:themeColor="accent1"/>
                <w:kern w:val="0"/>
                <w:sz w:val="18"/>
                <w:lang w:val="en-IE" w:eastAsia="en-IE"/>
              </w:rPr>
              <w:t>2029–2030</w:t>
            </w:r>
          </w:p>
        </w:tc>
        <w:tc>
          <w:tcPr>
            <w:tcW w:w="583" w:type="pct"/>
            <w:tcBorders>
              <w:top w:val="nil"/>
              <w:bottom w:val="single" w:sz="8" w:space="0" w:color="008768" w:themeColor="accent1"/>
            </w:tcBorders>
            <w:vAlign w:val="center"/>
            <w:hideMark/>
          </w:tcPr>
          <w:p w14:paraId="2310A2C2" w14:textId="77777777" w:rsidR="00AB03B9" w:rsidRPr="009F2EA5" w:rsidRDefault="00AB03B9" w:rsidP="009F2EA5">
            <w:pPr>
              <w:tabs>
                <w:tab w:val="clear" w:pos="284"/>
              </w:tabs>
              <w:spacing w:line="240" w:lineRule="auto"/>
              <w:jc w:val="left"/>
              <w:rPr>
                <w:rFonts w:asciiTheme="majorHAnsi" w:eastAsia="Times New Roman" w:hAnsiTheme="majorHAnsi" w:cstheme="majorHAnsi"/>
                <w:b/>
                <w:bCs/>
                <w:color w:val="008768" w:themeColor="accent1"/>
                <w:kern w:val="0"/>
                <w:sz w:val="18"/>
                <w:lang w:val="en-IE" w:eastAsia="en-IE"/>
              </w:rPr>
            </w:pPr>
            <w:r w:rsidRPr="009F2EA5">
              <w:rPr>
                <w:rFonts w:asciiTheme="majorHAnsi" w:eastAsia="Times New Roman" w:hAnsiTheme="majorHAnsi" w:cstheme="majorHAnsi"/>
                <w:b/>
                <w:bCs/>
                <w:color w:val="008768" w:themeColor="accent1"/>
                <w:kern w:val="0"/>
                <w:sz w:val="18"/>
                <w:lang w:val="en-IE" w:eastAsia="en-IE"/>
              </w:rPr>
              <w:t>2031–2034</w:t>
            </w:r>
          </w:p>
        </w:tc>
        <w:tc>
          <w:tcPr>
            <w:tcW w:w="583" w:type="pct"/>
            <w:tcBorders>
              <w:top w:val="nil"/>
              <w:bottom w:val="single" w:sz="8" w:space="0" w:color="008768" w:themeColor="accent1"/>
            </w:tcBorders>
            <w:vAlign w:val="center"/>
            <w:hideMark/>
          </w:tcPr>
          <w:p w14:paraId="5040A2CD" w14:textId="77777777" w:rsidR="00AB03B9" w:rsidRPr="009F2EA5" w:rsidRDefault="00AB03B9" w:rsidP="009F2EA5">
            <w:pPr>
              <w:tabs>
                <w:tab w:val="clear" w:pos="284"/>
              </w:tabs>
              <w:spacing w:line="240" w:lineRule="auto"/>
              <w:jc w:val="left"/>
              <w:rPr>
                <w:rFonts w:asciiTheme="majorHAnsi" w:eastAsia="Times New Roman" w:hAnsiTheme="majorHAnsi" w:cstheme="majorHAnsi"/>
                <w:b/>
                <w:bCs/>
                <w:color w:val="008768" w:themeColor="accent1"/>
                <w:kern w:val="0"/>
                <w:sz w:val="18"/>
                <w:lang w:val="en-IE" w:eastAsia="en-IE"/>
              </w:rPr>
            </w:pPr>
            <w:r w:rsidRPr="009F2EA5">
              <w:rPr>
                <w:rFonts w:asciiTheme="majorHAnsi" w:eastAsia="Times New Roman" w:hAnsiTheme="majorHAnsi" w:cstheme="majorHAnsi"/>
                <w:b/>
                <w:bCs/>
                <w:color w:val="008768" w:themeColor="accent1"/>
                <w:kern w:val="0"/>
                <w:sz w:val="18"/>
                <w:lang w:val="en-IE" w:eastAsia="en-IE"/>
              </w:rPr>
              <w:t>2035–2040</w:t>
            </w:r>
          </w:p>
        </w:tc>
      </w:tr>
      <w:tr w:rsidR="00AB03B9" w:rsidRPr="009F2EA5" w14:paraId="12ED4381" w14:textId="77777777" w:rsidTr="009F2EA5">
        <w:trPr>
          <w:trHeight w:val="300"/>
        </w:trPr>
        <w:tc>
          <w:tcPr>
            <w:tcW w:w="2668" w:type="pct"/>
            <w:tcBorders>
              <w:top w:val="single" w:sz="4" w:space="0" w:color="008768" w:themeColor="accent1"/>
            </w:tcBorders>
            <w:vAlign w:val="center"/>
            <w:hideMark/>
          </w:tcPr>
          <w:p w14:paraId="0828FF4D"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Annual Baseline Housing Growth Target</w:t>
            </w:r>
          </w:p>
        </w:tc>
        <w:tc>
          <w:tcPr>
            <w:tcW w:w="583" w:type="pct"/>
            <w:tcBorders>
              <w:top w:val="single" w:sz="8" w:space="0" w:color="008768" w:themeColor="accent1"/>
            </w:tcBorders>
            <w:vAlign w:val="center"/>
            <w:hideMark/>
          </w:tcPr>
          <w:p w14:paraId="27D6E313"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3,270</w:t>
            </w:r>
          </w:p>
        </w:tc>
        <w:tc>
          <w:tcPr>
            <w:tcW w:w="583" w:type="pct"/>
            <w:tcBorders>
              <w:top w:val="single" w:sz="8" w:space="0" w:color="008768" w:themeColor="accent1"/>
            </w:tcBorders>
            <w:vAlign w:val="center"/>
            <w:hideMark/>
          </w:tcPr>
          <w:p w14:paraId="79D208EB"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3,270</w:t>
            </w:r>
          </w:p>
        </w:tc>
        <w:tc>
          <w:tcPr>
            <w:tcW w:w="583" w:type="pct"/>
            <w:tcBorders>
              <w:top w:val="single" w:sz="8" w:space="0" w:color="008768" w:themeColor="accent1"/>
            </w:tcBorders>
            <w:vAlign w:val="center"/>
            <w:hideMark/>
          </w:tcPr>
          <w:p w14:paraId="09AD2858"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3,270</w:t>
            </w:r>
          </w:p>
        </w:tc>
        <w:tc>
          <w:tcPr>
            <w:tcW w:w="583" w:type="pct"/>
            <w:tcBorders>
              <w:top w:val="single" w:sz="8" w:space="0" w:color="008768" w:themeColor="accent1"/>
            </w:tcBorders>
            <w:vAlign w:val="center"/>
            <w:hideMark/>
          </w:tcPr>
          <w:p w14:paraId="52F16CF1"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2,414</w:t>
            </w:r>
          </w:p>
        </w:tc>
      </w:tr>
      <w:tr w:rsidR="00AB03B9" w:rsidRPr="009F2EA5" w14:paraId="001FAE39" w14:textId="77777777" w:rsidTr="009F2EA5">
        <w:trPr>
          <w:trHeight w:val="600"/>
        </w:trPr>
        <w:tc>
          <w:tcPr>
            <w:tcW w:w="2668" w:type="pct"/>
            <w:vAlign w:val="center"/>
            <w:hideMark/>
          </w:tcPr>
          <w:p w14:paraId="33435932"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Cumulative Baseline Housing Growth Target (less completed in Q1 and Q2 2025)</w:t>
            </w:r>
          </w:p>
        </w:tc>
        <w:tc>
          <w:tcPr>
            <w:tcW w:w="583" w:type="pct"/>
            <w:vAlign w:val="center"/>
            <w:hideMark/>
          </w:tcPr>
          <w:p w14:paraId="39C1A8E2"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11,699</w:t>
            </w:r>
          </w:p>
        </w:tc>
        <w:tc>
          <w:tcPr>
            <w:tcW w:w="583" w:type="pct"/>
            <w:vAlign w:val="center"/>
            <w:hideMark/>
          </w:tcPr>
          <w:p w14:paraId="5578B826"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18,239</w:t>
            </w:r>
          </w:p>
        </w:tc>
        <w:tc>
          <w:tcPr>
            <w:tcW w:w="583" w:type="pct"/>
            <w:vAlign w:val="center"/>
            <w:hideMark/>
          </w:tcPr>
          <w:p w14:paraId="133D5FAD"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31,319</w:t>
            </w:r>
          </w:p>
        </w:tc>
        <w:tc>
          <w:tcPr>
            <w:tcW w:w="583" w:type="pct"/>
            <w:vAlign w:val="center"/>
            <w:hideMark/>
          </w:tcPr>
          <w:p w14:paraId="348C2978"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45,803</w:t>
            </w:r>
          </w:p>
        </w:tc>
      </w:tr>
      <w:tr w:rsidR="00AB03B9" w:rsidRPr="009F2EA5" w14:paraId="61173AD7" w14:textId="77777777" w:rsidTr="00256FC2">
        <w:trPr>
          <w:trHeight w:val="600"/>
        </w:trPr>
        <w:tc>
          <w:tcPr>
            <w:tcW w:w="2668" w:type="pct"/>
            <w:tcBorders>
              <w:bottom w:val="single" w:sz="4" w:space="0" w:color="auto"/>
            </w:tcBorders>
            <w:vAlign w:val="center"/>
            <w:hideMark/>
          </w:tcPr>
          <w:p w14:paraId="5A6B7B13"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Maximum Additional Provision (50% above baseline requirement)</w:t>
            </w:r>
          </w:p>
        </w:tc>
        <w:tc>
          <w:tcPr>
            <w:tcW w:w="583" w:type="pct"/>
            <w:tcBorders>
              <w:bottom w:val="single" w:sz="4" w:space="0" w:color="auto"/>
            </w:tcBorders>
            <w:vAlign w:val="center"/>
            <w:hideMark/>
          </w:tcPr>
          <w:p w14:paraId="685D74D9"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5,850</w:t>
            </w:r>
          </w:p>
        </w:tc>
        <w:tc>
          <w:tcPr>
            <w:tcW w:w="583" w:type="pct"/>
            <w:tcBorders>
              <w:bottom w:val="single" w:sz="4" w:space="0" w:color="auto"/>
            </w:tcBorders>
            <w:vAlign w:val="center"/>
            <w:hideMark/>
          </w:tcPr>
          <w:p w14:paraId="6458951A"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9,120</w:t>
            </w:r>
          </w:p>
        </w:tc>
        <w:tc>
          <w:tcPr>
            <w:tcW w:w="583" w:type="pct"/>
            <w:tcBorders>
              <w:bottom w:val="single" w:sz="4" w:space="0" w:color="auto"/>
            </w:tcBorders>
            <w:vAlign w:val="center"/>
            <w:hideMark/>
          </w:tcPr>
          <w:p w14:paraId="355CF258"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15,660</w:t>
            </w:r>
          </w:p>
        </w:tc>
        <w:tc>
          <w:tcPr>
            <w:tcW w:w="583" w:type="pct"/>
            <w:tcBorders>
              <w:bottom w:val="single" w:sz="4" w:space="0" w:color="auto"/>
            </w:tcBorders>
            <w:vAlign w:val="center"/>
            <w:hideMark/>
          </w:tcPr>
          <w:p w14:paraId="49C9E306"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22,902</w:t>
            </w:r>
          </w:p>
        </w:tc>
      </w:tr>
      <w:tr w:rsidR="00AB03B9" w:rsidRPr="009F2EA5" w14:paraId="1A86BF9D" w14:textId="77777777" w:rsidTr="00256FC2">
        <w:trPr>
          <w:trHeight w:val="600"/>
        </w:trPr>
        <w:tc>
          <w:tcPr>
            <w:tcW w:w="2668" w:type="pct"/>
            <w:tcBorders>
              <w:top w:val="single" w:sz="4" w:space="0" w:color="auto"/>
              <w:bottom w:val="single" w:sz="8" w:space="0" w:color="000000" w:themeColor="text1"/>
            </w:tcBorders>
            <w:vAlign w:val="center"/>
            <w:hideMark/>
          </w:tcPr>
          <w:p w14:paraId="533925E4"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Maximum Housing Growth Requirement and Additional Provision</w:t>
            </w:r>
          </w:p>
        </w:tc>
        <w:tc>
          <w:tcPr>
            <w:tcW w:w="583" w:type="pct"/>
            <w:tcBorders>
              <w:top w:val="single" w:sz="4" w:space="0" w:color="auto"/>
              <w:bottom w:val="single" w:sz="8" w:space="0" w:color="000000" w:themeColor="text1"/>
            </w:tcBorders>
            <w:vAlign w:val="center"/>
            <w:hideMark/>
          </w:tcPr>
          <w:p w14:paraId="526F8939"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17,549</w:t>
            </w:r>
          </w:p>
        </w:tc>
        <w:tc>
          <w:tcPr>
            <w:tcW w:w="583" w:type="pct"/>
            <w:tcBorders>
              <w:top w:val="single" w:sz="4" w:space="0" w:color="auto"/>
              <w:bottom w:val="single" w:sz="8" w:space="0" w:color="000000" w:themeColor="text1"/>
            </w:tcBorders>
            <w:vAlign w:val="center"/>
            <w:hideMark/>
          </w:tcPr>
          <w:p w14:paraId="1BF0310B"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27,359</w:t>
            </w:r>
          </w:p>
        </w:tc>
        <w:tc>
          <w:tcPr>
            <w:tcW w:w="583" w:type="pct"/>
            <w:tcBorders>
              <w:top w:val="single" w:sz="4" w:space="0" w:color="auto"/>
              <w:bottom w:val="single" w:sz="8" w:space="0" w:color="000000" w:themeColor="text1"/>
            </w:tcBorders>
            <w:vAlign w:val="center"/>
            <w:hideMark/>
          </w:tcPr>
          <w:p w14:paraId="68962499"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46,979</w:t>
            </w:r>
          </w:p>
        </w:tc>
        <w:tc>
          <w:tcPr>
            <w:tcW w:w="583" w:type="pct"/>
            <w:tcBorders>
              <w:top w:val="single" w:sz="4" w:space="0" w:color="auto"/>
              <w:bottom w:val="single" w:sz="8" w:space="0" w:color="000000" w:themeColor="text1"/>
            </w:tcBorders>
            <w:vAlign w:val="center"/>
            <w:hideMark/>
          </w:tcPr>
          <w:p w14:paraId="6306E4DC" w14:textId="77777777" w:rsidR="00AB03B9" w:rsidRPr="009F2EA5" w:rsidRDefault="00AB03B9" w:rsidP="009F2EA5">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9F2EA5">
              <w:rPr>
                <w:rFonts w:asciiTheme="majorHAnsi" w:eastAsia="Times New Roman" w:hAnsiTheme="majorHAnsi" w:cstheme="majorHAnsi"/>
                <w:color w:val="000000"/>
                <w:kern w:val="0"/>
                <w:sz w:val="18"/>
                <w:lang w:val="en-IE" w:eastAsia="en-IE"/>
              </w:rPr>
              <w:t>68,705</w:t>
            </w:r>
          </w:p>
        </w:tc>
      </w:tr>
    </w:tbl>
    <w:p w14:paraId="2313F37B" w14:textId="77EDB5E6" w:rsidR="00256FC2" w:rsidRPr="00B32749" w:rsidRDefault="00B32749" w:rsidP="00E86AFA">
      <w:pPr>
        <w:pStyle w:val="BodyText"/>
        <w:rPr>
          <w:i/>
          <w:iCs/>
          <w:sz w:val="18"/>
        </w:rPr>
      </w:pPr>
      <w:r>
        <w:rPr>
          <w:i/>
          <w:iCs/>
          <w:sz w:val="18"/>
        </w:rPr>
        <w:t>Source: SDCCDP 2022-2028 Proposed Variation No.2</w:t>
      </w:r>
    </w:p>
    <w:p w14:paraId="51C8C78B" w14:textId="78C7C66B" w:rsidR="00905B42" w:rsidRDefault="00E86AFA" w:rsidP="00E86AFA">
      <w:pPr>
        <w:pStyle w:val="BodyText"/>
      </w:pPr>
      <w:r>
        <w:t>Having regard to the housing growth requirements set out in the Guidelines, along with the maximum allowable additional provision of 50%, the total housing growth requirement for South Dublin County increases to 17,549 dwellings for the period 2025–2028, 27,359 dwellings by 2030, 46,979 dwellings by 2034 and 68,705 dwellings by 2040. These figures demonstrate the significant scale of housing delivery required within the County over the lifetime of the revised National Planning Framework and further highlight the need to facilitate appropriately located residential development on lands identified for growth within the settlement hierarchy.</w:t>
      </w:r>
    </w:p>
    <w:p w14:paraId="4164E8B9" w14:textId="608112EA" w:rsidR="00BA6E62" w:rsidRDefault="00BA6E62" w:rsidP="00BA6E62">
      <w:pPr>
        <w:pStyle w:val="Heading4"/>
      </w:pPr>
      <w:r>
        <w:t>Settlement Capacity Audit</w:t>
      </w:r>
    </w:p>
    <w:p w14:paraId="793C4BAB" w14:textId="79969FBD" w:rsidR="001C0082" w:rsidRDefault="001C0082" w:rsidP="001C0082">
      <w:pPr>
        <w:pStyle w:val="BodyText"/>
      </w:pPr>
      <w:r>
        <w:t>SDCC undertook an updated Settlement Capacity Audit (SCA) in 2025. The purpose of the audit was to review the capacity of existing zoned lands to accommodate the revised housing growth requirements arising from the revised NPF. The SCA assessed all undeveloped and underdeveloped lands with residential or mixed-use development potential. Following completion of the updated audit, and excluding long-term strategic land reserves, the County was found to have a developable capacity of approximately 35,411 dwellings across 568 hectares of zoned land. This is an increase of 13,921 units and c.140.4ha since 2022.</w:t>
      </w:r>
    </w:p>
    <w:p w14:paraId="1029C08D" w14:textId="1FD657E7" w:rsidR="00BA6E62" w:rsidRDefault="001C0082" w:rsidP="001C0082">
      <w:pPr>
        <w:pStyle w:val="BodyText"/>
      </w:pPr>
      <w:r>
        <w:t xml:space="preserve">At a settlement level, the updated assessment indicates a modest reduction in the capacity identified for Rathcoole. The estimated residential capacity has decreased from 806 units under the adopted SDCCDP 2022–2028 to 711 units under proposed Variation No. 2. It is assumed that this is on the basis of units </w:t>
      </w:r>
      <w:r>
        <w:lastRenderedPageBreak/>
        <w:t xml:space="preserve">constructed. </w:t>
      </w:r>
      <w:r w:rsidR="00322F16">
        <w:t xml:space="preserve">Table 9.2 of the proposed Variation No.2 </w:t>
      </w:r>
      <w:r w:rsidR="00050B0F">
        <w:t xml:space="preserve">forecasts 119 units on 3.5ha to be delivered in Rathcoole prior to 2028. </w:t>
      </w:r>
      <w:r>
        <w:t>More broadly, the total capacity identified across the County's towns has reduced from 1,772 units to 1,702 units, while capacity within Dublin City and Suburbs has increased significantly (13,991 units), reflecting the increased emphasis on compact growth and consolidation within the existing built-up metropolitan area.</w:t>
      </w:r>
      <w:r w:rsidR="007F582E">
        <w:t xml:space="preserve"> </w:t>
      </w:r>
    </w:p>
    <w:p w14:paraId="2EB933D8" w14:textId="58E93C17" w:rsidR="0046543F" w:rsidRDefault="0046543F" w:rsidP="00CE7A87">
      <w:pPr>
        <w:pStyle w:val="Heading5"/>
      </w:pPr>
      <w:bookmarkStart w:id="65" w:name="_Toc233123413"/>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3</w:t>
      </w:r>
      <w:r>
        <w:fldChar w:fldCharType="end"/>
      </w:r>
      <w:r>
        <w:rPr>
          <w:noProof/>
        </w:rPr>
        <w:t xml:space="preserve">: Capacity of </w:t>
      </w:r>
      <w:r w:rsidR="00CE7A87">
        <w:rPr>
          <w:noProof/>
        </w:rPr>
        <w:t>Undeveloped Lands in Rathcoole 2022 and 2025</w:t>
      </w:r>
      <w:bookmarkEnd w:id="65"/>
    </w:p>
    <w:tbl>
      <w:tblPr>
        <w:tblW w:w="5000" w:type="pct"/>
        <w:tblBorders>
          <w:bottom w:val="single" w:sz="8" w:space="0" w:color="000000" w:themeColor="text1"/>
          <w:insideH w:val="single" w:sz="8" w:space="0" w:color="000000" w:themeColor="text1"/>
        </w:tblBorders>
        <w:tblLook w:val="04A0" w:firstRow="1" w:lastRow="0" w:firstColumn="1" w:lastColumn="0" w:noHBand="0" w:noVBand="1"/>
      </w:tblPr>
      <w:tblGrid>
        <w:gridCol w:w="1501"/>
        <w:gridCol w:w="1456"/>
        <w:gridCol w:w="1579"/>
        <w:gridCol w:w="1295"/>
        <w:gridCol w:w="1278"/>
        <w:gridCol w:w="1278"/>
        <w:gridCol w:w="967"/>
      </w:tblGrid>
      <w:tr w:rsidR="00F21211" w:rsidRPr="00F21211" w14:paraId="404EA390" w14:textId="77777777" w:rsidTr="00CE7A87">
        <w:trPr>
          <w:trHeight w:val="900"/>
        </w:trPr>
        <w:tc>
          <w:tcPr>
            <w:tcW w:w="803" w:type="pct"/>
            <w:tcBorders>
              <w:top w:val="nil"/>
              <w:bottom w:val="single" w:sz="8" w:space="0" w:color="008768" w:themeColor="accent1"/>
            </w:tcBorders>
            <w:vAlign w:val="center"/>
            <w:hideMark/>
          </w:tcPr>
          <w:p w14:paraId="1DB84D84" w14:textId="77777777" w:rsidR="00F21211" w:rsidRPr="0046543F" w:rsidRDefault="00F21211" w:rsidP="00F21211">
            <w:pPr>
              <w:tabs>
                <w:tab w:val="clear" w:pos="284"/>
              </w:tabs>
              <w:spacing w:line="240" w:lineRule="auto"/>
              <w:jc w:val="center"/>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Settlement</w:t>
            </w:r>
          </w:p>
        </w:tc>
        <w:tc>
          <w:tcPr>
            <w:tcW w:w="779" w:type="pct"/>
            <w:tcBorders>
              <w:top w:val="nil"/>
              <w:bottom w:val="single" w:sz="8" w:space="0" w:color="008768" w:themeColor="accent1"/>
            </w:tcBorders>
            <w:vAlign w:val="center"/>
            <w:hideMark/>
          </w:tcPr>
          <w:p w14:paraId="4282824A"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Developable Greenfield (ha)</w:t>
            </w:r>
          </w:p>
        </w:tc>
        <w:tc>
          <w:tcPr>
            <w:tcW w:w="844" w:type="pct"/>
            <w:tcBorders>
              <w:top w:val="nil"/>
              <w:bottom w:val="single" w:sz="8" w:space="0" w:color="008768" w:themeColor="accent1"/>
            </w:tcBorders>
            <w:vAlign w:val="center"/>
            <w:hideMark/>
          </w:tcPr>
          <w:p w14:paraId="23CD39B6"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Developable Brownfield (ha)</w:t>
            </w:r>
          </w:p>
        </w:tc>
        <w:tc>
          <w:tcPr>
            <w:tcW w:w="692" w:type="pct"/>
            <w:tcBorders>
              <w:top w:val="nil"/>
              <w:bottom w:val="single" w:sz="8" w:space="0" w:color="008768" w:themeColor="accent1"/>
            </w:tcBorders>
            <w:vAlign w:val="center"/>
            <w:hideMark/>
          </w:tcPr>
          <w:p w14:paraId="132BB304"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Total Capacity (ha)</w:t>
            </w:r>
          </w:p>
        </w:tc>
        <w:tc>
          <w:tcPr>
            <w:tcW w:w="683" w:type="pct"/>
            <w:tcBorders>
              <w:top w:val="nil"/>
              <w:bottom w:val="single" w:sz="8" w:space="0" w:color="008768" w:themeColor="accent1"/>
            </w:tcBorders>
            <w:vAlign w:val="center"/>
            <w:hideMark/>
          </w:tcPr>
          <w:p w14:paraId="0E7F6744"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Developable Greenfield (units)</w:t>
            </w:r>
          </w:p>
        </w:tc>
        <w:tc>
          <w:tcPr>
            <w:tcW w:w="683" w:type="pct"/>
            <w:tcBorders>
              <w:top w:val="nil"/>
              <w:bottom w:val="single" w:sz="8" w:space="0" w:color="008768" w:themeColor="accent1"/>
            </w:tcBorders>
            <w:vAlign w:val="center"/>
            <w:hideMark/>
          </w:tcPr>
          <w:p w14:paraId="48A941C4"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Developable Brownfield (units)</w:t>
            </w:r>
          </w:p>
        </w:tc>
        <w:tc>
          <w:tcPr>
            <w:tcW w:w="517" w:type="pct"/>
            <w:tcBorders>
              <w:top w:val="nil"/>
              <w:bottom w:val="single" w:sz="8" w:space="0" w:color="008768" w:themeColor="accent1"/>
            </w:tcBorders>
            <w:vAlign w:val="center"/>
            <w:hideMark/>
          </w:tcPr>
          <w:p w14:paraId="204CE089"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8768" w:themeColor="accent1"/>
                <w:kern w:val="0"/>
                <w:sz w:val="18"/>
                <w:lang w:val="en-IE" w:eastAsia="en-IE"/>
              </w:rPr>
            </w:pPr>
            <w:r w:rsidRPr="0046543F">
              <w:rPr>
                <w:rFonts w:asciiTheme="majorHAnsi" w:eastAsia="Times New Roman" w:hAnsiTheme="majorHAnsi" w:cstheme="majorHAnsi"/>
                <w:b/>
                <w:bCs/>
                <w:color w:val="008768" w:themeColor="accent1"/>
                <w:kern w:val="0"/>
                <w:sz w:val="18"/>
                <w:lang w:val="en-IE" w:eastAsia="en-IE"/>
              </w:rPr>
              <w:t>Total Capacity (Units)</w:t>
            </w:r>
          </w:p>
        </w:tc>
      </w:tr>
      <w:tr w:rsidR="00F21211" w:rsidRPr="00F21211" w14:paraId="5CA6329A" w14:textId="77777777" w:rsidTr="00CE7A87">
        <w:trPr>
          <w:trHeight w:val="900"/>
        </w:trPr>
        <w:tc>
          <w:tcPr>
            <w:tcW w:w="803" w:type="pct"/>
            <w:tcBorders>
              <w:top w:val="single" w:sz="8" w:space="0" w:color="008768" w:themeColor="accent1"/>
            </w:tcBorders>
            <w:vAlign w:val="center"/>
            <w:hideMark/>
          </w:tcPr>
          <w:p w14:paraId="23E5A335" w14:textId="77777777" w:rsidR="00F21211" w:rsidRPr="00F21211" w:rsidRDefault="00F21211" w:rsidP="00F21211">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Rathcoole (SDCC Development Plan 2022–2028)</w:t>
            </w:r>
          </w:p>
        </w:tc>
        <w:tc>
          <w:tcPr>
            <w:tcW w:w="779" w:type="pct"/>
            <w:tcBorders>
              <w:top w:val="single" w:sz="8" w:space="0" w:color="008768" w:themeColor="accent1"/>
            </w:tcBorders>
            <w:vAlign w:val="center"/>
            <w:hideMark/>
          </w:tcPr>
          <w:p w14:paraId="3BB2DE34"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21.22</w:t>
            </w:r>
          </w:p>
        </w:tc>
        <w:tc>
          <w:tcPr>
            <w:tcW w:w="844" w:type="pct"/>
            <w:tcBorders>
              <w:top w:val="single" w:sz="8" w:space="0" w:color="008768" w:themeColor="accent1"/>
            </w:tcBorders>
            <w:vAlign w:val="center"/>
            <w:hideMark/>
          </w:tcPr>
          <w:p w14:paraId="58034256"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1.13</w:t>
            </w:r>
          </w:p>
        </w:tc>
        <w:tc>
          <w:tcPr>
            <w:tcW w:w="692" w:type="pct"/>
            <w:tcBorders>
              <w:top w:val="single" w:sz="8" w:space="0" w:color="008768" w:themeColor="accent1"/>
            </w:tcBorders>
            <w:vAlign w:val="center"/>
            <w:hideMark/>
          </w:tcPr>
          <w:p w14:paraId="1014C818"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24.29</w:t>
            </w:r>
          </w:p>
        </w:tc>
        <w:tc>
          <w:tcPr>
            <w:tcW w:w="683" w:type="pct"/>
            <w:tcBorders>
              <w:top w:val="single" w:sz="8" w:space="0" w:color="008768" w:themeColor="accent1"/>
            </w:tcBorders>
            <w:vAlign w:val="center"/>
            <w:hideMark/>
          </w:tcPr>
          <w:p w14:paraId="084CF4F3"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699</w:t>
            </w:r>
          </w:p>
        </w:tc>
        <w:tc>
          <w:tcPr>
            <w:tcW w:w="683" w:type="pct"/>
            <w:tcBorders>
              <w:top w:val="single" w:sz="8" w:space="0" w:color="008768" w:themeColor="accent1"/>
            </w:tcBorders>
            <w:vAlign w:val="center"/>
            <w:hideMark/>
          </w:tcPr>
          <w:p w14:paraId="0B5DB28C"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107</w:t>
            </w:r>
          </w:p>
        </w:tc>
        <w:tc>
          <w:tcPr>
            <w:tcW w:w="517" w:type="pct"/>
            <w:tcBorders>
              <w:top w:val="single" w:sz="8" w:space="0" w:color="008768" w:themeColor="accent1"/>
            </w:tcBorders>
            <w:vAlign w:val="center"/>
            <w:hideMark/>
          </w:tcPr>
          <w:p w14:paraId="2497550A"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806</w:t>
            </w:r>
          </w:p>
        </w:tc>
      </w:tr>
      <w:tr w:rsidR="00F21211" w:rsidRPr="00F21211" w14:paraId="70E261BF" w14:textId="77777777" w:rsidTr="00CE7A87">
        <w:trPr>
          <w:trHeight w:val="600"/>
        </w:trPr>
        <w:tc>
          <w:tcPr>
            <w:tcW w:w="803" w:type="pct"/>
            <w:vAlign w:val="center"/>
            <w:hideMark/>
          </w:tcPr>
          <w:p w14:paraId="6EF03335" w14:textId="77777777" w:rsidR="00F21211" w:rsidRPr="00F21211" w:rsidRDefault="00F21211" w:rsidP="00F21211">
            <w:pPr>
              <w:tabs>
                <w:tab w:val="clear" w:pos="284"/>
              </w:tabs>
              <w:spacing w:line="240" w:lineRule="auto"/>
              <w:jc w:val="lef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Rathcoole (Proposed Variation No. 2)</w:t>
            </w:r>
          </w:p>
        </w:tc>
        <w:tc>
          <w:tcPr>
            <w:tcW w:w="779" w:type="pct"/>
            <w:vAlign w:val="center"/>
            <w:hideMark/>
          </w:tcPr>
          <w:p w14:paraId="0FE95C5D"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17.8</w:t>
            </w:r>
          </w:p>
        </w:tc>
        <w:tc>
          <w:tcPr>
            <w:tcW w:w="844" w:type="pct"/>
            <w:vAlign w:val="center"/>
            <w:hideMark/>
          </w:tcPr>
          <w:p w14:paraId="068902AD"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3.2</w:t>
            </w:r>
          </w:p>
        </w:tc>
        <w:tc>
          <w:tcPr>
            <w:tcW w:w="692" w:type="pct"/>
            <w:vAlign w:val="center"/>
            <w:hideMark/>
          </w:tcPr>
          <w:p w14:paraId="513864BD"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21</w:t>
            </w:r>
          </w:p>
        </w:tc>
        <w:tc>
          <w:tcPr>
            <w:tcW w:w="683" w:type="pct"/>
            <w:vAlign w:val="center"/>
            <w:hideMark/>
          </w:tcPr>
          <w:p w14:paraId="7B7D81D8"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579</w:t>
            </w:r>
          </w:p>
        </w:tc>
        <w:tc>
          <w:tcPr>
            <w:tcW w:w="683" w:type="pct"/>
            <w:vAlign w:val="center"/>
            <w:hideMark/>
          </w:tcPr>
          <w:p w14:paraId="18EB3DD9"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132</w:t>
            </w:r>
          </w:p>
        </w:tc>
        <w:tc>
          <w:tcPr>
            <w:tcW w:w="517" w:type="pct"/>
            <w:vAlign w:val="center"/>
            <w:hideMark/>
          </w:tcPr>
          <w:p w14:paraId="13B06369" w14:textId="77777777" w:rsidR="00F21211" w:rsidRPr="00F21211" w:rsidRDefault="00F21211" w:rsidP="00F21211">
            <w:pPr>
              <w:tabs>
                <w:tab w:val="clear" w:pos="284"/>
              </w:tabs>
              <w:spacing w:line="240" w:lineRule="auto"/>
              <w:jc w:val="right"/>
              <w:rPr>
                <w:rFonts w:asciiTheme="majorHAnsi" w:eastAsia="Times New Roman" w:hAnsiTheme="majorHAnsi" w:cstheme="majorHAnsi"/>
                <w:color w:val="000000"/>
                <w:kern w:val="0"/>
                <w:sz w:val="18"/>
                <w:lang w:val="en-IE" w:eastAsia="en-IE"/>
              </w:rPr>
            </w:pPr>
            <w:r w:rsidRPr="00F21211">
              <w:rPr>
                <w:rFonts w:asciiTheme="majorHAnsi" w:eastAsia="Times New Roman" w:hAnsiTheme="majorHAnsi" w:cstheme="majorHAnsi"/>
                <w:color w:val="000000"/>
                <w:kern w:val="0"/>
                <w:sz w:val="18"/>
                <w:lang w:val="en-IE" w:eastAsia="en-IE"/>
              </w:rPr>
              <w:t>711</w:t>
            </w:r>
          </w:p>
        </w:tc>
      </w:tr>
      <w:tr w:rsidR="00F21211" w:rsidRPr="0046543F" w14:paraId="2CC8DDB8" w14:textId="77777777" w:rsidTr="00CE7A87">
        <w:trPr>
          <w:trHeight w:val="600"/>
        </w:trPr>
        <w:tc>
          <w:tcPr>
            <w:tcW w:w="803" w:type="pct"/>
            <w:vAlign w:val="center"/>
            <w:hideMark/>
          </w:tcPr>
          <w:p w14:paraId="37CCDBD7" w14:textId="77777777" w:rsidR="00F21211" w:rsidRPr="00F21211" w:rsidRDefault="00F21211" w:rsidP="00F21211">
            <w:pPr>
              <w:tabs>
                <w:tab w:val="clear" w:pos="284"/>
              </w:tabs>
              <w:spacing w:line="240" w:lineRule="auto"/>
              <w:jc w:val="left"/>
              <w:rPr>
                <w:rFonts w:asciiTheme="majorHAnsi" w:eastAsia="Times New Roman" w:hAnsiTheme="majorHAnsi" w:cstheme="majorHAnsi"/>
                <w:b/>
                <w:bCs/>
                <w:color w:val="000000"/>
                <w:kern w:val="0"/>
                <w:sz w:val="18"/>
                <w:lang w:val="en-IE" w:eastAsia="en-IE"/>
              </w:rPr>
            </w:pPr>
            <w:r w:rsidRPr="00F21211">
              <w:rPr>
                <w:rFonts w:asciiTheme="majorHAnsi" w:eastAsia="Times New Roman" w:hAnsiTheme="majorHAnsi" w:cstheme="majorHAnsi"/>
                <w:b/>
                <w:bCs/>
                <w:color w:val="000000"/>
                <w:kern w:val="0"/>
                <w:sz w:val="18"/>
                <w:lang w:val="en-IE" w:eastAsia="en-IE"/>
              </w:rPr>
              <w:t>Change</w:t>
            </w:r>
          </w:p>
        </w:tc>
        <w:tc>
          <w:tcPr>
            <w:tcW w:w="779" w:type="pct"/>
            <w:vAlign w:val="center"/>
            <w:hideMark/>
          </w:tcPr>
          <w:p w14:paraId="491A9FE5" w14:textId="77777777" w:rsidR="00F21211" w:rsidRPr="00F21211" w:rsidRDefault="00F21211" w:rsidP="00F21211">
            <w:pPr>
              <w:tabs>
                <w:tab w:val="clear" w:pos="284"/>
              </w:tabs>
              <w:spacing w:line="240" w:lineRule="auto"/>
              <w:jc w:val="right"/>
              <w:rPr>
                <w:rFonts w:asciiTheme="majorHAnsi" w:eastAsia="Times New Roman" w:hAnsiTheme="majorHAnsi" w:cstheme="majorHAnsi"/>
                <w:b/>
                <w:bCs/>
                <w:color w:val="000000"/>
                <w:kern w:val="0"/>
                <w:sz w:val="18"/>
                <w:lang w:val="en-IE" w:eastAsia="en-IE"/>
              </w:rPr>
            </w:pPr>
            <w:r w:rsidRPr="00F21211">
              <w:rPr>
                <w:rFonts w:asciiTheme="majorHAnsi" w:eastAsia="Times New Roman" w:hAnsiTheme="majorHAnsi" w:cstheme="majorHAnsi"/>
                <w:b/>
                <w:bCs/>
                <w:color w:val="000000"/>
                <w:kern w:val="0"/>
                <w:sz w:val="18"/>
                <w:lang w:val="en-IE" w:eastAsia="en-IE"/>
              </w:rPr>
              <w:t>-3.42</w:t>
            </w:r>
          </w:p>
        </w:tc>
        <w:tc>
          <w:tcPr>
            <w:tcW w:w="844" w:type="pct"/>
            <w:vAlign w:val="center"/>
            <w:hideMark/>
          </w:tcPr>
          <w:p w14:paraId="1D74F766" w14:textId="77777777" w:rsidR="00F21211" w:rsidRPr="00F21211" w:rsidRDefault="00F21211" w:rsidP="00F21211">
            <w:pPr>
              <w:tabs>
                <w:tab w:val="clear" w:pos="284"/>
              </w:tabs>
              <w:spacing w:line="240" w:lineRule="auto"/>
              <w:jc w:val="right"/>
              <w:rPr>
                <w:rFonts w:asciiTheme="majorHAnsi" w:eastAsia="Times New Roman" w:hAnsiTheme="majorHAnsi" w:cstheme="majorHAnsi"/>
                <w:b/>
                <w:bCs/>
                <w:color w:val="000000"/>
                <w:kern w:val="0"/>
                <w:sz w:val="18"/>
                <w:lang w:val="en-IE" w:eastAsia="en-IE"/>
              </w:rPr>
            </w:pPr>
            <w:r w:rsidRPr="00F21211">
              <w:rPr>
                <w:rFonts w:asciiTheme="majorHAnsi" w:eastAsia="Times New Roman" w:hAnsiTheme="majorHAnsi" w:cstheme="majorHAnsi"/>
                <w:b/>
                <w:bCs/>
                <w:color w:val="000000"/>
                <w:kern w:val="0"/>
                <w:sz w:val="18"/>
                <w:lang w:val="en-IE" w:eastAsia="en-IE"/>
              </w:rPr>
              <w:t>2.07</w:t>
            </w:r>
          </w:p>
        </w:tc>
        <w:tc>
          <w:tcPr>
            <w:tcW w:w="692" w:type="pct"/>
            <w:vAlign w:val="center"/>
            <w:hideMark/>
          </w:tcPr>
          <w:p w14:paraId="2B43CA6A" w14:textId="77777777" w:rsidR="00F21211" w:rsidRPr="00F21211" w:rsidRDefault="00F21211" w:rsidP="00F21211">
            <w:pPr>
              <w:tabs>
                <w:tab w:val="clear" w:pos="284"/>
              </w:tabs>
              <w:spacing w:line="240" w:lineRule="auto"/>
              <w:jc w:val="right"/>
              <w:rPr>
                <w:rFonts w:asciiTheme="majorHAnsi" w:eastAsia="Times New Roman" w:hAnsiTheme="majorHAnsi" w:cstheme="majorHAnsi"/>
                <w:b/>
                <w:bCs/>
                <w:color w:val="000000"/>
                <w:kern w:val="0"/>
                <w:sz w:val="18"/>
                <w:lang w:val="en-IE" w:eastAsia="en-IE"/>
              </w:rPr>
            </w:pPr>
            <w:r w:rsidRPr="00F21211">
              <w:rPr>
                <w:rFonts w:asciiTheme="majorHAnsi" w:eastAsia="Times New Roman" w:hAnsiTheme="majorHAnsi" w:cstheme="majorHAnsi"/>
                <w:b/>
                <w:bCs/>
                <w:color w:val="000000"/>
                <w:kern w:val="0"/>
                <w:sz w:val="18"/>
                <w:lang w:val="en-IE" w:eastAsia="en-IE"/>
              </w:rPr>
              <w:t>-3.29</w:t>
            </w:r>
          </w:p>
        </w:tc>
        <w:tc>
          <w:tcPr>
            <w:tcW w:w="683" w:type="pct"/>
            <w:vAlign w:val="center"/>
            <w:hideMark/>
          </w:tcPr>
          <w:p w14:paraId="62B90D7C" w14:textId="77777777" w:rsidR="00F21211" w:rsidRPr="00F21211" w:rsidRDefault="00F21211" w:rsidP="00F21211">
            <w:pPr>
              <w:tabs>
                <w:tab w:val="clear" w:pos="284"/>
              </w:tabs>
              <w:spacing w:line="240" w:lineRule="auto"/>
              <w:jc w:val="right"/>
              <w:rPr>
                <w:rFonts w:asciiTheme="majorHAnsi" w:eastAsia="Times New Roman" w:hAnsiTheme="majorHAnsi" w:cstheme="majorHAnsi"/>
                <w:b/>
                <w:bCs/>
                <w:color w:val="000000"/>
                <w:kern w:val="0"/>
                <w:sz w:val="18"/>
                <w:lang w:val="en-IE" w:eastAsia="en-IE"/>
              </w:rPr>
            </w:pPr>
            <w:r w:rsidRPr="00F21211">
              <w:rPr>
                <w:rFonts w:asciiTheme="majorHAnsi" w:eastAsia="Times New Roman" w:hAnsiTheme="majorHAnsi" w:cstheme="majorHAnsi"/>
                <w:b/>
                <w:bCs/>
                <w:color w:val="000000"/>
                <w:kern w:val="0"/>
                <w:sz w:val="18"/>
                <w:lang w:val="en-IE" w:eastAsia="en-IE"/>
              </w:rPr>
              <w:t>-120</w:t>
            </w:r>
          </w:p>
        </w:tc>
        <w:tc>
          <w:tcPr>
            <w:tcW w:w="683" w:type="pct"/>
            <w:vAlign w:val="center"/>
            <w:hideMark/>
          </w:tcPr>
          <w:p w14:paraId="70474B19"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0000"/>
                <w:kern w:val="0"/>
                <w:sz w:val="18"/>
                <w:lang w:val="en-IE" w:eastAsia="en-IE"/>
              </w:rPr>
            </w:pPr>
            <w:r w:rsidRPr="0046543F">
              <w:rPr>
                <w:rFonts w:asciiTheme="majorHAnsi" w:eastAsia="Times New Roman" w:hAnsiTheme="majorHAnsi" w:cstheme="majorHAnsi"/>
                <w:b/>
                <w:bCs/>
                <w:color w:val="000000"/>
                <w:kern w:val="0"/>
                <w:sz w:val="18"/>
                <w:lang w:val="en-IE" w:eastAsia="en-IE"/>
              </w:rPr>
              <w:t>25</w:t>
            </w:r>
          </w:p>
        </w:tc>
        <w:tc>
          <w:tcPr>
            <w:tcW w:w="517" w:type="pct"/>
            <w:vAlign w:val="center"/>
            <w:hideMark/>
          </w:tcPr>
          <w:p w14:paraId="7A19045A" w14:textId="77777777" w:rsidR="00F21211" w:rsidRPr="0046543F" w:rsidRDefault="00F21211" w:rsidP="00F21211">
            <w:pPr>
              <w:tabs>
                <w:tab w:val="clear" w:pos="284"/>
              </w:tabs>
              <w:spacing w:line="240" w:lineRule="auto"/>
              <w:jc w:val="right"/>
              <w:rPr>
                <w:rFonts w:asciiTheme="majorHAnsi" w:eastAsia="Times New Roman" w:hAnsiTheme="majorHAnsi" w:cstheme="majorHAnsi"/>
                <w:b/>
                <w:bCs/>
                <w:color w:val="000000"/>
                <w:kern w:val="0"/>
                <w:sz w:val="18"/>
                <w:lang w:val="en-IE" w:eastAsia="en-IE"/>
              </w:rPr>
            </w:pPr>
            <w:r w:rsidRPr="0046543F">
              <w:rPr>
                <w:rFonts w:asciiTheme="majorHAnsi" w:eastAsia="Times New Roman" w:hAnsiTheme="majorHAnsi" w:cstheme="majorHAnsi"/>
                <w:b/>
                <w:bCs/>
                <w:color w:val="000000"/>
                <w:kern w:val="0"/>
                <w:sz w:val="18"/>
                <w:lang w:val="en-IE" w:eastAsia="en-IE"/>
              </w:rPr>
              <w:t>-95</w:t>
            </w:r>
          </w:p>
        </w:tc>
      </w:tr>
    </w:tbl>
    <w:p w14:paraId="33E3C675" w14:textId="6A8E6092" w:rsidR="00CE7A87" w:rsidRDefault="00CE7A87" w:rsidP="00CE7A87">
      <w:pPr>
        <w:pStyle w:val="BodyText"/>
        <w:rPr>
          <w:i/>
          <w:iCs/>
          <w:sz w:val="18"/>
        </w:rPr>
      </w:pPr>
      <w:r>
        <w:rPr>
          <w:i/>
          <w:iCs/>
          <w:sz w:val="18"/>
        </w:rPr>
        <w:t>Source: SDCCDP 2022-2028 and Proposed Variation No.2</w:t>
      </w:r>
    </w:p>
    <w:p w14:paraId="03804D04" w14:textId="7B016E2E" w:rsidR="004862BD" w:rsidRDefault="004862BD" w:rsidP="004862BD">
      <w:pPr>
        <w:pStyle w:val="BodyText"/>
      </w:pPr>
      <w:r>
        <w:t>Overall, a shortfall of c.2,000 dwellings to meet the revised zoning growth requirements to 2028 was identifies and the zoning of additional lands required.</w:t>
      </w:r>
      <w:r w:rsidR="0045356C">
        <w:t xml:space="preserve"> 2ha of additional lands and 69 additional units have been proposed for Rathcoole</w:t>
      </w:r>
      <w:r w:rsidR="00EF1061">
        <w:t xml:space="preserve"> under Variation No.2</w:t>
      </w:r>
      <w:r w:rsidR="00F41CCB">
        <w:t xml:space="preserve"> resulting in a total of 18</w:t>
      </w:r>
      <w:r w:rsidR="00E8402D">
        <w:t>8 potential units to 2028 identified in the Core Strategy</w:t>
      </w:r>
      <w:r w:rsidR="0045356C">
        <w:t>.</w:t>
      </w:r>
    </w:p>
    <w:p w14:paraId="387227E5" w14:textId="4C472D31" w:rsidR="004E09E4" w:rsidRDefault="00E56BF3" w:rsidP="004E09E4">
      <w:pPr>
        <w:pStyle w:val="Heading4"/>
      </w:pPr>
      <w:r>
        <w:t>Economic Activities and Employment</w:t>
      </w:r>
    </w:p>
    <w:p w14:paraId="7EA3147F" w14:textId="434F6261" w:rsidR="0026315A" w:rsidRDefault="00E56BF3" w:rsidP="00E56BF3">
      <w:r w:rsidRPr="00C23D58">
        <w:t xml:space="preserve">In </w:t>
      </w:r>
      <w:r>
        <w:t>Rathcoole</w:t>
      </w:r>
      <w:r w:rsidRPr="00C23D58">
        <w:t xml:space="preserve"> the working population (1</w:t>
      </w:r>
      <w:r w:rsidR="006A7B50">
        <w:t>9</w:t>
      </w:r>
      <w:r w:rsidRPr="00C23D58">
        <w:t xml:space="preserve">-64 years) accounts for </w:t>
      </w:r>
      <w:r w:rsidR="006A7B50">
        <w:t>55</w:t>
      </w:r>
      <w:r w:rsidRPr="00C23D58">
        <w:t xml:space="preserve">% of the total population. This </w:t>
      </w:r>
      <w:r w:rsidR="006A7B50">
        <w:t>is slightly below the county average</w:t>
      </w:r>
      <w:r w:rsidRPr="00C23D58">
        <w:t xml:space="preserve"> as a whole at </w:t>
      </w:r>
      <w:r w:rsidR="006A7B50">
        <w:t>59</w:t>
      </w:r>
      <w:r w:rsidRPr="00C23D58">
        <w:t xml:space="preserve">%. </w:t>
      </w:r>
      <w:r w:rsidR="001D6CF4">
        <w:t xml:space="preserve">The total population at work in Rathcoole town is 2,854 persons across </w:t>
      </w:r>
      <w:r w:rsidR="002E0CAD">
        <w:t>a range of occupatio</w:t>
      </w:r>
      <w:r w:rsidR="002E0CAD" w:rsidRPr="001A1887">
        <w:t>ns (see</w:t>
      </w:r>
      <w:r w:rsidR="001A1887" w:rsidRPr="001A1887">
        <w:t xml:space="preserve"> </w:t>
      </w:r>
      <w:r w:rsidR="001A1887" w:rsidRPr="001A1887">
        <w:fldChar w:fldCharType="begin"/>
      </w:r>
      <w:r w:rsidR="001A1887" w:rsidRPr="001A1887">
        <w:instrText xml:space="preserve"> REF _Ref233123157 \h </w:instrText>
      </w:r>
      <w:r w:rsidR="001A1887">
        <w:instrText xml:space="preserve"> \* MERGEFORMAT </w:instrText>
      </w:r>
      <w:r w:rsidR="001A1887" w:rsidRPr="001A1887">
        <w:fldChar w:fldCharType="separate"/>
      </w:r>
      <w:r w:rsidR="00946CE0" w:rsidRPr="00733E9A">
        <w:t xml:space="preserve">Plate </w:t>
      </w:r>
      <w:r w:rsidR="00946CE0">
        <w:rPr>
          <w:noProof/>
        </w:rPr>
        <w:t>5</w:t>
      </w:r>
      <w:r w:rsidR="00946CE0" w:rsidRPr="00733E9A">
        <w:rPr>
          <w:noProof/>
        </w:rPr>
        <w:noBreakHyphen/>
      </w:r>
      <w:r w:rsidR="00946CE0">
        <w:rPr>
          <w:noProof/>
        </w:rPr>
        <w:t>4</w:t>
      </w:r>
      <w:r w:rsidR="001A1887" w:rsidRPr="001A1887">
        <w:fldChar w:fldCharType="end"/>
      </w:r>
      <w:r w:rsidR="002E0CAD" w:rsidRPr="001A1887">
        <w:t>). ‘</w:t>
      </w:r>
      <w:r w:rsidR="002E0CAD">
        <w:t xml:space="preserve">Professional Occupations’ comprise the largest portion of the workforce </w:t>
      </w:r>
      <w:r w:rsidR="00CD0C41">
        <w:t>22%.</w:t>
      </w:r>
      <w:r w:rsidR="00B56D1C">
        <w:t xml:space="preserve"> ‘</w:t>
      </w:r>
      <w:r w:rsidR="00B56D1C" w:rsidRPr="00B56D1C">
        <w:t>Associate Professional and Technical Occupations</w:t>
      </w:r>
      <w:r w:rsidR="00B56D1C">
        <w:t>’ and ‘</w:t>
      </w:r>
      <w:r w:rsidR="00B56D1C" w:rsidRPr="00B56D1C">
        <w:t>Administrative and Secretarial Occupations</w:t>
      </w:r>
      <w:r w:rsidR="00B56D1C">
        <w:t xml:space="preserve">’ </w:t>
      </w:r>
      <w:r w:rsidR="008F4BB3">
        <w:t xml:space="preserve">comprise a further </w:t>
      </w:r>
      <w:r w:rsidR="009D5ECE">
        <w:t>25% of the workforce.</w:t>
      </w:r>
    </w:p>
    <w:p w14:paraId="6B2DAFD6" w14:textId="77777777" w:rsidR="0026315A" w:rsidRDefault="0026315A" w:rsidP="00E56BF3"/>
    <w:p w14:paraId="5663C91F" w14:textId="2CD4942A" w:rsidR="00E56BF3" w:rsidRDefault="0026315A" w:rsidP="00E56BF3">
      <w:r>
        <w:rPr>
          <w:noProof/>
        </w:rPr>
        <w:drawing>
          <wp:inline distT="0" distB="0" distL="0" distR="0" wp14:anchorId="7244E413" wp14:editId="283AF3AC">
            <wp:extent cx="5753819" cy="2976113"/>
            <wp:effectExtent l="0" t="0" r="18415" b="15240"/>
            <wp:docPr id="1804976941" name="Chart 1">
              <a:extLst xmlns:a="http://schemas.openxmlformats.org/drawingml/2006/main">
                <a:ext uri="{FF2B5EF4-FFF2-40B4-BE49-F238E27FC236}">
                  <a16:creationId xmlns:a16="http://schemas.microsoft.com/office/drawing/2014/main" id="{785DBBF4-AB89-77BF-2183-A59D7AD402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B56D1C">
        <w:t xml:space="preserve"> </w:t>
      </w:r>
      <w:r w:rsidR="001D6CF4">
        <w:t xml:space="preserve"> </w:t>
      </w:r>
    </w:p>
    <w:p w14:paraId="1B1C1FB5" w14:textId="77777777" w:rsidR="006A7B50" w:rsidRDefault="006A7B50" w:rsidP="00E56BF3"/>
    <w:p w14:paraId="2AD49F4E" w14:textId="433A273B" w:rsidR="00F229D8" w:rsidRDefault="00F229D8" w:rsidP="00E56BF3">
      <w:pPr>
        <w:pStyle w:val="Heading5"/>
      </w:pPr>
      <w:bookmarkStart w:id="66" w:name="_Ref233123157"/>
      <w:bookmarkStart w:id="67" w:name="_Toc233123407"/>
      <w:r w:rsidRPr="00733E9A">
        <w:t xml:space="preserve">Plate </w:t>
      </w:r>
      <w:r>
        <w:fldChar w:fldCharType="begin"/>
      </w:r>
      <w:r>
        <w:instrText>STYLEREF 1 \s</w:instrText>
      </w:r>
      <w:r>
        <w:fldChar w:fldCharType="separate"/>
      </w:r>
      <w:r w:rsidR="00946CE0">
        <w:rPr>
          <w:noProof/>
        </w:rPr>
        <w:t>5</w:t>
      </w:r>
      <w:r>
        <w:fldChar w:fldCharType="end"/>
      </w:r>
      <w:r w:rsidRPr="00733E9A">
        <w:noBreakHyphen/>
      </w:r>
      <w:r>
        <w:fldChar w:fldCharType="begin"/>
      </w:r>
      <w:r>
        <w:instrText>SEQ Figure \* ARABIC \s 1</w:instrText>
      </w:r>
      <w:r>
        <w:fldChar w:fldCharType="separate"/>
      </w:r>
      <w:r w:rsidR="00946CE0">
        <w:rPr>
          <w:noProof/>
        </w:rPr>
        <w:t>4</w:t>
      </w:r>
      <w:r>
        <w:fldChar w:fldCharType="end"/>
      </w:r>
      <w:bookmarkEnd w:id="66"/>
      <w:r w:rsidRPr="00733E9A">
        <w:t>:</w:t>
      </w:r>
      <w:r>
        <w:t xml:space="preserve"> Occupations of Persons at Work in Rathcoole Town (Source: CSO)</w:t>
      </w:r>
      <w:bookmarkEnd w:id="67"/>
    </w:p>
    <w:p w14:paraId="505F45B9" w14:textId="20424EC5" w:rsidR="005F0A9D" w:rsidRDefault="005F0A9D" w:rsidP="00E56BF3">
      <w:r>
        <w:t>Of the resident workforce,</w:t>
      </w:r>
      <w:r w:rsidR="001872D2">
        <w:t xml:space="preserve"> c. 72% travel to work by public transportation or private vehicle.</w:t>
      </w:r>
      <w:r w:rsidR="001872D2">
        <w:rPr>
          <w:rStyle w:val="FootnoteReference"/>
        </w:rPr>
        <w:footnoteReference w:id="2"/>
      </w:r>
      <w:r w:rsidR="007E613F">
        <w:t xml:space="preserve"> It is likely that this segment of the workforce are travelling outside of Rathcoole Town for work, which is a general trend </w:t>
      </w:r>
      <w:r w:rsidR="007E613F">
        <w:lastRenderedPageBreak/>
        <w:t xml:space="preserve">for </w:t>
      </w:r>
      <w:r w:rsidR="008F257D">
        <w:t>towns within the greater Dublin Metropolitan Area.</w:t>
      </w:r>
      <w:r w:rsidR="00D271AE">
        <w:t xml:space="preserve"> Of the remainder</w:t>
      </w:r>
      <w:r w:rsidR="007F459E">
        <w:t xml:space="preserve">, 19.5% travel to work by foot, bicycle or work from home while </w:t>
      </w:r>
      <w:r w:rsidR="00967914">
        <w:t>c.7.5% work from home.</w:t>
      </w:r>
    </w:p>
    <w:p w14:paraId="311F9B0B" w14:textId="77777777" w:rsidR="00717AD3" w:rsidRDefault="00717AD3" w:rsidP="00E56BF3"/>
    <w:p w14:paraId="4E4B2587" w14:textId="77777777" w:rsidR="001817F9" w:rsidRDefault="00717AD3" w:rsidP="001817F9">
      <w:r>
        <w:t>NPO 2</w:t>
      </w:r>
      <w:r w:rsidR="0010315A">
        <w:t xml:space="preserve">0 of the 2025 NPF supports development which </w:t>
      </w:r>
      <w:r w:rsidR="00DE6D11">
        <w:t>supports the local economy, leading to the creation of new local businesses on foot of a growing population.</w:t>
      </w:r>
      <w:r w:rsidR="001817F9">
        <w:t xml:space="preserve"> </w:t>
      </w:r>
    </w:p>
    <w:p w14:paraId="7F98FE34" w14:textId="77777777" w:rsidR="001817F9" w:rsidRDefault="001817F9" w:rsidP="001817F9"/>
    <w:p w14:paraId="436267D7" w14:textId="2F4D0E03" w:rsidR="001817F9" w:rsidRPr="001817F9" w:rsidRDefault="001817F9" w:rsidP="002C45DC">
      <w:pPr>
        <w:ind w:left="284"/>
        <w:rPr>
          <w:i/>
          <w:iCs/>
          <w:lang w:val="en-IE"/>
        </w:rPr>
      </w:pPr>
      <w:r w:rsidRPr="001817F9">
        <w:rPr>
          <w:i/>
          <w:iCs/>
          <w:lang w:val="en-IE"/>
        </w:rPr>
        <w:t>“In meeting urban development requirements, there will be a presumption in favour of development that can encourage more people and generate more jobs and activity within existing  cities,  towns  and  villages,  subject  to  development  meeting  appropriate  planning standards and achieving targeted growth.”</w:t>
      </w:r>
    </w:p>
    <w:p w14:paraId="112DEB77" w14:textId="77777777" w:rsidR="002C45DC" w:rsidRDefault="002C45DC" w:rsidP="00E56BF3"/>
    <w:p w14:paraId="33EB56CF" w14:textId="384D8682" w:rsidR="00B30E3B" w:rsidRDefault="00E56BF3" w:rsidP="00E56BF3">
      <w:r>
        <w:t xml:space="preserve">The </w:t>
      </w:r>
      <w:r w:rsidR="007C2368">
        <w:t>SDCCDP 2022-2028</w:t>
      </w:r>
      <w:r w:rsidR="000B0F4B">
        <w:t xml:space="preserve"> identifies Rathcoole Town as </w:t>
      </w:r>
      <w:r w:rsidR="001D22AC">
        <w:t>a village with a unique character which offers a diverse range of professional and retail services.</w:t>
      </w:r>
      <w:r w:rsidR="00A6605E">
        <w:t xml:space="preserve"> Rathcoole is situated Level 4 within the retail hierarchy.</w:t>
      </w:r>
      <w:r w:rsidR="001D22AC">
        <w:t xml:space="preserve"> </w:t>
      </w:r>
      <w:r w:rsidR="00B30E3B">
        <w:t>It is stated that</w:t>
      </w:r>
      <w:r w:rsidR="00313DF2">
        <w:t>:</w:t>
      </w:r>
    </w:p>
    <w:p w14:paraId="2003711E" w14:textId="77777777" w:rsidR="00313DF2" w:rsidRDefault="00313DF2" w:rsidP="00E56BF3"/>
    <w:p w14:paraId="7B8B2ED9" w14:textId="7EB0FEA7" w:rsidR="00313DF2" w:rsidRPr="00313DF2" w:rsidRDefault="00313DF2" w:rsidP="00313DF2">
      <w:pPr>
        <w:ind w:left="284"/>
        <w:rPr>
          <w:i/>
          <w:iCs/>
        </w:rPr>
      </w:pPr>
      <w:r>
        <w:rPr>
          <w:i/>
          <w:iCs/>
        </w:rPr>
        <w:t>‘</w:t>
      </w:r>
      <w:r w:rsidRPr="00313DF2">
        <w:rPr>
          <w:i/>
          <w:iCs/>
        </w:rPr>
        <w:t>The jobs to residents ratio in 2016 was 0.44314 which indicates a net-outflow commuter settlement dependent on outlying areas for jobs. However</w:t>
      </w:r>
      <w:r w:rsidR="00A6605E">
        <w:rPr>
          <w:i/>
          <w:iCs/>
        </w:rPr>
        <w:t xml:space="preserve"> […]</w:t>
      </w:r>
      <w:r w:rsidRPr="00313DF2">
        <w:rPr>
          <w:i/>
          <w:iCs/>
        </w:rPr>
        <w:t xml:space="preserve"> there is a substantial employment base in close proximity to Rathcoole within industrial lands to the north at Greenogue and Baldonnell in addition to the Citywest Business Campus to the east.</w:t>
      </w:r>
      <w:r>
        <w:rPr>
          <w:i/>
          <w:iCs/>
        </w:rPr>
        <w:t>’</w:t>
      </w:r>
    </w:p>
    <w:p w14:paraId="4F83AC25" w14:textId="77777777" w:rsidR="00B30E3B" w:rsidRDefault="00B30E3B" w:rsidP="00E56BF3"/>
    <w:p w14:paraId="5C32829C" w14:textId="5FD3E916" w:rsidR="007C2368" w:rsidRDefault="00A6605E" w:rsidP="00E56BF3">
      <w:r>
        <w:t xml:space="preserve">The town </w:t>
      </w:r>
      <w:r w:rsidR="001D22AC">
        <w:t>resides adjacent</w:t>
      </w:r>
      <w:r w:rsidR="00607C23">
        <w:t xml:space="preserve"> </w:t>
      </w:r>
      <w:r w:rsidR="002E26C2">
        <w:t>t</w:t>
      </w:r>
      <w:r w:rsidR="00607C23" w:rsidRPr="00607C23">
        <w:t xml:space="preserve">he Greenogue and Aerodrome Business Parks </w:t>
      </w:r>
      <w:r w:rsidR="001D22AC">
        <w:t>which serve</w:t>
      </w:r>
      <w:r w:rsidR="00607C23" w:rsidRPr="00607C23">
        <w:t xml:space="preserve"> </w:t>
      </w:r>
      <w:r w:rsidR="00607C23">
        <w:t>as</w:t>
      </w:r>
      <w:r w:rsidR="00607C23" w:rsidRPr="00607C23">
        <w:t xml:space="preserve"> large industrial campuses comprising a mix of largely warehousing and manufacturing facilities</w:t>
      </w:r>
      <w:r w:rsidR="001D22AC">
        <w:t>. These</w:t>
      </w:r>
      <w:r w:rsidR="00607C23">
        <w:t xml:space="preserve"> </w:t>
      </w:r>
      <w:r w:rsidR="000B0F4B">
        <w:t xml:space="preserve">provide </w:t>
      </w:r>
      <w:r w:rsidR="00607C23" w:rsidRPr="00607C23">
        <w:t>potential for new jobs or any displacement of jobs from the Naas Road or Tallaght REGEN lands over the coming years</w:t>
      </w:r>
      <w:r w:rsidR="000B0F4B">
        <w:t>.</w:t>
      </w:r>
    </w:p>
    <w:p w14:paraId="0413AEFF" w14:textId="2CE2F2D6" w:rsidR="00255F89" w:rsidRDefault="00213816" w:rsidP="00213816">
      <w:pPr>
        <w:pStyle w:val="Heading4"/>
      </w:pPr>
      <w:r>
        <w:t>Health Demographics</w:t>
      </w:r>
    </w:p>
    <w:p w14:paraId="57598E29" w14:textId="3DF1366E" w:rsidR="00FD7133" w:rsidRDefault="007C1047" w:rsidP="00FD7133">
      <w:r>
        <w:t>54.8</w:t>
      </w:r>
      <w:r w:rsidR="00FD7133" w:rsidRPr="00BB7D64">
        <w:t xml:space="preserve">% of the population in </w:t>
      </w:r>
      <w:r>
        <w:t>Rathcoole</w:t>
      </w:r>
      <w:r w:rsidR="00FD7133">
        <w:t xml:space="preserve"> </w:t>
      </w:r>
      <w:r>
        <w:t>Town</w:t>
      </w:r>
      <w:r w:rsidR="00FD7133" w:rsidRPr="00BB7D64">
        <w:t xml:space="preserve"> reported themselves to be in </w:t>
      </w:r>
      <w:r w:rsidR="00136BEA">
        <w:t xml:space="preserve">very </w:t>
      </w:r>
      <w:r w:rsidR="00FD7133" w:rsidRPr="00BB7D64">
        <w:t xml:space="preserve">good health </w:t>
      </w:r>
      <w:r w:rsidR="00136BEA">
        <w:t xml:space="preserve">and 28.7 in good health </w:t>
      </w:r>
      <w:r w:rsidR="00FD7133" w:rsidRPr="00BB7D64">
        <w:t>according to the 20</w:t>
      </w:r>
      <w:r>
        <w:t>22</w:t>
      </w:r>
      <w:r w:rsidR="00FD7133" w:rsidRPr="00BB7D64">
        <w:t xml:space="preserve"> census, whilst conversely </w:t>
      </w:r>
      <w:r w:rsidR="00B60251">
        <w:t>1</w:t>
      </w:r>
      <w:r w:rsidR="00FD7133" w:rsidRPr="00BB7D64">
        <w:t xml:space="preserve">.2% reported themselves to be in bad </w:t>
      </w:r>
      <w:r w:rsidR="00B60251">
        <w:t xml:space="preserve">or very bad </w:t>
      </w:r>
      <w:r w:rsidR="00FD7133" w:rsidRPr="00BB7D64">
        <w:t xml:space="preserve">health. This </w:t>
      </w:r>
      <w:r w:rsidR="00942DEA">
        <w:t xml:space="preserve">is in line with the </w:t>
      </w:r>
      <w:r w:rsidR="00FD7133" w:rsidRPr="00BB7D64">
        <w:t xml:space="preserve">County wide figure of </w:t>
      </w:r>
      <w:r w:rsidR="00DC0402">
        <w:t>83</w:t>
      </w:r>
      <w:r w:rsidR="00FD7133" w:rsidRPr="00BB7D64">
        <w:t xml:space="preserve">% in </w:t>
      </w:r>
      <w:r w:rsidR="00942DEA">
        <w:t xml:space="preserve">very good </w:t>
      </w:r>
      <w:r w:rsidR="005848E2">
        <w:t>a</w:t>
      </w:r>
      <w:r w:rsidR="00942DEA">
        <w:t xml:space="preserve">nd </w:t>
      </w:r>
      <w:r w:rsidR="00FD7133" w:rsidRPr="00BB7D64">
        <w:t xml:space="preserve">good health and </w:t>
      </w:r>
      <w:r w:rsidR="005848E2">
        <w:t>1.8</w:t>
      </w:r>
      <w:r w:rsidR="00FD7133" w:rsidRPr="00BB7D64">
        <w:t xml:space="preserve">% in bad </w:t>
      </w:r>
      <w:r w:rsidR="005848E2">
        <w:t xml:space="preserve">or very bad </w:t>
      </w:r>
      <w:r w:rsidR="00FD7133" w:rsidRPr="00BB7D64">
        <w:t xml:space="preserve">health. A breakdown of the findings for general health in the study area is illustrated in </w:t>
      </w:r>
    </w:p>
    <w:p w14:paraId="0FFEC428" w14:textId="77777777" w:rsidR="00213816" w:rsidRPr="00213816" w:rsidRDefault="00213816" w:rsidP="00213816">
      <w:pPr>
        <w:pStyle w:val="BodyText"/>
      </w:pPr>
    </w:p>
    <w:p w14:paraId="68BF7310" w14:textId="77777777" w:rsidR="0049120E" w:rsidRDefault="00213816" w:rsidP="008F2C96">
      <w:pPr>
        <w:pStyle w:val="BodyText"/>
      </w:pPr>
      <w:r>
        <w:rPr>
          <w:noProof/>
        </w:rPr>
        <w:drawing>
          <wp:inline distT="0" distB="0" distL="0" distR="0" wp14:anchorId="5FB5F605" wp14:editId="51151527">
            <wp:extent cx="5543550" cy="3209925"/>
            <wp:effectExtent l="0" t="0" r="0" b="9525"/>
            <wp:docPr id="965470348" name="Chart 1">
              <a:extLst xmlns:a="http://schemas.openxmlformats.org/drawingml/2006/main">
                <a:ext uri="{FF2B5EF4-FFF2-40B4-BE49-F238E27FC236}">
                  <a16:creationId xmlns:a16="http://schemas.microsoft.com/office/drawing/2014/main" id="{C681A159-CCDE-BFC6-B7C9-18396A4373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0AD3D06" w14:textId="4B9C67A0" w:rsidR="00E56BF3" w:rsidRDefault="005848E2" w:rsidP="008F2C96">
      <w:pPr>
        <w:pStyle w:val="BodyText"/>
        <w:rPr>
          <w:rStyle w:val="CaptionChar"/>
        </w:rPr>
      </w:pPr>
      <w:bookmarkStart w:id="68" w:name="_Toc233123408"/>
      <w:r w:rsidRPr="0049120E">
        <w:rPr>
          <w:rStyle w:val="PlatesChar"/>
        </w:rPr>
        <w:t>Plate</w:t>
      </w:r>
      <w:r w:rsidRPr="00733E9A">
        <w:t xml:space="preserve"> </w:t>
      </w:r>
      <w:r w:rsidRPr="008F2C96">
        <w:rPr>
          <w:rStyle w:val="CaptionChar"/>
        </w:rPr>
        <w:fldChar w:fldCharType="begin"/>
      </w:r>
      <w:r w:rsidRPr="008F2C96">
        <w:rPr>
          <w:rStyle w:val="CaptionChar"/>
        </w:rPr>
        <w:instrText xml:space="preserve"> STYLEREF 1 \s </w:instrText>
      </w:r>
      <w:r w:rsidRPr="008F2C96">
        <w:rPr>
          <w:rStyle w:val="CaptionChar"/>
        </w:rPr>
        <w:fldChar w:fldCharType="separate"/>
      </w:r>
      <w:r w:rsidR="00946CE0">
        <w:rPr>
          <w:rStyle w:val="CaptionChar"/>
          <w:noProof/>
        </w:rPr>
        <w:t>5</w:t>
      </w:r>
      <w:r w:rsidRPr="008F2C96">
        <w:rPr>
          <w:rStyle w:val="CaptionChar"/>
        </w:rPr>
        <w:fldChar w:fldCharType="end"/>
      </w:r>
      <w:r w:rsidRPr="008F2C96">
        <w:rPr>
          <w:rStyle w:val="CaptionChar"/>
        </w:rPr>
        <w:noBreakHyphen/>
      </w:r>
      <w:r w:rsidRPr="008F2C96">
        <w:rPr>
          <w:rStyle w:val="CaptionChar"/>
        </w:rPr>
        <w:fldChar w:fldCharType="begin"/>
      </w:r>
      <w:r w:rsidRPr="008F2C96">
        <w:rPr>
          <w:rStyle w:val="CaptionChar"/>
        </w:rPr>
        <w:instrText xml:space="preserve"> SEQ Figure \* ARABIC \s 1 </w:instrText>
      </w:r>
      <w:r w:rsidRPr="008F2C96">
        <w:rPr>
          <w:rStyle w:val="CaptionChar"/>
        </w:rPr>
        <w:fldChar w:fldCharType="separate"/>
      </w:r>
      <w:r w:rsidR="00946CE0">
        <w:rPr>
          <w:rStyle w:val="CaptionChar"/>
          <w:noProof/>
        </w:rPr>
        <w:t>5</w:t>
      </w:r>
      <w:r w:rsidRPr="008F2C96">
        <w:rPr>
          <w:rStyle w:val="CaptionChar"/>
        </w:rPr>
        <w:fldChar w:fldCharType="end"/>
      </w:r>
      <w:r w:rsidRPr="008F2C96">
        <w:rPr>
          <w:rStyle w:val="CaptionChar"/>
        </w:rPr>
        <w:t xml:space="preserve">: Population </w:t>
      </w:r>
      <w:r w:rsidR="00DB13A5">
        <w:rPr>
          <w:rStyle w:val="CaptionChar"/>
        </w:rPr>
        <w:t>H</w:t>
      </w:r>
      <w:r w:rsidRPr="008F2C96">
        <w:rPr>
          <w:rStyle w:val="CaptionChar"/>
        </w:rPr>
        <w:t>ealth Status Rathcoole Town (Source: CSO)</w:t>
      </w:r>
      <w:bookmarkEnd w:id="68"/>
    </w:p>
    <w:p w14:paraId="06CDAFA2" w14:textId="49694BB1" w:rsidR="008F2C96" w:rsidRDefault="008F2C96" w:rsidP="00117B56">
      <w:pPr>
        <w:pStyle w:val="Heading2"/>
      </w:pPr>
      <w:bookmarkStart w:id="69" w:name="_Toc233122766"/>
      <w:r>
        <w:lastRenderedPageBreak/>
        <w:t xml:space="preserve">Baseline </w:t>
      </w:r>
      <w:r w:rsidR="00117B56">
        <w:t>Environment</w:t>
      </w:r>
      <w:bookmarkEnd w:id="69"/>
    </w:p>
    <w:p w14:paraId="7B9049B0" w14:textId="5D2C3A83" w:rsidR="008F2C96" w:rsidRDefault="008F2C96" w:rsidP="00DE123B">
      <w:pPr>
        <w:pStyle w:val="Heading3"/>
      </w:pPr>
      <w:bookmarkStart w:id="70" w:name="_Toc233122767"/>
      <w:r>
        <w:t>Social Infrastructure</w:t>
      </w:r>
      <w:bookmarkEnd w:id="70"/>
    </w:p>
    <w:p w14:paraId="2F1DAD10" w14:textId="511024A9" w:rsidR="00767F19" w:rsidRDefault="00767F19" w:rsidP="00767F19">
      <w:r w:rsidRPr="006D21C2">
        <w:t xml:space="preserve">This section presents the findings of an audit of community infrastructure situated within </w:t>
      </w:r>
      <w:r w:rsidR="008B35A1">
        <w:t>2</w:t>
      </w:r>
      <w:r w:rsidR="00293875">
        <w:t>.5</w:t>
      </w:r>
      <w:r w:rsidRPr="006D21C2">
        <w:t>km of the subject site</w:t>
      </w:r>
      <w:r w:rsidR="008B35A1">
        <w:t>, which is equivalent to the western boundary of Rathcoole Town</w:t>
      </w:r>
      <w:r w:rsidRPr="006D21C2">
        <w:t>. Community infrastructure includes a wide range of services and facilities that contribute to quality of life. The purpose of reviewing current provision of community infrastructure is to ascertain the likely future need for facilities and services in the area.</w:t>
      </w:r>
      <w:r w:rsidR="00302616">
        <w:t xml:space="preserve"> </w:t>
      </w:r>
      <w:r>
        <w:t xml:space="preserve">MacCabe Durney Barnes undertook an </w:t>
      </w:r>
      <w:r w:rsidRPr="006D21C2">
        <w:t xml:space="preserve">audit </w:t>
      </w:r>
      <w:r>
        <w:t>of</w:t>
      </w:r>
      <w:r w:rsidRPr="006D21C2">
        <w:t xml:space="preserve"> existing social and community infrastructure in the vicinity of the site</w:t>
      </w:r>
      <w:r>
        <w:t xml:space="preserve"> (February and </w:t>
      </w:r>
      <w:r w:rsidR="00302616">
        <w:t>June 2026</w:t>
      </w:r>
      <w:r>
        <w:t>).</w:t>
      </w:r>
    </w:p>
    <w:p w14:paraId="2CABD036" w14:textId="77777777" w:rsidR="00302616" w:rsidRDefault="00302616" w:rsidP="00767F19"/>
    <w:p w14:paraId="7F3A1429" w14:textId="035F807D" w:rsidR="003417E2" w:rsidRDefault="00767F19" w:rsidP="00767F19">
      <w:r>
        <w:t xml:space="preserve">National Policy Objective </w:t>
      </w:r>
      <w:r w:rsidR="00B96C70">
        <w:t>4</w:t>
      </w:r>
      <w:r>
        <w:t xml:space="preserve">3 seeks to </w:t>
      </w:r>
      <w:r w:rsidRPr="000D4F12">
        <w:rPr>
          <w:i/>
          <w:iCs/>
        </w:rPr>
        <w:t>“prioritise the provision of new homes at locations that can support sustainable development and at an appropriate scale of provision relative to location”</w:t>
      </w:r>
      <w:r>
        <w:t xml:space="preserve">. The National Planning Framework </w:t>
      </w:r>
      <w:r w:rsidR="002D704C">
        <w:t xml:space="preserve">2025 </w:t>
      </w:r>
      <w:r>
        <w:t xml:space="preserve">outlines the broad national objectives for residential development in the State. </w:t>
      </w:r>
      <w:r w:rsidR="0049120E">
        <w:t>NPO</w:t>
      </w:r>
      <w:r w:rsidR="009C76C9">
        <w:t xml:space="preserve"> 41 regarding the delivery of childcare and schools</w:t>
      </w:r>
      <w:r w:rsidR="009A411E">
        <w:t xml:space="preserve"> is also addressed in this section.</w:t>
      </w:r>
    </w:p>
    <w:p w14:paraId="1FB5C3B0" w14:textId="77777777" w:rsidR="003417E2" w:rsidRDefault="003417E2" w:rsidP="00767F19"/>
    <w:p w14:paraId="3E3FEE5B" w14:textId="1B4A631C" w:rsidR="008F2C96" w:rsidRDefault="00767F19" w:rsidP="00344831">
      <w:r>
        <w:t>Th</w:t>
      </w:r>
      <w:r w:rsidR="00344831">
        <w:t>ese</w:t>
      </w:r>
      <w:r>
        <w:t xml:space="preserve"> high-level objective</w:t>
      </w:r>
      <w:r w:rsidR="00344831">
        <w:t>s</w:t>
      </w:r>
      <w:r>
        <w:t xml:space="preserve"> </w:t>
      </w:r>
      <w:r w:rsidR="00344831">
        <w:t>are</w:t>
      </w:r>
      <w:r>
        <w:t xml:space="preserve"> </w:t>
      </w:r>
      <w:r w:rsidR="00E12451">
        <w:t xml:space="preserve">and will be </w:t>
      </w:r>
      <w:r>
        <w:t>filtered downwards to be integrated into the RSES for the Eastern and Midland Region</w:t>
      </w:r>
      <w:r w:rsidR="00E12451">
        <w:t>, which is currently under review</w:t>
      </w:r>
      <w:r>
        <w:t>.</w:t>
      </w:r>
      <w:r w:rsidR="00106769">
        <w:t xml:space="preserve"> </w:t>
      </w:r>
      <w:r>
        <w:t xml:space="preserve">The Regional and Economic Spatial Strategy 2019-2031 (RSES) prepared for the Eastern &amp; Midland Regional Assembly (EMRA) seeks to support the implementation of Project Ireland 2040 and the economic policies and objectives of the Government by providing a long-term strategic planning and economic framework for the development of the region. RPO 9.13, states </w:t>
      </w:r>
      <w:r w:rsidRPr="003B497D">
        <w:rPr>
          <w:i/>
          <w:iCs/>
        </w:rPr>
        <w:t>“to ensure that new social infrastructure facilities are accessible and inclusive for a range of users”</w:t>
      </w:r>
      <w:r>
        <w:t xml:space="preserve"> is a regional policy objective (RPO) within the RSES which supports the provision of, and access to social infrastructure in a town setting. </w:t>
      </w:r>
    </w:p>
    <w:p w14:paraId="56F558E6" w14:textId="77777777" w:rsidR="00344831" w:rsidRDefault="00344831" w:rsidP="00344831"/>
    <w:p w14:paraId="5BA564AF" w14:textId="3A0EF922" w:rsidR="003A03B9" w:rsidRDefault="002C69BC" w:rsidP="008F2C96">
      <w:pPr>
        <w:pStyle w:val="BodyText"/>
      </w:pPr>
      <w:r>
        <w:t xml:space="preserve">The SDCCDP 2022-2028 states that a Social Infrastructure Audit is required </w:t>
      </w:r>
      <w:r w:rsidR="00E77BAF">
        <w:t>for developments of 50 or more residential units</w:t>
      </w:r>
      <w:r w:rsidR="000556E5">
        <w:t>.</w:t>
      </w:r>
      <w:r w:rsidR="00711C68">
        <w:t xml:space="preserve"> CS3 Objective 6 additionally aims to </w:t>
      </w:r>
      <w:r w:rsidR="00B53FE4">
        <w:t>‘</w:t>
      </w:r>
      <w:r w:rsidR="00711C68" w:rsidRPr="00B53FE4">
        <w:rPr>
          <w:i/>
          <w:iCs/>
        </w:rPr>
        <w:t>ensure the phased development of new housing areas</w:t>
      </w:r>
      <w:r w:rsidR="00B53FE4" w:rsidRPr="00B53FE4">
        <w:rPr>
          <w:i/>
          <w:iCs/>
        </w:rPr>
        <w:t xml:space="preserve"> in tandem with the delivery of physical and social infrastructure provision’</w:t>
      </w:r>
      <w:r w:rsidR="006F6E88">
        <w:rPr>
          <w:i/>
          <w:iCs/>
        </w:rPr>
        <w:t xml:space="preserve"> </w:t>
      </w:r>
      <w:r w:rsidR="006F6E88">
        <w:t xml:space="preserve">while </w:t>
      </w:r>
      <w:r w:rsidR="00816D85">
        <w:t>CS10 Objective 4</w:t>
      </w:r>
      <w:r w:rsidR="003343E8">
        <w:t>relates specifically to Rathcoole Town and requires the facilitation of residential development in a coordinated manner ‘</w:t>
      </w:r>
      <w:r w:rsidR="003343E8" w:rsidRPr="003343E8">
        <w:rPr>
          <w:i/>
          <w:iCs/>
        </w:rPr>
        <w:t>ensuring alignment with investment infrastructure and supporting amenities and services</w:t>
      </w:r>
      <w:r w:rsidR="003343E8">
        <w:t xml:space="preserve">’ and </w:t>
      </w:r>
      <w:r w:rsidR="006F6E88">
        <w:t xml:space="preserve">CS10 Objective 3 </w:t>
      </w:r>
      <w:r w:rsidR="003343E8">
        <w:t xml:space="preserve">further </w:t>
      </w:r>
      <w:r w:rsidR="003966E5">
        <w:t>requires development in Rathcoole</w:t>
      </w:r>
    </w:p>
    <w:p w14:paraId="2E502C41" w14:textId="5D33661B" w:rsidR="00C86544" w:rsidRDefault="00C86544" w:rsidP="00C86544">
      <w:pPr>
        <w:pStyle w:val="BodyText"/>
        <w:ind w:left="720"/>
        <w:rPr>
          <w:i/>
          <w:iCs/>
        </w:rPr>
      </w:pPr>
      <w:r w:rsidRPr="00C86544">
        <w:rPr>
          <w:i/>
          <w:iCs/>
        </w:rPr>
        <w:t>‘To proactively support and promote the highest levels of services, social infrastructure, facilities, retail and economic activity to meet the needs of current and future growth in line with the scale and function of Rathcoole within the settlement hierarchy.’</w:t>
      </w:r>
    </w:p>
    <w:p w14:paraId="6E569F60" w14:textId="22C8B58A" w:rsidR="00E24738" w:rsidRDefault="00C0531F" w:rsidP="00E24738">
      <w:pPr>
        <w:pStyle w:val="BodyText"/>
      </w:pPr>
      <w:r>
        <w:t>S10 SLO 1</w:t>
      </w:r>
      <w:r w:rsidR="003966E5">
        <w:t xml:space="preserve"> applies</w:t>
      </w:r>
      <w:r w:rsidR="008E07DE">
        <w:t xml:space="preserve"> to </w:t>
      </w:r>
      <w:r w:rsidR="003824E2">
        <w:t>the landbank on which the site is located:</w:t>
      </w:r>
    </w:p>
    <w:p w14:paraId="4EDF12F1" w14:textId="134121C6" w:rsidR="003824E2" w:rsidRDefault="003824E2" w:rsidP="003824E2">
      <w:pPr>
        <w:pStyle w:val="BodyText"/>
        <w:ind w:left="720"/>
        <w:rPr>
          <w:i/>
          <w:iCs/>
        </w:rPr>
      </w:pPr>
      <w:r w:rsidRPr="003824E2">
        <w:rPr>
          <w:i/>
          <w:iCs/>
        </w:rPr>
        <w:t>‘To ensure that the provision of a primary school, library hub, 2 full sized GAA pitches and 1 junior pitch and associated pavilion, access road and open space is provided in tandem with new residential development having regard to the provisions of GI7 SLO2.’</w:t>
      </w:r>
    </w:p>
    <w:p w14:paraId="387525A0" w14:textId="77777777" w:rsidR="00A30146" w:rsidRDefault="00A30146" w:rsidP="00A30146">
      <w:r>
        <w:t xml:space="preserve">Key themes that constitute community facilities as outlined below. </w:t>
      </w:r>
    </w:p>
    <w:p w14:paraId="65058DDC" w14:textId="77777777" w:rsidR="00A30146" w:rsidRDefault="00A30146" w:rsidP="00A30146"/>
    <w:p w14:paraId="13F80228" w14:textId="77777777" w:rsidR="00A30146" w:rsidRDefault="00A30146" w:rsidP="00A30146">
      <w:pPr>
        <w:pStyle w:val="ListBullet"/>
      </w:pPr>
      <w:r w:rsidRPr="00A4782B">
        <w:t>Childcare Facilities</w:t>
      </w:r>
    </w:p>
    <w:p w14:paraId="04FD12A9" w14:textId="70CD6A01" w:rsidR="0057050D" w:rsidRDefault="0057050D" w:rsidP="00A30146">
      <w:pPr>
        <w:pStyle w:val="ListBullet"/>
      </w:pPr>
      <w:r>
        <w:t>Education</w:t>
      </w:r>
    </w:p>
    <w:p w14:paraId="3FB5751A" w14:textId="3CDBD516" w:rsidR="0057050D" w:rsidRPr="00A4782B" w:rsidRDefault="0057050D" w:rsidP="00A30146">
      <w:pPr>
        <w:pStyle w:val="ListBullet"/>
      </w:pPr>
      <w:r>
        <w:t>Open</w:t>
      </w:r>
      <w:r w:rsidR="00181FBC">
        <w:t xml:space="preserve"> Space, Sports and Leisure</w:t>
      </w:r>
    </w:p>
    <w:p w14:paraId="2C778615" w14:textId="77777777" w:rsidR="00A30146" w:rsidRPr="00A4782B" w:rsidRDefault="00A30146" w:rsidP="00A30146">
      <w:pPr>
        <w:pStyle w:val="ListBullet"/>
      </w:pPr>
      <w:r w:rsidRPr="00A4782B">
        <w:t>Health Facilities and Social Services</w:t>
      </w:r>
    </w:p>
    <w:p w14:paraId="005FAD66" w14:textId="77777777" w:rsidR="00A30146" w:rsidRPr="00A4782B" w:rsidRDefault="00A30146" w:rsidP="00A30146">
      <w:pPr>
        <w:pStyle w:val="ListBullet"/>
      </w:pPr>
      <w:r w:rsidRPr="00A4782B">
        <w:t>Community Facilities</w:t>
      </w:r>
    </w:p>
    <w:p w14:paraId="1A46EE35" w14:textId="1421D75D" w:rsidR="00A30146" w:rsidRDefault="00A30146" w:rsidP="00A30146">
      <w:pPr>
        <w:pStyle w:val="ListBullet"/>
      </w:pPr>
      <w:r>
        <w:t xml:space="preserve">Arts </w:t>
      </w:r>
      <w:r w:rsidR="00DB2D08">
        <w:t xml:space="preserve">and Cultural </w:t>
      </w:r>
      <w:r>
        <w:t xml:space="preserve">Facilities </w:t>
      </w:r>
    </w:p>
    <w:p w14:paraId="60BD0F34" w14:textId="143749F1" w:rsidR="0090758E" w:rsidRPr="00A4782B" w:rsidRDefault="0090758E" w:rsidP="0090758E">
      <w:pPr>
        <w:pStyle w:val="ListBullet"/>
      </w:pPr>
      <w:r w:rsidRPr="00A4782B">
        <w:t xml:space="preserve">Religious &amp; Worship Facilities </w:t>
      </w:r>
    </w:p>
    <w:p w14:paraId="6860753D" w14:textId="51305E36" w:rsidR="0090758E" w:rsidRPr="00A4782B" w:rsidRDefault="00A30146" w:rsidP="001A1887">
      <w:pPr>
        <w:pStyle w:val="ListBullet"/>
      </w:pPr>
      <w:r w:rsidRPr="00A4782B">
        <w:t xml:space="preserve">Retail </w:t>
      </w:r>
      <w:r w:rsidR="00DB2D08">
        <w:t>Facilities</w:t>
      </w:r>
    </w:p>
    <w:p w14:paraId="4AC5F164" w14:textId="1B6A2CA8" w:rsidR="00A30146" w:rsidRDefault="00A30146" w:rsidP="00A30146">
      <w:pPr>
        <w:pStyle w:val="Heading4"/>
      </w:pPr>
      <w:r>
        <w:t>Childcare</w:t>
      </w:r>
    </w:p>
    <w:p w14:paraId="0BD329C3" w14:textId="2D881F43" w:rsidR="00923CB1" w:rsidRDefault="009F360F" w:rsidP="00923CB1">
      <w:pPr>
        <w:pStyle w:val="BodyText"/>
      </w:pPr>
      <w:r w:rsidRPr="00F03212">
        <w:t xml:space="preserve">TUSLA is the State agency that oversees the provision of childcare and other family support services. A list of childcare facilities were obtained from the Tusla early years services registration list </w:t>
      </w:r>
      <w:r>
        <w:t>showing</w:t>
      </w:r>
      <w:r w:rsidRPr="00F03212">
        <w:t xml:space="preserve"> enrolment figures and capacity available in childcare facilities located </w:t>
      </w:r>
      <w:r>
        <w:t>within</w:t>
      </w:r>
      <w:r w:rsidR="00923CB1" w:rsidRPr="00923CB1">
        <w:t xml:space="preserve"> a 2km radius of the subject site</w:t>
      </w:r>
      <w:r w:rsidR="00812B2B">
        <w:t xml:space="preserve">. These </w:t>
      </w:r>
      <w:r w:rsidR="00812B2B">
        <w:lastRenderedPageBreak/>
        <w:t>facilities</w:t>
      </w:r>
      <w:r w:rsidR="00923CB1" w:rsidRPr="00923CB1">
        <w:t xml:space="preserve"> were contacted </w:t>
      </w:r>
      <w:r w:rsidR="00923CB1">
        <w:t>by MacCabe Durney Barnes</w:t>
      </w:r>
      <w:r w:rsidR="00923CB1" w:rsidRPr="00923CB1">
        <w:t xml:space="preserve"> in </w:t>
      </w:r>
      <w:r w:rsidR="003E6143">
        <w:t>July</w:t>
      </w:r>
      <w:r w:rsidR="003E6143" w:rsidRPr="00923CB1">
        <w:t xml:space="preserve"> </w:t>
      </w:r>
      <w:r w:rsidR="00923CB1" w:rsidRPr="00923CB1">
        <w:t>2025. These childcare facilities are tabulated below. All childcare facilities were contacted by phone, with a follow up email sent where a response was not received. In some cases, it was not possible to retrieve a response from the childcare operators.</w:t>
      </w:r>
    </w:p>
    <w:p w14:paraId="060A504D" w14:textId="38218A14" w:rsidR="00812B2B" w:rsidRDefault="00812B2B" w:rsidP="00812B2B">
      <w:pPr>
        <w:pStyle w:val="Caption"/>
      </w:pPr>
      <w:bookmarkStart w:id="71" w:name="_Toc233123414"/>
      <w:r>
        <w:t xml:space="preserve">Table </w:t>
      </w:r>
      <w:r w:rsidR="000F55B9">
        <w:t>5-</w:t>
      </w:r>
      <w:r>
        <w:fldChar w:fldCharType="begin"/>
      </w:r>
      <w:r>
        <w:instrText>SEQ Table \* ARABIC</w:instrText>
      </w:r>
      <w:r>
        <w:fldChar w:fldCharType="separate"/>
      </w:r>
      <w:r w:rsidR="00946CE0">
        <w:rPr>
          <w:noProof/>
        </w:rPr>
        <w:t>4</w:t>
      </w:r>
      <w:r>
        <w:fldChar w:fldCharType="end"/>
      </w:r>
      <w:r>
        <w:t>: Childcare Facilities</w:t>
      </w:r>
      <w:bookmarkEnd w:id="71"/>
      <w:r>
        <w:t xml:space="preserve"> </w:t>
      </w:r>
    </w:p>
    <w:tbl>
      <w:tblPr>
        <w:tblStyle w:val="GridTable4-Accent3"/>
        <w:tblpPr w:leftFromText="180" w:rightFromText="180" w:vertAnchor="text" w:horzAnchor="margin" w:tblpY="84"/>
        <w:tblW w:w="5000" w:type="pct"/>
        <w:tblBorders>
          <w:top w:val="none" w:sz="0" w:space="0" w:color="auto"/>
          <w:left w:val="none" w:sz="0" w:space="0" w:color="auto"/>
          <w:bottom w:val="single" w:sz="8" w:space="0" w:color="000000" w:themeColor="text1"/>
          <w:right w:val="none" w:sz="0" w:space="0" w:color="auto"/>
          <w:insideH w:val="single" w:sz="8" w:space="0" w:color="000000" w:themeColor="text1"/>
          <w:insideV w:val="none" w:sz="0" w:space="0" w:color="auto"/>
        </w:tblBorders>
        <w:shd w:val="clear" w:color="auto" w:fill="FFFFFF" w:themeFill="background1"/>
        <w:tblLayout w:type="fixed"/>
        <w:tblLook w:val="04A0" w:firstRow="1" w:lastRow="0" w:firstColumn="1" w:lastColumn="0" w:noHBand="0" w:noVBand="1"/>
      </w:tblPr>
      <w:tblGrid>
        <w:gridCol w:w="1847"/>
        <w:gridCol w:w="2404"/>
        <w:gridCol w:w="1276"/>
        <w:gridCol w:w="1132"/>
        <w:gridCol w:w="1134"/>
        <w:gridCol w:w="566"/>
        <w:gridCol w:w="985"/>
      </w:tblGrid>
      <w:tr w:rsidR="003540CF" w:rsidRPr="006B1820" w14:paraId="15A8930D" w14:textId="77777777" w:rsidTr="000C3CC6">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988" w:type="pct"/>
            <w:tcBorders>
              <w:top w:val="single" w:sz="4" w:space="0" w:color="FFFFFF" w:themeColor="background1"/>
              <w:left w:val="single" w:sz="4" w:space="0" w:color="FFFFFF" w:themeColor="background1"/>
              <w:bottom w:val="single" w:sz="12" w:space="0" w:color="008768" w:themeColor="accent1"/>
            </w:tcBorders>
            <w:shd w:val="clear" w:color="auto" w:fill="auto"/>
            <w:noWrap/>
            <w:vAlign w:val="center"/>
            <w:hideMark/>
          </w:tcPr>
          <w:p w14:paraId="492EC81A" w14:textId="5A242049" w:rsidR="003540CF" w:rsidRPr="003540CF" w:rsidRDefault="003540CF" w:rsidP="000C3CC6">
            <w:pPr>
              <w:pStyle w:val="Tabletext"/>
              <w:jc w:val="left"/>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Childcare Facility Name</w:t>
            </w:r>
          </w:p>
        </w:tc>
        <w:tc>
          <w:tcPr>
            <w:tcW w:w="1286" w:type="pct"/>
            <w:tcBorders>
              <w:top w:val="single" w:sz="4" w:space="0" w:color="FFFFFF" w:themeColor="background1"/>
              <w:bottom w:val="single" w:sz="12" w:space="0" w:color="008768" w:themeColor="accent1"/>
            </w:tcBorders>
            <w:shd w:val="clear" w:color="auto" w:fill="auto"/>
            <w:noWrap/>
            <w:vAlign w:val="center"/>
            <w:hideMark/>
          </w:tcPr>
          <w:p w14:paraId="22BF5E5F" w14:textId="36F76D48" w:rsidR="003540CF" w:rsidRPr="003540CF" w:rsidRDefault="003540CF" w:rsidP="000C3CC6">
            <w:pPr>
              <w:pStyle w:val="Tabletext"/>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Address</w:t>
            </w:r>
          </w:p>
        </w:tc>
        <w:tc>
          <w:tcPr>
            <w:tcW w:w="682" w:type="pct"/>
            <w:tcBorders>
              <w:top w:val="single" w:sz="4" w:space="0" w:color="FFFFFF" w:themeColor="background1"/>
              <w:bottom w:val="single" w:sz="12" w:space="0" w:color="008768" w:themeColor="accent1"/>
            </w:tcBorders>
            <w:shd w:val="clear" w:color="auto" w:fill="auto"/>
            <w:vAlign w:val="center"/>
          </w:tcPr>
          <w:p w14:paraId="22941C95" w14:textId="4D28380D" w:rsidR="003540CF" w:rsidRPr="003540CF" w:rsidRDefault="003540CF" w:rsidP="000C3CC6">
            <w:pPr>
              <w:pStyle w:val="Tabletext"/>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Enrolment 2025 (TUSLA)</w:t>
            </w:r>
          </w:p>
        </w:tc>
        <w:tc>
          <w:tcPr>
            <w:tcW w:w="606" w:type="pct"/>
            <w:tcBorders>
              <w:top w:val="single" w:sz="4" w:space="0" w:color="FFFFFF" w:themeColor="background1"/>
              <w:bottom w:val="single" w:sz="12" w:space="0" w:color="008768" w:themeColor="accent1"/>
            </w:tcBorders>
            <w:shd w:val="clear" w:color="auto" w:fill="auto"/>
            <w:vAlign w:val="center"/>
          </w:tcPr>
          <w:p w14:paraId="27195134" w14:textId="1AFB1CD9" w:rsidR="003540CF" w:rsidRPr="003540CF" w:rsidRDefault="003540CF" w:rsidP="000C3CC6">
            <w:pPr>
              <w:pStyle w:val="Tabletext"/>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Enrolment 2025 (Facility)</w:t>
            </w:r>
          </w:p>
        </w:tc>
        <w:tc>
          <w:tcPr>
            <w:tcW w:w="607" w:type="pct"/>
            <w:tcBorders>
              <w:top w:val="single" w:sz="4" w:space="0" w:color="FFFFFF" w:themeColor="background1"/>
              <w:bottom w:val="single" w:sz="12" w:space="0" w:color="008768" w:themeColor="accent1"/>
            </w:tcBorders>
            <w:shd w:val="clear" w:color="auto" w:fill="auto"/>
            <w:vAlign w:val="center"/>
          </w:tcPr>
          <w:p w14:paraId="114CFFE6" w14:textId="2E8E674E" w:rsidR="003540CF" w:rsidRPr="003540CF" w:rsidRDefault="003540CF" w:rsidP="000C3CC6">
            <w:pPr>
              <w:pStyle w:val="Tabletext"/>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Vacancies</w:t>
            </w:r>
          </w:p>
        </w:tc>
        <w:tc>
          <w:tcPr>
            <w:tcW w:w="303" w:type="pct"/>
            <w:tcBorders>
              <w:top w:val="single" w:sz="4" w:space="0" w:color="FFFFFF" w:themeColor="background1"/>
              <w:bottom w:val="single" w:sz="12" w:space="0" w:color="008768" w:themeColor="accent1"/>
            </w:tcBorders>
            <w:shd w:val="clear" w:color="auto" w:fill="auto"/>
            <w:vAlign w:val="center"/>
          </w:tcPr>
          <w:p w14:paraId="2D7D15B9" w14:textId="15854A67" w:rsidR="003540CF" w:rsidRPr="003540CF" w:rsidRDefault="003540CF" w:rsidP="000C3CC6">
            <w:pPr>
              <w:pStyle w:val="Tabletext"/>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Waiting list</w:t>
            </w:r>
          </w:p>
        </w:tc>
        <w:tc>
          <w:tcPr>
            <w:tcW w:w="527" w:type="pct"/>
            <w:tcBorders>
              <w:top w:val="single" w:sz="4" w:space="0" w:color="FFFFFF" w:themeColor="background1"/>
              <w:bottom w:val="single" w:sz="12" w:space="0" w:color="008768" w:themeColor="accent1"/>
              <w:right w:val="single" w:sz="4" w:space="0" w:color="FFFFFF" w:themeColor="background1"/>
            </w:tcBorders>
            <w:shd w:val="clear" w:color="auto" w:fill="auto"/>
            <w:vAlign w:val="center"/>
          </w:tcPr>
          <w:p w14:paraId="35B9CB8C" w14:textId="462F547C" w:rsidR="003540CF" w:rsidRPr="003540CF" w:rsidRDefault="003540CF" w:rsidP="000C3CC6">
            <w:pPr>
              <w:pStyle w:val="Tabletext"/>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val="0"/>
                <w:color w:val="008768" w:themeColor="accent1"/>
                <w:szCs w:val="18"/>
                <w:lang w:val="en-GB"/>
              </w:rPr>
            </w:pPr>
            <w:r w:rsidRPr="000C3CC6">
              <w:rPr>
                <w:rFonts w:asciiTheme="majorHAnsi" w:hAnsiTheme="majorHAnsi" w:cstheme="majorHAnsi"/>
                <w:color w:val="008768" w:themeColor="accent1"/>
                <w:szCs w:val="18"/>
                <w:lang w:val="en-GB"/>
              </w:rPr>
              <w:t>Distance (km)</w:t>
            </w:r>
          </w:p>
        </w:tc>
      </w:tr>
      <w:tr w:rsidR="00EF7C15" w:rsidRPr="006B1820" w14:paraId="783E703E" w14:textId="77777777" w:rsidTr="000C3C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8" w:type="pct"/>
            <w:shd w:val="clear" w:color="auto" w:fill="auto"/>
            <w:noWrap/>
            <w:vAlign w:val="center"/>
          </w:tcPr>
          <w:p w14:paraId="7F1E0F25" w14:textId="20C8F476" w:rsidR="00EF7C15" w:rsidRPr="006B1820" w:rsidRDefault="00EF7C15" w:rsidP="00EF7C15">
            <w:pPr>
              <w:pStyle w:val="TextNormal"/>
              <w:rPr>
                <w:rFonts w:asciiTheme="majorHAnsi" w:hAnsiTheme="majorHAnsi" w:cstheme="majorHAnsi"/>
                <w:sz w:val="18"/>
                <w:szCs w:val="18"/>
                <w:lang w:val="en-GB"/>
              </w:rPr>
            </w:pPr>
            <w:r w:rsidRPr="009322DC">
              <w:rPr>
                <w:sz w:val="18"/>
              </w:rPr>
              <w:t>Kidorama Creche &amp; Montessori</w:t>
            </w:r>
          </w:p>
        </w:tc>
        <w:tc>
          <w:tcPr>
            <w:tcW w:w="1286" w:type="pct"/>
            <w:shd w:val="clear" w:color="auto" w:fill="auto"/>
            <w:noWrap/>
            <w:vAlign w:val="center"/>
          </w:tcPr>
          <w:p w14:paraId="3F37EBD6" w14:textId="58571D6B"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20 Slade Castle Wood, Saggart, Co. Dublin</w:t>
            </w:r>
          </w:p>
        </w:tc>
        <w:tc>
          <w:tcPr>
            <w:tcW w:w="682" w:type="pct"/>
            <w:shd w:val="clear" w:color="auto" w:fill="auto"/>
            <w:vAlign w:val="center"/>
          </w:tcPr>
          <w:p w14:paraId="5F5F5213" w14:textId="211087CF"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102</w:t>
            </w:r>
          </w:p>
        </w:tc>
        <w:tc>
          <w:tcPr>
            <w:tcW w:w="606" w:type="pct"/>
            <w:shd w:val="clear" w:color="auto" w:fill="auto"/>
            <w:vAlign w:val="center"/>
          </w:tcPr>
          <w:p w14:paraId="66DC7ADE" w14:textId="1236E64C"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shd w:val="clear" w:color="auto" w:fill="auto"/>
            <w:vAlign w:val="center"/>
          </w:tcPr>
          <w:p w14:paraId="336279EE" w14:textId="5F2D99C5"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303" w:type="pct"/>
            <w:shd w:val="clear" w:color="auto" w:fill="auto"/>
            <w:vAlign w:val="center"/>
          </w:tcPr>
          <w:p w14:paraId="63EC6CC9" w14:textId="73710230"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shd w:val="clear" w:color="auto" w:fill="auto"/>
            <w:vAlign w:val="center"/>
          </w:tcPr>
          <w:p w14:paraId="0016463F" w14:textId="516DF3A8"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0.73</w:t>
            </w:r>
          </w:p>
        </w:tc>
      </w:tr>
      <w:tr w:rsidR="00EF7C15" w:rsidRPr="006B1820" w14:paraId="07C2703A"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988" w:type="pct"/>
            <w:noWrap/>
            <w:vAlign w:val="center"/>
          </w:tcPr>
          <w:p w14:paraId="0E64E0A7" w14:textId="02295691" w:rsidR="00EF7C15" w:rsidRPr="006B1820" w:rsidRDefault="00EF7C15" w:rsidP="00EF7C15">
            <w:pPr>
              <w:pStyle w:val="TextNormal"/>
              <w:rPr>
                <w:rFonts w:asciiTheme="majorHAnsi" w:hAnsiTheme="majorHAnsi" w:cstheme="majorHAnsi"/>
                <w:sz w:val="18"/>
                <w:szCs w:val="18"/>
                <w:lang w:val="en-GB"/>
              </w:rPr>
            </w:pPr>
            <w:r w:rsidRPr="009322DC">
              <w:rPr>
                <w:sz w:val="18"/>
              </w:rPr>
              <w:t>Teach na Leanaí</w:t>
            </w:r>
          </w:p>
        </w:tc>
        <w:tc>
          <w:tcPr>
            <w:tcW w:w="1286" w:type="pct"/>
            <w:noWrap/>
            <w:vAlign w:val="center"/>
          </w:tcPr>
          <w:p w14:paraId="4F0B3052" w14:textId="06EAA6B0"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Ionad Phobail, Rathcuil, Co. Dublin</w:t>
            </w:r>
            <w:r>
              <w:rPr>
                <w:sz w:val="18"/>
              </w:rPr>
              <w:br/>
              <w:t>Rathcuil, Rathcoole,</w:t>
            </w:r>
            <w:r>
              <w:rPr>
                <w:sz w:val="18"/>
              </w:rPr>
              <w:br/>
              <w:t>Co. Dublin</w:t>
            </w:r>
          </w:p>
        </w:tc>
        <w:tc>
          <w:tcPr>
            <w:tcW w:w="682" w:type="pct"/>
            <w:vAlign w:val="center"/>
          </w:tcPr>
          <w:p w14:paraId="7B49A8D4" w14:textId="73094F48"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30</w:t>
            </w:r>
          </w:p>
        </w:tc>
        <w:tc>
          <w:tcPr>
            <w:tcW w:w="606" w:type="pct"/>
            <w:vAlign w:val="center"/>
          </w:tcPr>
          <w:p w14:paraId="268D626B" w14:textId="48698B58"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vAlign w:val="center"/>
          </w:tcPr>
          <w:p w14:paraId="19056F00" w14:textId="14139A45"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lang w:val="en-GB"/>
              </w:rPr>
            </w:pPr>
            <w:r>
              <w:rPr>
                <w:sz w:val="18"/>
              </w:rPr>
              <w:t>-</w:t>
            </w:r>
          </w:p>
        </w:tc>
        <w:tc>
          <w:tcPr>
            <w:tcW w:w="303" w:type="pct"/>
            <w:vAlign w:val="center"/>
          </w:tcPr>
          <w:p w14:paraId="00801B76" w14:textId="4F1200BD"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vAlign w:val="center"/>
          </w:tcPr>
          <w:p w14:paraId="4DAA23C8" w14:textId="00B32AEE"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0.77</w:t>
            </w:r>
          </w:p>
        </w:tc>
      </w:tr>
      <w:tr w:rsidR="00EF7C15" w:rsidRPr="006B1820" w14:paraId="3990450D" w14:textId="77777777" w:rsidTr="000C3CC6">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988" w:type="pct"/>
            <w:shd w:val="clear" w:color="auto" w:fill="auto"/>
            <w:noWrap/>
            <w:vAlign w:val="center"/>
          </w:tcPr>
          <w:p w14:paraId="495809D5" w14:textId="74829EE3" w:rsidR="00EF7C15" w:rsidRPr="006B1820" w:rsidRDefault="00EF7C15" w:rsidP="00EF7C15">
            <w:pPr>
              <w:pStyle w:val="TextNormal"/>
              <w:rPr>
                <w:rFonts w:asciiTheme="majorHAnsi" w:hAnsiTheme="majorHAnsi" w:cstheme="majorHAnsi"/>
                <w:sz w:val="18"/>
                <w:szCs w:val="18"/>
                <w:lang w:val="en-GB"/>
              </w:rPr>
            </w:pPr>
            <w:r w:rsidRPr="009322DC">
              <w:rPr>
                <w:sz w:val="18"/>
              </w:rPr>
              <w:t>Happy Feet Early Learning Centre</w:t>
            </w:r>
          </w:p>
        </w:tc>
        <w:tc>
          <w:tcPr>
            <w:tcW w:w="1286" w:type="pct"/>
            <w:shd w:val="clear" w:color="auto" w:fill="auto"/>
            <w:noWrap/>
            <w:vAlign w:val="center"/>
          </w:tcPr>
          <w:p w14:paraId="517E0306" w14:textId="52164DAC"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Rathcoole community centre, Main Street, Rathcoole, Dublin24, Co. Dublin</w:t>
            </w:r>
          </w:p>
        </w:tc>
        <w:tc>
          <w:tcPr>
            <w:tcW w:w="682" w:type="pct"/>
            <w:shd w:val="clear" w:color="auto" w:fill="auto"/>
            <w:vAlign w:val="center"/>
          </w:tcPr>
          <w:p w14:paraId="6A46E46E" w14:textId="3CAE9162"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56</w:t>
            </w:r>
          </w:p>
        </w:tc>
        <w:tc>
          <w:tcPr>
            <w:tcW w:w="606" w:type="pct"/>
            <w:shd w:val="clear" w:color="auto" w:fill="auto"/>
            <w:vAlign w:val="center"/>
          </w:tcPr>
          <w:p w14:paraId="35291B3B" w14:textId="47D6B359"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shd w:val="clear" w:color="auto" w:fill="auto"/>
            <w:vAlign w:val="center"/>
          </w:tcPr>
          <w:p w14:paraId="05066AFF" w14:textId="12AB26C4"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303" w:type="pct"/>
            <w:shd w:val="clear" w:color="auto" w:fill="auto"/>
            <w:vAlign w:val="center"/>
          </w:tcPr>
          <w:p w14:paraId="624373D4" w14:textId="4AFAE0FA"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shd w:val="clear" w:color="auto" w:fill="auto"/>
            <w:vAlign w:val="center"/>
          </w:tcPr>
          <w:p w14:paraId="50BF78E3" w14:textId="1595C45E"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0.77</w:t>
            </w:r>
          </w:p>
        </w:tc>
      </w:tr>
      <w:tr w:rsidR="00EF7C15" w:rsidRPr="006B1820" w14:paraId="0A730095"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988" w:type="pct"/>
            <w:noWrap/>
            <w:vAlign w:val="center"/>
          </w:tcPr>
          <w:p w14:paraId="6EB5E461" w14:textId="2D9B130E" w:rsidR="00EF7C15" w:rsidRPr="006B1820" w:rsidRDefault="00EF7C15" w:rsidP="00EF7C15">
            <w:pPr>
              <w:pStyle w:val="TextNormal"/>
              <w:rPr>
                <w:rFonts w:asciiTheme="majorHAnsi" w:hAnsiTheme="majorHAnsi" w:cstheme="majorHAnsi"/>
                <w:sz w:val="18"/>
                <w:szCs w:val="18"/>
                <w:lang w:val="en-GB"/>
              </w:rPr>
            </w:pPr>
            <w:r w:rsidRPr="009322DC">
              <w:rPr>
                <w:sz w:val="18"/>
              </w:rPr>
              <w:t>Little Saints Creche</w:t>
            </w:r>
          </w:p>
        </w:tc>
        <w:tc>
          <w:tcPr>
            <w:tcW w:w="1286" w:type="pct"/>
            <w:noWrap/>
            <w:vAlign w:val="center"/>
          </w:tcPr>
          <w:p w14:paraId="58AA770F" w14:textId="239959DC"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Unit 4 Eaton House, Main Street, Rathcoole, Co. Dublin</w:t>
            </w:r>
          </w:p>
        </w:tc>
        <w:tc>
          <w:tcPr>
            <w:tcW w:w="682" w:type="pct"/>
            <w:vAlign w:val="center"/>
          </w:tcPr>
          <w:p w14:paraId="1EA671BD" w14:textId="4D19015F"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105</w:t>
            </w:r>
          </w:p>
        </w:tc>
        <w:tc>
          <w:tcPr>
            <w:tcW w:w="606" w:type="pct"/>
            <w:vAlign w:val="center"/>
          </w:tcPr>
          <w:p w14:paraId="726619BA" w14:textId="5356790B"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vAlign w:val="center"/>
          </w:tcPr>
          <w:p w14:paraId="51F5EC01" w14:textId="376E8B8A"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303" w:type="pct"/>
            <w:vAlign w:val="center"/>
          </w:tcPr>
          <w:p w14:paraId="626BD0E1" w14:textId="26EC003B"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sz w:val="18"/>
              </w:rPr>
              <w:t>-</w:t>
            </w:r>
          </w:p>
        </w:tc>
        <w:tc>
          <w:tcPr>
            <w:tcW w:w="527" w:type="pct"/>
            <w:vAlign w:val="center"/>
          </w:tcPr>
          <w:p w14:paraId="5D3944DE" w14:textId="46D19BC5"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GB"/>
              </w:rPr>
            </w:pPr>
            <w:r>
              <w:rPr>
                <w:sz w:val="18"/>
              </w:rPr>
              <w:t>0.87</w:t>
            </w:r>
          </w:p>
        </w:tc>
      </w:tr>
      <w:tr w:rsidR="00EF7C15" w:rsidRPr="006B1820" w14:paraId="1871D579" w14:textId="77777777" w:rsidTr="000C3C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8" w:type="pct"/>
            <w:shd w:val="clear" w:color="auto" w:fill="auto"/>
            <w:noWrap/>
            <w:vAlign w:val="center"/>
          </w:tcPr>
          <w:p w14:paraId="78EA12FE" w14:textId="7251A137" w:rsidR="00EF7C15" w:rsidRPr="006B1820" w:rsidRDefault="00EF7C15" w:rsidP="00EF7C15">
            <w:pPr>
              <w:pStyle w:val="TextNormal"/>
              <w:rPr>
                <w:rFonts w:asciiTheme="majorHAnsi" w:hAnsiTheme="majorHAnsi" w:cstheme="majorHAnsi"/>
                <w:sz w:val="18"/>
                <w:szCs w:val="18"/>
              </w:rPr>
            </w:pPr>
            <w:r w:rsidRPr="009322DC">
              <w:rPr>
                <w:sz w:val="18"/>
              </w:rPr>
              <w:t>Lily's Childcare Ltd in Saggart Schoolhouse Community Centre</w:t>
            </w:r>
          </w:p>
        </w:tc>
        <w:tc>
          <w:tcPr>
            <w:tcW w:w="1286" w:type="pct"/>
            <w:shd w:val="clear" w:color="auto" w:fill="auto"/>
            <w:noWrap/>
            <w:vAlign w:val="center"/>
          </w:tcPr>
          <w:p w14:paraId="3AA5D41B" w14:textId="61284C71"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Saggart Schoolhouse Community Centre, School Road, Saggart, Dublin 24, Co. Dublin</w:t>
            </w:r>
          </w:p>
        </w:tc>
        <w:tc>
          <w:tcPr>
            <w:tcW w:w="682" w:type="pct"/>
            <w:shd w:val="clear" w:color="auto" w:fill="auto"/>
            <w:vAlign w:val="center"/>
          </w:tcPr>
          <w:p w14:paraId="06C6D831" w14:textId="62096C28"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44</w:t>
            </w:r>
          </w:p>
        </w:tc>
        <w:tc>
          <w:tcPr>
            <w:tcW w:w="606" w:type="pct"/>
            <w:shd w:val="clear" w:color="auto" w:fill="auto"/>
            <w:vAlign w:val="center"/>
          </w:tcPr>
          <w:p w14:paraId="1560951D" w14:textId="1E8723F5"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41</w:t>
            </w:r>
          </w:p>
        </w:tc>
        <w:tc>
          <w:tcPr>
            <w:tcW w:w="607" w:type="pct"/>
            <w:shd w:val="clear" w:color="auto" w:fill="auto"/>
            <w:vAlign w:val="center"/>
          </w:tcPr>
          <w:p w14:paraId="35452DB0" w14:textId="417B3749"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5</w:t>
            </w:r>
          </w:p>
        </w:tc>
        <w:tc>
          <w:tcPr>
            <w:tcW w:w="303" w:type="pct"/>
            <w:shd w:val="clear" w:color="auto" w:fill="auto"/>
            <w:vAlign w:val="center"/>
          </w:tcPr>
          <w:p w14:paraId="39F67C99" w14:textId="2F04B7B9"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shd w:val="clear" w:color="auto" w:fill="auto"/>
            <w:vAlign w:val="center"/>
          </w:tcPr>
          <w:p w14:paraId="4016D43F" w14:textId="630903A1"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0.93</w:t>
            </w:r>
          </w:p>
        </w:tc>
      </w:tr>
      <w:tr w:rsidR="00EF7C15" w:rsidRPr="006B1820" w14:paraId="0DDEE474"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988" w:type="pct"/>
            <w:noWrap/>
            <w:vAlign w:val="center"/>
          </w:tcPr>
          <w:p w14:paraId="62172EF0" w14:textId="6BDD2601" w:rsidR="00EF7C15" w:rsidRPr="006B1820" w:rsidRDefault="00EF7C15" w:rsidP="00EF7C15">
            <w:pPr>
              <w:pStyle w:val="TextNormal"/>
              <w:rPr>
                <w:rFonts w:asciiTheme="majorHAnsi" w:hAnsiTheme="majorHAnsi" w:cstheme="majorHAnsi"/>
                <w:sz w:val="18"/>
                <w:szCs w:val="18"/>
              </w:rPr>
            </w:pPr>
            <w:r w:rsidRPr="009322DC">
              <w:rPr>
                <w:sz w:val="18"/>
              </w:rPr>
              <w:t>Happy Feet Early Learning Centre</w:t>
            </w:r>
          </w:p>
        </w:tc>
        <w:tc>
          <w:tcPr>
            <w:tcW w:w="1286" w:type="pct"/>
            <w:noWrap/>
            <w:vAlign w:val="center"/>
          </w:tcPr>
          <w:p w14:paraId="2E709EEE" w14:textId="1E07F17F"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Pr>
                <w:sz w:val="18"/>
              </w:rPr>
              <w:t>Rathcoole Boys Football Club, Frank Cox Park, Rathcoole, Co. Dublin</w:t>
            </w:r>
          </w:p>
        </w:tc>
        <w:tc>
          <w:tcPr>
            <w:tcW w:w="682" w:type="pct"/>
            <w:vAlign w:val="center"/>
          </w:tcPr>
          <w:p w14:paraId="318DDFF6" w14:textId="31C855CD"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59</w:t>
            </w:r>
          </w:p>
        </w:tc>
        <w:tc>
          <w:tcPr>
            <w:tcW w:w="606" w:type="pct"/>
            <w:vAlign w:val="center"/>
          </w:tcPr>
          <w:p w14:paraId="2AD5AF7E" w14:textId="6D9069F1"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vAlign w:val="center"/>
          </w:tcPr>
          <w:p w14:paraId="62BA476B" w14:textId="583D45E6"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303" w:type="pct"/>
            <w:vAlign w:val="center"/>
          </w:tcPr>
          <w:p w14:paraId="1F52BB20" w14:textId="41AF726E"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vAlign w:val="center"/>
          </w:tcPr>
          <w:p w14:paraId="43E179A4" w14:textId="02C5B2B1"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1.01</w:t>
            </w:r>
          </w:p>
        </w:tc>
      </w:tr>
      <w:tr w:rsidR="00EF7C15" w:rsidRPr="006B1820" w14:paraId="41501660" w14:textId="77777777" w:rsidTr="000C3C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8" w:type="pct"/>
            <w:shd w:val="clear" w:color="auto" w:fill="auto"/>
            <w:noWrap/>
            <w:vAlign w:val="center"/>
          </w:tcPr>
          <w:p w14:paraId="3AEEF156" w14:textId="7564E3C6" w:rsidR="00EF7C15" w:rsidRPr="006B1820" w:rsidRDefault="00EF7C15" w:rsidP="00EF7C15">
            <w:pPr>
              <w:pStyle w:val="TextNormal"/>
              <w:rPr>
                <w:rFonts w:asciiTheme="majorHAnsi" w:hAnsiTheme="majorHAnsi" w:cstheme="majorHAnsi"/>
                <w:sz w:val="18"/>
                <w:szCs w:val="18"/>
              </w:rPr>
            </w:pPr>
            <w:r w:rsidRPr="009322DC">
              <w:rPr>
                <w:sz w:val="18"/>
              </w:rPr>
              <w:t>Happy Feet Early Learning Centre</w:t>
            </w:r>
          </w:p>
        </w:tc>
        <w:tc>
          <w:tcPr>
            <w:tcW w:w="1286" w:type="pct"/>
            <w:shd w:val="clear" w:color="auto" w:fill="auto"/>
            <w:noWrap/>
            <w:vAlign w:val="center"/>
          </w:tcPr>
          <w:p w14:paraId="7BAD36BF" w14:textId="3A831AF8"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sz w:val="18"/>
              </w:rPr>
              <w:t>1 Blackthorn Hill Close, Rathcoole, Dublin 24, Co. Dublin</w:t>
            </w:r>
          </w:p>
        </w:tc>
        <w:tc>
          <w:tcPr>
            <w:tcW w:w="682" w:type="pct"/>
            <w:shd w:val="clear" w:color="auto" w:fill="auto"/>
            <w:vAlign w:val="center"/>
          </w:tcPr>
          <w:p w14:paraId="3F1A3AAB" w14:textId="52AE6632"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50</w:t>
            </w:r>
          </w:p>
        </w:tc>
        <w:tc>
          <w:tcPr>
            <w:tcW w:w="606" w:type="pct"/>
            <w:shd w:val="clear" w:color="auto" w:fill="auto"/>
            <w:vAlign w:val="center"/>
          </w:tcPr>
          <w:p w14:paraId="6C498092" w14:textId="07937EA9"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shd w:val="clear" w:color="auto" w:fill="auto"/>
            <w:vAlign w:val="center"/>
          </w:tcPr>
          <w:p w14:paraId="5AD641B2" w14:textId="406EBB7D"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8"/>
                <w:szCs w:val="18"/>
                <w:lang w:val="en-GB"/>
              </w:rPr>
            </w:pPr>
            <w:r>
              <w:rPr>
                <w:sz w:val="18"/>
              </w:rPr>
              <w:t>-</w:t>
            </w:r>
          </w:p>
        </w:tc>
        <w:tc>
          <w:tcPr>
            <w:tcW w:w="303" w:type="pct"/>
            <w:shd w:val="clear" w:color="auto" w:fill="auto"/>
            <w:vAlign w:val="center"/>
          </w:tcPr>
          <w:p w14:paraId="68A32FCA" w14:textId="731B76AF"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shd w:val="clear" w:color="auto" w:fill="auto"/>
            <w:vAlign w:val="center"/>
          </w:tcPr>
          <w:p w14:paraId="576D4853" w14:textId="7FA51454"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1.32</w:t>
            </w:r>
          </w:p>
        </w:tc>
      </w:tr>
      <w:tr w:rsidR="00EF7C15" w:rsidRPr="006B1820" w14:paraId="6B5DE8D5"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988" w:type="pct"/>
            <w:noWrap/>
            <w:vAlign w:val="center"/>
          </w:tcPr>
          <w:p w14:paraId="38772A88" w14:textId="7B09C4FC" w:rsidR="00EF7C15" w:rsidRPr="006B1820" w:rsidRDefault="00EF7C15" w:rsidP="00EF7C15">
            <w:pPr>
              <w:pStyle w:val="TextNormal"/>
              <w:rPr>
                <w:rFonts w:asciiTheme="majorHAnsi" w:hAnsiTheme="majorHAnsi" w:cstheme="majorHAnsi"/>
                <w:sz w:val="18"/>
                <w:szCs w:val="18"/>
              </w:rPr>
            </w:pPr>
            <w:r w:rsidRPr="009322DC">
              <w:rPr>
                <w:sz w:val="18"/>
              </w:rPr>
              <w:t>Little Fingers</w:t>
            </w:r>
          </w:p>
        </w:tc>
        <w:tc>
          <w:tcPr>
            <w:tcW w:w="1286" w:type="pct"/>
            <w:noWrap/>
            <w:vAlign w:val="center"/>
          </w:tcPr>
          <w:p w14:paraId="4EA76C16" w14:textId="40D6FC18"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Pr>
                <w:sz w:val="18"/>
              </w:rPr>
              <w:t>23 Broadfield Court, Broadfield Manor, Rathcoole, Dublin 24, Co. Dubli</w:t>
            </w:r>
          </w:p>
        </w:tc>
        <w:tc>
          <w:tcPr>
            <w:tcW w:w="682" w:type="pct"/>
            <w:vAlign w:val="center"/>
          </w:tcPr>
          <w:p w14:paraId="07EA692E" w14:textId="12920B00"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11</w:t>
            </w:r>
          </w:p>
        </w:tc>
        <w:tc>
          <w:tcPr>
            <w:tcW w:w="606" w:type="pct"/>
            <w:vAlign w:val="center"/>
          </w:tcPr>
          <w:p w14:paraId="46D1AD60" w14:textId="07BCB028"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vAlign w:val="center"/>
          </w:tcPr>
          <w:p w14:paraId="74F52765" w14:textId="6CBEA800"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303" w:type="pct"/>
            <w:vAlign w:val="center"/>
          </w:tcPr>
          <w:p w14:paraId="7BF540A1" w14:textId="693FEE0D"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vAlign w:val="center"/>
          </w:tcPr>
          <w:p w14:paraId="0ABD52E8" w14:textId="549C51D9"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sz w:val="18"/>
              </w:rPr>
              <w:t>1.44</w:t>
            </w:r>
          </w:p>
        </w:tc>
      </w:tr>
      <w:tr w:rsidR="00EF7C15" w:rsidRPr="006B1820" w14:paraId="3910737C" w14:textId="77777777" w:rsidTr="000C3C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8" w:type="pct"/>
            <w:shd w:val="clear" w:color="auto" w:fill="auto"/>
            <w:noWrap/>
            <w:vAlign w:val="center"/>
          </w:tcPr>
          <w:p w14:paraId="0CBA2BA4" w14:textId="0BFCC59B" w:rsidR="00EF7C15" w:rsidRPr="006B1820" w:rsidRDefault="00EF7C15" w:rsidP="00EF7C15">
            <w:pPr>
              <w:pStyle w:val="TextNormal"/>
              <w:rPr>
                <w:rFonts w:asciiTheme="majorHAnsi" w:hAnsiTheme="majorHAnsi" w:cstheme="majorHAnsi"/>
                <w:sz w:val="18"/>
                <w:szCs w:val="18"/>
              </w:rPr>
            </w:pPr>
            <w:r w:rsidRPr="009322DC">
              <w:rPr>
                <w:sz w:val="18"/>
              </w:rPr>
              <w:t>Grian na nÓg</w:t>
            </w:r>
          </w:p>
        </w:tc>
        <w:tc>
          <w:tcPr>
            <w:tcW w:w="1286" w:type="pct"/>
            <w:shd w:val="clear" w:color="auto" w:fill="auto"/>
            <w:noWrap/>
            <w:vAlign w:val="center"/>
          </w:tcPr>
          <w:p w14:paraId="5D28FA95" w14:textId="7B3581A1"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322DC">
              <w:rPr>
                <w:sz w:val="18"/>
              </w:rPr>
              <w:t>Greenogue, Rathcoole, Co. Dublin</w:t>
            </w:r>
          </w:p>
        </w:tc>
        <w:tc>
          <w:tcPr>
            <w:tcW w:w="682" w:type="pct"/>
            <w:shd w:val="clear" w:color="auto" w:fill="auto"/>
            <w:vAlign w:val="center"/>
          </w:tcPr>
          <w:p w14:paraId="08221554" w14:textId="4EBAF1C7"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82</w:t>
            </w:r>
          </w:p>
        </w:tc>
        <w:tc>
          <w:tcPr>
            <w:tcW w:w="606" w:type="pct"/>
            <w:shd w:val="clear" w:color="auto" w:fill="auto"/>
            <w:vAlign w:val="center"/>
          </w:tcPr>
          <w:p w14:paraId="1E98D9E9" w14:textId="74DA3588"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607" w:type="pct"/>
            <w:shd w:val="clear" w:color="auto" w:fill="auto"/>
            <w:vAlign w:val="center"/>
          </w:tcPr>
          <w:p w14:paraId="68EC816E" w14:textId="7244A53A"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303" w:type="pct"/>
            <w:shd w:val="clear" w:color="auto" w:fill="auto"/>
            <w:vAlign w:val="center"/>
          </w:tcPr>
          <w:p w14:paraId="542E453B" w14:textId="4E83A7F7"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w:t>
            </w:r>
          </w:p>
        </w:tc>
        <w:tc>
          <w:tcPr>
            <w:tcW w:w="527" w:type="pct"/>
            <w:shd w:val="clear" w:color="auto" w:fill="auto"/>
            <w:vAlign w:val="center"/>
          </w:tcPr>
          <w:p w14:paraId="0E22D455" w14:textId="2BCF9F59" w:rsidR="00EF7C15" w:rsidRPr="006B1820" w:rsidRDefault="00EF7C15" w:rsidP="00EF7C15">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sz w:val="18"/>
              </w:rPr>
              <w:t>2</w:t>
            </w:r>
          </w:p>
        </w:tc>
      </w:tr>
      <w:tr w:rsidR="00EF7C15" w:rsidRPr="006B1820" w14:paraId="654B35AA"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988" w:type="pct"/>
            <w:noWrap/>
            <w:vAlign w:val="center"/>
          </w:tcPr>
          <w:p w14:paraId="472B37D5" w14:textId="5720F365" w:rsidR="00EF7C15" w:rsidRPr="006B1820" w:rsidRDefault="00EF7C15" w:rsidP="00EF7C15">
            <w:pPr>
              <w:pStyle w:val="TextNormal"/>
              <w:rPr>
                <w:rFonts w:asciiTheme="majorHAnsi" w:hAnsiTheme="majorHAnsi" w:cstheme="majorHAnsi"/>
                <w:sz w:val="18"/>
                <w:szCs w:val="18"/>
              </w:rPr>
            </w:pPr>
          </w:p>
        </w:tc>
        <w:tc>
          <w:tcPr>
            <w:tcW w:w="1286" w:type="pct"/>
            <w:noWrap/>
            <w:vAlign w:val="center"/>
          </w:tcPr>
          <w:p w14:paraId="6009D3C6" w14:textId="26265045"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A504B">
              <w:rPr>
                <w:b/>
                <w:bCs/>
                <w:sz w:val="18"/>
              </w:rPr>
              <w:t>Total</w:t>
            </w:r>
          </w:p>
        </w:tc>
        <w:tc>
          <w:tcPr>
            <w:tcW w:w="682" w:type="pct"/>
            <w:vAlign w:val="center"/>
          </w:tcPr>
          <w:p w14:paraId="740E3442" w14:textId="26E23418"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b/>
                <w:bCs/>
                <w:sz w:val="18"/>
              </w:rPr>
              <w:t>539</w:t>
            </w:r>
          </w:p>
        </w:tc>
        <w:tc>
          <w:tcPr>
            <w:tcW w:w="606" w:type="pct"/>
            <w:vAlign w:val="center"/>
          </w:tcPr>
          <w:p w14:paraId="5FF7C64E" w14:textId="4EF54C11"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p>
        </w:tc>
        <w:tc>
          <w:tcPr>
            <w:tcW w:w="607" w:type="pct"/>
            <w:vAlign w:val="center"/>
          </w:tcPr>
          <w:p w14:paraId="3F7F81C4" w14:textId="33740FBA"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b/>
                <w:bCs/>
                <w:sz w:val="18"/>
              </w:rPr>
              <w:t>5</w:t>
            </w:r>
          </w:p>
        </w:tc>
        <w:tc>
          <w:tcPr>
            <w:tcW w:w="303" w:type="pct"/>
            <w:vAlign w:val="center"/>
          </w:tcPr>
          <w:p w14:paraId="19A21778" w14:textId="068C2D76"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p>
        </w:tc>
        <w:tc>
          <w:tcPr>
            <w:tcW w:w="527" w:type="pct"/>
            <w:vAlign w:val="center"/>
          </w:tcPr>
          <w:p w14:paraId="7A6B1335" w14:textId="4AB8C801" w:rsidR="00EF7C15" w:rsidRPr="006B1820" w:rsidRDefault="00EF7C15" w:rsidP="00EF7C15">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p>
        </w:tc>
      </w:tr>
    </w:tbl>
    <w:p w14:paraId="4E6C8611" w14:textId="1072252D" w:rsidR="0057050D" w:rsidRPr="0006538C" w:rsidRDefault="00317123" w:rsidP="00B911C6">
      <w:pPr>
        <w:pStyle w:val="BodyText"/>
        <w:rPr>
          <w:i/>
          <w:iCs/>
        </w:rPr>
      </w:pPr>
      <w:r>
        <w:rPr>
          <w:i/>
          <w:iCs/>
        </w:rPr>
        <w:t>Source: TUSLA</w:t>
      </w:r>
    </w:p>
    <w:p w14:paraId="645238CF" w14:textId="064F328F" w:rsidR="00745606" w:rsidRDefault="00745606" w:rsidP="00745606">
      <w:r>
        <w:t>Several further facilities have been permitted,</w:t>
      </w:r>
      <w:r w:rsidR="007148B1">
        <w:t xml:space="preserve"> </w:t>
      </w:r>
      <w:r>
        <w:t xml:space="preserve">are under appeal or are awaiting planning permission within a 2km radius of the site. These are predominantly being provided as elements of </w:t>
      </w:r>
      <w:r w:rsidR="00FF3844">
        <w:t>other residential planning applications.</w:t>
      </w:r>
    </w:p>
    <w:p w14:paraId="6BC7A6F1" w14:textId="77777777" w:rsidR="00FF3844" w:rsidRDefault="00FF3844" w:rsidP="00745606"/>
    <w:p w14:paraId="7897707B" w14:textId="46C9C2FC" w:rsidR="00FF3844" w:rsidRPr="00733E9A" w:rsidRDefault="00FF3844" w:rsidP="00FF3844">
      <w:pPr>
        <w:pStyle w:val="Caption"/>
      </w:pPr>
      <w:bookmarkStart w:id="72" w:name="_Toc233123415"/>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5</w:t>
      </w:r>
      <w:r>
        <w:fldChar w:fldCharType="end"/>
      </w:r>
      <w:r w:rsidRPr="00733E9A">
        <w:t xml:space="preserve">: </w:t>
      </w:r>
      <w:r w:rsidR="00FC0533">
        <w:t>Childcare - Permitted and Pending Planning Applications</w:t>
      </w:r>
      <w:bookmarkEnd w:id="72"/>
    </w:p>
    <w:tbl>
      <w:tblPr>
        <w:tblStyle w:val="AECOMtable"/>
        <w:tblW w:w="5000" w:type="pct"/>
        <w:tblLook w:val="04A0" w:firstRow="1" w:lastRow="0" w:firstColumn="1" w:lastColumn="0" w:noHBand="0" w:noVBand="1"/>
      </w:tblPr>
      <w:tblGrid>
        <w:gridCol w:w="1870"/>
        <w:gridCol w:w="1871"/>
        <w:gridCol w:w="1871"/>
        <w:gridCol w:w="2752"/>
        <w:gridCol w:w="990"/>
      </w:tblGrid>
      <w:tr w:rsidR="00FC0533" w:rsidRPr="00270B61" w14:paraId="1C18A06E" w14:textId="77777777" w:rsidTr="00DA39EC">
        <w:trPr>
          <w:cnfStyle w:val="100000000000" w:firstRow="1" w:lastRow="0" w:firstColumn="0" w:lastColumn="0" w:oddVBand="0" w:evenVBand="0" w:oddHBand="0" w:evenHBand="0" w:firstRowFirstColumn="0" w:firstRowLastColumn="0" w:lastRowFirstColumn="0" w:lastRowLastColumn="0"/>
          <w:tblHeader/>
        </w:trPr>
        <w:tc>
          <w:tcPr>
            <w:tcW w:w="1000" w:type="pct"/>
          </w:tcPr>
          <w:p w14:paraId="64C30FE6" w14:textId="18843DBC" w:rsidR="00FC0533" w:rsidRPr="00270B61" w:rsidRDefault="00FC0533">
            <w:pPr>
              <w:pStyle w:val="Tabletext"/>
              <w:jc w:val="left"/>
              <w:rPr>
                <w:rFonts w:cstheme="majorHAnsi"/>
              </w:rPr>
            </w:pPr>
            <w:r>
              <w:rPr>
                <w:rFonts w:cstheme="majorHAnsi"/>
              </w:rPr>
              <w:t>Reference Number</w:t>
            </w:r>
          </w:p>
        </w:tc>
        <w:tc>
          <w:tcPr>
            <w:tcW w:w="1000" w:type="pct"/>
          </w:tcPr>
          <w:p w14:paraId="2A45D614" w14:textId="77777777" w:rsidR="00FC0533" w:rsidRPr="00270B61" w:rsidRDefault="00FC0533">
            <w:pPr>
              <w:pStyle w:val="Tabletext"/>
              <w:jc w:val="left"/>
              <w:rPr>
                <w:rFonts w:cstheme="majorHAnsi"/>
              </w:rPr>
            </w:pPr>
            <w:r w:rsidRPr="00270B61">
              <w:rPr>
                <w:rFonts w:cstheme="majorHAnsi"/>
              </w:rPr>
              <w:t>Address</w:t>
            </w:r>
          </w:p>
        </w:tc>
        <w:tc>
          <w:tcPr>
            <w:tcW w:w="1000" w:type="pct"/>
          </w:tcPr>
          <w:p w14:paraId="543289D7" w14:textId="5CB7AE8E" w:rsidR="00FC0533" w:rsidRPr="00270B61" w:rsidRDefault="00FC0533">
            <w:pPr>
              <w:pStyle w:val="Tabletext"/>
              <w:jc w:val="left"/>
              <w:rPr>
                <w:rFonts w:cstheme="majorHAnsi"/>
              </w:rPr>
            </w:pPr>
            <w:r>
              <w:rPr>
                <w:rFonts w:cstheme="majorHAnsi"/>
              </w:rPr>
              <w:t>Status</w:t>
            </w:r>
          </w:p>
        </w:tc>
        <w:tc>
          <w:tcPr>
            <w:tcW w:w="1471" w:type="pct"/>
          </w:tcPr>
          <w:p w14:paraId="31DEEF5F" w14:textId="2168609B" w:rsidR="00FC0533" w:rsidRPr="00270B61" w:rsidRDefault="00FC0533">
            <w:pPr>
              <w:pStyle w:val="Tabletext"/>
              <w:jc w:val="left"/>
              <w:rPr>
                <w:rFonts w:cstheme="majorHAnsi"/>
              </w:rPr>
            </w:pPr>
            <w:r>
              <w:rPr>
                <w:rFonts w:cstheme="majorHAnsi"/>
              </w:rPr>
              <w:t>Description</w:t>
            </w:r>
          </w:p>
        </w:tc>
        <w:tc>
          <w:tcPr>
            <w:tcW w:w="529" w:type="pct"/>
          </w:tcPr>
          <w:p w14:paraId="5091E96D" w14:textId="2A0843F8" w:rsidR="00FC0533" w:rsidRPr="00270B61" w:rsidRDefault="00FC0533">
            <w:pPr>
              <w:pStyle w:val="Tabletext"/>
              <w:jc w:val="left"/>
              <w:rPr>
                <w:rFonts w:cstheme="majorHAnsi"/>
              </w:rPr>
            </w:pPr>
            <w:r w:rsidRPr="00270B61">
              <w:rPr>
                <w:rFonts w:cstheme="majorHAnsi"/>
              </w:rPr>
              <w:t>Distance from Site (km)</w:t>
            </w:r>
          </w:p>
        </w:tc>
      </w:tr>
      <w:tr w:rsidR="00FC0533" w:rsidRPr="00270B61" w14:paraId="1C256F96" w14:textId="77777777" w:rsidTr="00DA39EC">
        <w:trPr>
          <w:trHeight w:val="225"/>
        </w:trPr>
        <w:tc>
          <w:tcPr>
            <w:tcW w:w="1000" w:type="pct"/>
          </w:tcPr>
          <w:p w14:paraId="449C74CF" w14:textId="77777777" w:rsidR="007A3EDE" w:rsidRPr="007A3EDE" w:rsidRDefault="007A3EDE" w:rsidP="006C5B6B">
            <w:pPr>
              <w:pStyle w:val="Tabletext"/>
              <w:jc w:val="left"/>
              <w:rPr>
                <w:rFonts w:asciiTheme="majorHAnsi" w:hAnsiTheme="majorHAnsi" w:cstheme="majorHAnsi"/>
                <w:b/>
                <w:bCs/>
              </w:rPr>
            </w:pPr>
            <w:r w:rsidRPr="007A3EDE">
              <w:rPr>
                <w:rFonts w:asciiTheme="majorHAnsi" w:hAnsiTheme="majorHAnsi" w:cstheme="majorHAnsi"/>
                <w:b/>
                <w:bCs/>
              </w:rPr>
              <w:t>SDCC Ref. LRD25A/0012W</w:t>
            </w:r>
          </w:p>
          <w:p w14:paraId="6B37DE8B" w14:textId="413A02AA" w:rsidR="00FC0533" w:rsidRPr="00727808" w:rsidRDefault="007A3EDE" w:rsidP="006C5B6B">
            <w:pPr>
              <w:pStyle w:val="Tabletext"/>
              <w:spacing w:after="0"/>
              <w:jc w:val="left"/>
              <w:rPr>
                <w:rFonts w:asciiTheme="majorHAnsi" w:hAnsiTheme="majorHAnsi" w:cstheme="majorHAnsi"/>
                <w:b/>
                <w:bCs/>
              </w:rPr>
            </w:pPr>
            <w:r w:rsidRPr="007A3EDE">
              <w:rPr>
                <w:rFonts w:asciiTheme="majorHAnsi" w:hAnsiTheme="majorHAnsi" w:cstheme="majorHAnsi"/>
                <w:b/>
                <w:bCs/>
              </w:rPr>
              <w:t>ABP Ref. 324127</w:t>
            </w:r>
          </w:p>
        </w:tc>
        <w:tc>
          <w:tcPr>
            <w:tcW w:w="1000" w:type="pct"/>
          </w:tcPr>
          <w:p w14:paraId="0682B245" w14:textId="3B0977E5" w:rsidR="00FC0533" w:rsidRPr="00270B61" w:rsidRDefault="0052193B">
            <w:pPr>
              <w:pStyle w:val="Tabletext"/>
              <w:jc w:val="left"/>
              <w:rPr>
                <w:rFonts w:asciiTheme="majorHAnsi" w:hAnsiTheme="majorHAnsi" w:cstheme="majorHAnsi"/>
              </w:rPr>
            </w:pPr>
            <w:r w:rsidRPr="0052193B">
              <w:rPr>
                <w:rFonts w:asciiTheme="majorHAnsi" w:hAnsiTheme="majorHAnsi" w:cstheme="majorHAnsi"/>
              </w:rPr>
              <w:t>Townland of Boherboy, Saggart, Co. Dublin</w:t>
            </w:r>
          </w:p>
        </w:tc>
        <w:tc>
          <w:tcPr>
            <w:tcW w:w="1000" w:type="pct"/>
          </w:tcPr>
          <w:p w14:paraId="5EFDA495" w14:textId="2753510C" w:rsidR="00FC0533" w:rsidRPr="00270B61" w:rsidRDefault="0052193B">
            <w:pPr>
              <w:pStyle w:val="Tabletext"/>
              <w:jc w:val="left"/>
              <w:rPr>
                <w:rFonts w:asciiTheme="majorHAnsi" w:hAnsiTheme="majorHAnsi" w:cstheme="majorHAnsi"/>
              </w:rPr>
            </w:pPr>
            <w:r w:rsidRPr="0052193B">
              <w:rPr>
                <w:rFonts w:asciiTheme="majorHAnsi" w:hAnsiTheme="majorHAnsi" w:cstheme="majorHAnsi"/>
              </w:rPr>
              <w:t xml:space="preserve">Application granted, </w:t>
            </w:r>
            <w:r w:rsidR="006220ED">
              <w:t>appeal granted June 2026</w:t>
            </w:r>
          </w:p>
        </w:tc>
        <w:tc>
          <w:tcPr>
            <w:tcW w:w="1471" w:type="pct"/>
          </w:tcPr>
          <w:p w14:paraId="439FC5B7" w14:textId="0158B305" w:rsidR="00FC0533" w:rsidRPr="00270B61" w:rsidRDefault="008741EF">
            <w:pPr>
              <w:pStyle w:val="Tabletext"/>
              <w:jc w:val="left"/>
              <w:rPr>
                <w:rFonts w:asciiTheme="majorHAnsi" w:hAnsiTheme="majorHAnsi" w:cstheme="majorHAnsi"/>
              </w:rPr>
            </w:pPr>
            <w:r>
              <w:rPr>
                <w:rFonts w:asciiTheme="majorHAnsi" w:hAnsiTheme="majorHAnsi" w:cstheme="majorHAnsi"/>
              </w:rPr>
              <w:t>Residential development of 611 dwellings</w:t>
            </w:r>
            <w:r w:rsidR="00DA39EC">
              <w:rPr>
                <w:rFonts w:asciiTheme="majorHAnsi" w:hAnsiTheme="majorHAnsi" w:cstheme="majorHAnsi"/>
              </w:rPr>
              <w:t xml:space="preserve"> and a 2 storey creche. Submitted with EIAR. </w:t>
            </w:r>
          </w:p>
        </w:tc>
        <w:tc>
          <w:tcPr>
            <w:tcW w:w="529" w:type="pct"/>
          </w:tcPr>
          <w:p w14:paraId="6370D24C" w14:textId="153EA2E4" w:rsidR="00FC0533" w:rsidRPr="00270B61" w:rsidRDefault="00DA39EC">
            <w:pPr>
              <w:pStyle w:val="Tabletext"/>
              <w:jc w:val="left"/>
              <w:rPr>
                <w:rFonts w:asciiTheme="majorHAnsi" w:hAnsiTheme="majorHAnsi" w:cstheme="majorHAnsi"/>
              </w:rPr>
            </w:pPr>
            <w:r>
              <w:rPr>
                <w:rFonts w:asciiTheme="majorHAnsi" w:hAnsiTheme="majorHAnsi" w:cstheme="majorHAnsi"/>
              </w:rPr>
              <w:t>2</w:t>
            </w:r>
            <w:r w:rsidR="00767C8C">
              <w:rPr>
                <w:rFonts w:asciiTheme="majorHAnsi" w:hAnsiTheme="majorHAnsi" w:cstheme="majorHAnsi"/>
              </w:rPr>
              <w:t>k</w:t>
            </w:r>
            <w:r>
              <w:rPr>
                <w:rFonts w:asciiTheme="majorHAnsi" w:hAnsiTheme="majorHAnsi" w:cstheme="majorHAnsi"/>
              </w:rPr>
              <w:t>m</w:t>
            </w:r>
          </w:p>
        </w:tc>
      </w:tr>
      <w:tr w:rsidR="00FC0533" w:rsidRPr="00270B61" w14:paraId="0CAD7FE8" w14:textId="77777777" w:rsidTr="00DA39EC">
        <w:trPr>
          <w:trHeight w:val="224"/>
        </w:trPr>
        <w:tc>
          <w:tcPr>
            <w:tcW w:w="1000" w:type="pct"/>
            <w:tcBorders>
              <w:bottom w:val="single" w:sz="4" w:space="0" w:color="auto"/>
            </w:tcBorders>
          </w:tcPr>
          <w:p w14:paraId="633682C4" w14:textId="469E814A" w:rsidR="00FC0533" w:rsidRPr="00727808" w:rsidRDefault="00767C8C" w:rsidP="006C5B6B">
            <w:pPr>
              <w:pStyle w:val="TableListBullet"/>
              <w:numPr>
                <w:ilvl w:val="0"/>
                <w:numId w:val="0"/>
              </w:numPr>
              <w:spacing w:after="0"/>
              <w:ind w:hanging="284"/>
              <w:jc w:val="left"/>
              <w:rPr>
                <w:rFonts w:asciiTheme="majorHAnsi" w:hAnsiTheme="majorHAnsi" w:cstheme="majorHAnsi"/>
                <w:b/>
                <w:bCs/>
                <w:sz w:val="18"/>
              </w:rPr>
            </w:pPr>
            <w:r>
              <w:rPr>
                <w:rFonts w:asciiTheme="majorHAnsi" w:hAnsiTheme="majorHAnsi" w:cstheme="majorHAnsi"/>
                <w:b/>
                <w:bCs/>
                <w:sz w:val="18"/>
              </w:rPr>
              <w:t xml:space="preserve">      </w:t>
            </w:r>
            <w:r w:rsidR="005A7BED" w:rsidRPr="005A7BED">
              <w:rPr>
                <w:rFonts w:asciiTheme="majorHAnsi" w:hAnsiTheme="majorHAnsi" w:cstheme="majorHAnsi"/>
                <w:b/>
                <w:bCs/>
                <w:sz w:val="18"/>
              </w:rPr>
              <w:t>ACP Ref. 312501</w:t>
            </w:r>
          </w:p>
        </w:tc>
        <w:tc>
          <w:tcPr>
            <w:tcW w:w="1000" w:type="pct"/>
            <w:tcBorders>
              <w:bottom w:val="single" w:sz="4" w:space="0" w:color="auto"/>
            </w:tcBorders>
          </w:tcPr>
          <w:p w14:paraId="6078D4F8" w14:textId="652B3269" w:rsidR="00FC0533" w:rsidRPr="00270B61" w:rsidRDefault="007244FB">
            <w:pPr>
              <w:pStyle w:val="Tabletext"/>
              <w:jc w:val="left"/>
              <w:rPr>
                <w:rFonts w:asciiTheme="majorHAnsi" w:hAnsiTheme="majorHAnsi" w:cstheme="majorHAnsi"/>
              </w:rPr>
            </w:pPr>
            <w:r w:rsidRPr="007244FB">
              <w:rPr>
                <w:rFonts w:asciiTheme="majorHAnsi" w:hAnsiTheme="majorHAnsi" w:cstheme="majorHAnsi"/>
              </w:rPr>
              <w:t>Mill Road, Saggart, Co. Dublin</w:t>
            </w:r>
          </w:p>
        </w:tc>
        <w:tc>
          <w:tcPr>
            <w:tcW w:w="1000" w:type="pct"/>
            <w:tcBorders>
              <w:bottom w:val="single" w:sz="4" w:space="0" w:color="auto"/>
            </w:tcBorders>
          </w:tcPr>
          <w:p w14:paraId="168F0550" w14:textId="2F4A9488" w:rsidR="00FC0533" w:rsidRPr="00270B61" w:rsidRDefault="005A7BED">
            <w:pPr>
              <w:pStyle w:val="Tabletext"/>
              <w:jc w:val="left"/>
              <w:rPr>
                <w:rFonts w:asciiTheme="majorHAnsi" w:hAnsiTheme="majorHAnsi" w:cstheme="majorHAnsi"/>
              </w:rPr>
            </w:pPr>
            <w:r>
              <w:rPr>
                <w:rFonts w:asciiTheme="majorHAnsi" w:hAnsiTheme="majorHAnsi" w:cstheme="majorHAnsi"/>
              </w:rPr>
              <w:t>Granted 2022</w:t>
            </w:r>
          </w:p>
        </w:tc>
        <w:tc>
          <w:tcPr>
            <w:tcW w:w="1471" w:type="pct"/>
            <w:tcBorders>
              <w:bottom w:val="single" w:sz="4" w:space="0" w:color="auto"/>
            </w:tcBorders>
          </w:tcPr>
          <w:p w14:paraId="07CB9207" w14:textId="56B7C42E" w:rsidR="00FC0533" w:rsidRPr="00270B61" w:rsidRDefault="007244FB">
            <w:pPr>
              <w:pStyle w:val="Tabletext"/>
              <w:jc w:val="left"/>
              <w:rPr>
                <w:rFonts w:asciiTheme="majorHAnsi" w:hAnsiTheme="majorHAnsi" w:cstheme="majorHAnsi"/>
              </w:rPr>
            </w:pPr>
            <w:r w:rsidRPr="007244FB">
              <w:rPr>
                <w:rFonts w:asciiTheme="majorHAnsi" w:hAnsiTheme="majorHAnsi" w:cstheme="majorHAnsi"/>
              </w:rPr>
              <w:t xml:space="preserve">Demolition of an existing dwelling, construction of 274 no. </w:t>
            </w:r>
            <w:r w:rsidRPr="007244FB">
              <w:rPr>
                <w:rFonts w:asciiTheme="majorHAnsi" w:hAnsiTheme="majorHAnsi" w:cstheme="majorHAnsi"/>
              </w:rPr>
              <w:lastRenderedPageBreak/>
              <w:t>residential units (51 no. houses, 223 no. apartments), creche and associated site works.</w:t>
            </w:r>
          </w:p>
        </w:tc>
        <w:tc>
          <w:tcPr>
            <w:tcW w:w="529" w:type="pct"/>
            <w:tcBorders>
              <w:bottom w:val="single" w:sz="4" w:space="0" w:color="auto"/>
            </w:tcBorders>
          </w:tcPr>
          <w:p w14:paraId="27ADC05B" w14:textId="67021911" w:rsidR="00FC0533" w:rsidRPr="00270B61" w:rsidRDefault="00767C8C">
            <w:pPr>
              <w:pStyle w:val="Tabletext"/>
              <w:jc w:val="left"/>
              <w:rPr>
                <w:rFonts w:asciiTheme="majorHAnsi" w:hAnsiTheme="majorHAnsi" w:cstheme="majorHAnsi"/>
              </w:rPr>
            </w:pPr>
            <w:r>
              <w:rPr>
                <w:rFonts w:asciiTheme="majorHAnsi" w:hAnsiTheme="majorHAnsi" w:cstheme="majorHAnsi"/>
              </w:rPr>
              <w:lastRenderedPageBreak/>
              <w:t>0.7km</w:t>
            </w:r>
          </w:p>
        </w:tc>
      </w:tr>
      <w:tr w:rsidR="00FC0533" w:rsidRPr="00270B61" w14:paraId="6F9291E8" w14:textId="77777777" w:rsidTr="00DA39EC">
        <w:trPr>
          <w:trHeight w:val="224"/>
        </w:trPr>
        <w:tc>
          <w:tcPr>
            <w:tcW w:w="1000" w:type="pct"/>
            <w:tcBorders>
              <w:bottom w:val="single" w:sz="4" w:space="0" w:color="auto"/>
            </w:tcBorders>
          </w:tcPr>
          <w:p w14:paraId="7710AB8A" w14:textId="4B279DB4" w:rsidR="00FC0533" w:rsidRPr="00727808" w:rsidRDefault="006D077C" w:rsidP="006D077C">
            <w:pPr>
              <w:pStyle w:val="TableListBullet"/>
              <w:numPr>
                <w:ilvl w:val="0"/>
                <w:numId w:val="0"/>
              </w:numPr>
              <w:spacing w:after="0"/>
              <w:ind w:left="284" w:hanging="284"/>
              <w:jc w:val="left"/>
              <w:rPr>
                <w:rFonts w:asciiTheme="majorHAnsi" w:hAnsiTheme="majorHAnsi" w:cstheme="majorHAnsi"/>
                <w:b/>
                <w:bCs/>
                <w:sz w:val="18"/>
              </w:rPr>
            </w:pPr>
            <w:r w:rsidRPr="006D077C">
              <w:rPr>
                <w:rFonts w:asciiTheme="majorHAnsi" w:hAnsiTheme="majorHAnsi" w:cstheme="majorHAnsi"/>
                <w:b/>
                <w:bCs/>
                <w:sz w:val="18"/>
              </w:rPr>
              <w:t>ACP Ref. 305563</w:t>
            </w:r>
          </w:p>
        </w:tc>
        <w:tc>
          <w:tcPr>
            <w:tcW w:w="1000" w:type="pct"/>
            <w:tcBorders>
              <w:bottom w:val="single" w:sz="4" w:space="0" w:color="auto"/>
            </w:tcBorders>
          </w:tcPr>
          <w:p w14:paraId="5279F0DA" w14:textId="2DAF2003" w:rsidR="00FC0533" w:rsidRPr="00270B61" w:rsidRDefault="003574B0">
            <w:pPr>
              <w:pStyle w:val="Tabletext"/>
              <w:jc w:val="left"/>
              <w:rPr>
                <w:rFonts w:asciiTheme="majorHAnsi" w:hAnsiTheme="majorHAnsi" w:cstheme="majorHAnsi"/>
              </w:rPr>
            </w:pPr>
            <w:r w:rsidRPr="003574B0">
              <w:rPr>
                <w:rFonts w:asciiTheme="majorHAnsi" w:hAnsiTheme="majorHAnsi" w:cstheme="majorHAnsi"/>
              </w:rPr>
              <w:t>Fortunestown Lane, Saggart, Co. Dublin</w:t>
            </w:r>
          </w:p>
        </w:tc>
        <w:tc>
          <w:tcPr>
            <w:tcW w:w="1000" w:type="pct"/>
            <w:tcBorders>
              <w:bottom w:val="single" w:sz="4" w:space="0" w:color="auto"/>
            </w:tcBorders>
          </w:tcPr>
          <w:p w14:paraId="2B19BE8D" w14:textId="2528A638" w:rsidR="00FC0533" w:rsidRPr="00270B61" w:rsidRDefault="003574B0">
            <w:pPr>
              <w:pStyle w:val="Tabletext"/>
              <w:jc w:val="left"/>
              <w:rPr>
                <w:rFonts w:asciiTheme="majorHAnsi" w:hAnsiTheme="majorHAnsi" w:cstheme="majorHAnsi"/>
              </w:rPr>
            </w:pPr>
            <w:r>
              <w:rPr>
                <w:rFonts w:asciiTheme="majorHAnsi" w:hAnsiTheme="majorHAnsi" w:cstheme="majorHAnsi"/>
              </w:rPr>
              <w:t>Granted 2020</w:t>
            </w:r>
          </w:p>
        </w:tc>
        <w:tc>
          <w:tcPr>
            <w:tcW w:w="1471" w:type="pct"/>
            <w:tcBorders>
              <w:bottom w:val="single" w:sz="4" w:space="0" w:color="auto"/>
            </w:tcBorders>
          </w:tcPr>
          <w:p w14:paraId="15AFFB85" w14:textId="73CDCA0E" w:rsidR="00FC0533" w:rsidRPr="00270B61" w:rsidRDefault="003574B0">
            <w:pPr>
              <w:pStyle w:val="Tabletext"/>
              <w:jc w:val="left"/>
              <w:rPr>
                <w:rFonts w:asciiTheme="majorHAnsi" w:hAnsiTheme="majorHAnsi" w:cstheme="majorHAnsi"/>
              </w:rPr>
            </w:pPr>
            <w:r w:rsidRPr="003574B0">
              <w:rPr>
                <w:rFonts w:asciiTheme="majorHAnsi" w:hAnsiTheme="majorHAnsi" w:cstheme="majorHAnsi"/>
              </w:rPr>
              <w:t>488 no. apartments, creche and associated site works. Permission granted for an additional 86no. Units under SDCC Ref. LRD24A/0006W on September 16 2024.</w:t>
            </w:r>
          </w:p>
        </w:tc>
        <w:tc>
          <w:tcPr>
            <w:tcW w:w="529" w:type="pct"/>
            <w:tcBorders>
              <w:bottom w:val="single" w:sz="4" w:space="0" w:color="auto"/>
            </w:tcBorders>
          </w:tcPr>
          <w:p w14:paraId="1B50DE0F" w14:textId="121E4763" w:rsidR="00FC0533" w:rsidRPr="00270B61" w:rsidRDefault="003574B0">
            <w:pPr>
              <w:pStyle w:val="Tabletext"/>
              <w:jc w:val="left"/>
              <w:rPr>
                <w:rFonts w:asciiTheme="majorHAnsi" w:hAnsiTheme="majorHAnsi" w:cstheme="majorHAnsi"/>
              </w:rPr>
            </w:pPr>
            <w:r w:rsidRPr="003574B0">
              <w:rPr>
                <w:rFonts w:asciiTheme="majorHAnsi" w:hAnsiTheme="majorHAnsi" w:cstheme="majorHAnsi"/>
              </w:rPr>
              <w:t>1.5km</w:t>
            </w:r>
          </w:p>
        </w:tc>
      </w:tr>
    </w:tbl>
    <w:p w14:paraId="06E2EE29" w14:textId="77777777" w:rsidR="00FF3844" w:rsidRDefault="00FF3844" w:rsidP="00745606"/>
    <w:p w14:paraId="30F53A4E" w14:textId="4FB816DF" w:rsidR="0057050D" w:rsidRDefault="0057050D" w:rsidP="0057050D">
      <w:pPr>
        <w:pStyle w:val="Heading5"/>
      </w:pPr>
      <w:r>
        <w:t>Childcare Requirement</w:t>
      </w:r>
    </w:p>
    <w:p w14:paraId="47F5FF12" w14:textId="1354A2C6" w:rsidR="00B911C6" w:rsidRDefault="00B911C6" w:rsidP="00B911C6">
      <w:pPr>
        <w:pStyle w:val="BodyText"/>
      </w:pPr>
      <w:r>
        <w:t xml:space="preserve">Within the Governmental Document on </w:t>
      </w:r>
      <w:r w:rsidRPr="00B911C6">
        <w:rPr>
          <w:i/>
          <w:iCs/>
        </w:rPr>
        <w:t>Childcare Guidelines for Planning Authorities</w:t>
      </w:r>
      <w:r>
        <w:t xml:space="preserve"> it is established that where 75 dwellings are constructed, one childcare facility providing a minimum of 20 childcare places may be appropriate. Section 2.4 states that this is the case unless there are significant reasons to the contrary. For example, where ‘</w:t>
      </w:r>
      <w:r w:rsidRPr="00994E30">
        <w:rPr>
          <w:i/>
          <w:iCs/>
        </w:rPr>
        <w:t>development consisting of single bed apartments or where there are adequate childcare facilities in adjoining developments… The threshold for provision should be established having regard to the existing geographical distribution of childcare facilities and the emerging demographic profile of areas’</w:t>
      </w:r>
      <w:r>
        <w:t>. Section 3.3.1 furthermore specifies that this is a guideline standard and will depend on the particular circumstances of each individual site.</w:t>
      </w:r>
    </w:p>
    <w:p w14:paraId="36BDB903" w14:textId="6C975265" w:rsidR="008A5B73" w:rsidRDefault="00B911C6" w:rsidP="00B911C6">
      <w:pPr>
        <w:pStyle w:val="BodyText"/>
      </w:pPr>
      <w:r>
        <w:t xml:space="preserve">Section 4.7 of the </w:t>
      </w:r>
      <w:r w:rsidRPr="00994E30">
        <w:rPr>
          <w:i/>
          <w:iCs/>
        </w:rPr>
        <w:t>Design Standards for Apartments Guidelines for Planning Authorities,</w:t>
      </w:r>
      <w:r>
        <w:t xml:space="preserve"> 2025 highlights that the Childcare Guidelines are currently under review and reiterate the need to establish the threshold for provision with regard to scale, unit mix, geographical distribution of childcare and emerging demographic profile. The guidelines also state that the omission of one-bedroom units </w:t>
      </w:r>
      <w:r w:rsidRPr="00DF67FF">
        <w:rPr>
          <w:i/>
          <w:iCs/>
        </w:rPr>
        <w:t>‘may also apply in part or in whole, to units with two or more bedrooms’</w:t>
      </w:r>
      <w:r>
        <w:t xml:space="preserve">. All 1-bed and age friendly 2-bed housing units have been omitted and we note that on the basis of the provisions of the Apartments Guidelines stated above there may also be scope to omit further 2-bed units from the </w:t>
      </w:r>
      <w:r w:rsidR="006C3E8E">
        <w:t xml:space="preserve">assessment. </w:t>
      </w:r>
    </w:p>
    <w:p w14:paraId="172F06CB" w14:textId="7B44C542" w:rsidR="008A5B73" w:rsidRDefault="008A5B73" w:rsidP="00B911C6">
      <w:pPr>
        <w:pStyle w:val="BodyText"/>
      </w:pPr>
      <w:r w:rsidRPr="008A5B73">
        <w:t>The provision of 13</w:t>
      </w:r>
      <w:r>
        <w:t>0</w:t>
      </w:r>
      <w:r w:rsidRPr="008A5B73">
        <w:t xml:space="preserve"> units is above the 75 units which results in the consideration of a requirement for a childcare facility under the Childcare Facilities Guidelines for Planning Authorities (2001). Discounting the </w:t>
      </w:r>
      <w:r>
        <w:t xml:space="preserve"> one </w:t>
      </w:r>
      <w:r w:rsidRPr="008A5B73">
        <w:t>bed and age friendly units, a total of 9</w:t>
      </w:r>
      <w:r>
        <w:t>4</w:t>
      </w:r>
      <w:r w:rsidRPr="008A5B73">
        <w:t xml:space="preserve"> may give rise to a need for childcare spaces.</w:t>
      </w:r>
    </w:p>
    <w:p w14:paraId="141545C0" w14:textId="20ED2513" w:rsidR="0057050D" w:rsidRDefault="0057050D" w:rsidP="0057050D">
      <w:pPr>
        <w:pStyle w:val="Heading5"/>
      </w:pPr>
      <w:r>
        <w:t>Childcare Demand</w:t>
      </w:r>
    </w:p>
    <w:p w14:paraId="1044A242" w14:textId="618FAE30" w:rsidR="00855774" w:rsidRDefault="00855774" w:rsidP="00855774">
      <w:pPr>
        <w:pStyle w:val="BodyText"/>
      </w:pPr>
      <w:r>
        <w:t>According to Census 2022, the population of Rathcoole Town was 5,792 no. persons, an increase of 33% on the 2016 figure of 4,351 no. persons. Of the 2022 total, 525 no. persons (9%) were aged 0–4 years, which is considerably higher than the South Dublin County average of 6.2%. Within Rathcoole Town, 57.5% of usually resident children were recorded as being in childcare (e.g. family member, au pair or crèche), which is higher than the SDCC average of 46%.</w:t>
      </w:r>
    </w:p>
    <w:p w14:paraId="1B62AA84" w14:textId="3D622CF9" w:rsidR="00855774" w:rsidRDefault="00855774" w:rsidP="00855774">
      <w:pPr>
        <w:pStyle w:val="BodyText"/>
      </w:pPr>
      <w:r>
        <w:t>Taking the average household size of 2.96 no. persons within the study area, the 94 no. appropriate two-bedroom and larger units proposed could generate an indicative population of c.278 no. persons within the units capable of accommodating children. Applying the Rathcoole Town proportion of 9% aged 0–4 years, c.25 no. children within the scheme would fall within this cohort, of whom c.14 no. would require childcare on the basis of the local childcare rate of 57.5%.</w:t>
      </w:r>
    </w:p>
    <w:p w14:paraId="34ED2CCA" w14:textId="33343F27" w:rsidR="001313A0" w:rsidRDefault="00855774" w:rsidP="00855774">
      <w:pPr>
        <w:pStyle w:val="BodyText"/>
      </w:pPr>
      <w:r>
        <w:t>In respect of crèche-based provision specifically, within SDCC 46.18% of children in childcare aged 0–2 years are in a crèche, Montessori, playgroup or after-school setting, rising to 71.73% of those aged 3–4 years. Applied across the 0–4 cohort, this equates to c.56% of children in childcare being in a crèche-based service. On this basis, c.8 no. children within the scheme would require a crèche place.</w:t>
      </w:r>
    </w:p>
    <w:p w14:paraId="6AB5851F" w14:textId="36F8E95C" w:rsidR="00FE2733" w:rsidRDefault="00FE2733" w:rsidP="00855774">
      <w:pPr>
        <w:pStyle w:val="BodyText"/>
      </w:pPr>
      <w:r w:rsidRPr="00FE2733">
        <w:t xml:space="preserve">The childcare audit identified 9 no. facilities within c.2km of the site (539 no. registered places), with a further 3 no. facilities within c.3km at Citywest reasonably accessible to commuting residents. All were contacted to confirm capacity: 5 no. vacancies have been confirmed to date, with responses still outstanding from a number of providers. Beyond existing places, permitted provision in the wider area includes a surplus of c.3 no. places at the crèche permitted at Mill Road, Saggart (c.0.7km from the site), and a </w:t>
      </w:r>
      <w:r w:rsidR="00C00634">
        <w:t>permitted</w:t>
      </w:r>
      <w:r w:rsidR="00BF57E2">
        <w:t xml:space="preserve"> </w:t>
      </w:r>
      <w:r w:rsidRPr="00FE2733">
        <w:t xml:space="preserve">crèche of c.150 no. places at Cuil Duin Avenue, Citywest — a South Dublin County Council capital project not tied to the demand of any single development. The proposed development, </w:t>
      </w:r>
      <w:r w:rsidR="00BF57E2">
        <w:t xml:space="preserve">is expected to generate a </w:t>
      </w:r>
      <w:r w:rsidR="00BF57E2">
        <w:lastRenderedPageBreak/>
        <w:t xml:space="preserve">requirement for </w:t>
      </w:r>
      <w:r w:rsidRPr="00FE2733">
        <w:t xml:space="preserve">c.8 no. </w:t>
      </w:r>
      <w:r w:rsidR="00BF57E2">
        <w:t>creche places. This is</w:t>
      </w:r>
      <w:r w:rsidRPr="00FE2733">
        <w:t xml:space="preserve"> a conservative estimate that treats every two-bedroom</w:t>
      </w:r>
      <w:r w:rsidR="00D5764C">
        <w:t xml:space="preserve"> plu</w:t>
      </w:r>
      <w:r w:rsidRPr="00FE2733">
        <w:t>s unit other than age-friendly accommodation as capable of accommodating children.</w:t>
      </w:r>
    </w:p>
    <w:p w14:paraId="339FC1A1" w14:textId="0094C39E" w:rsidR="00FD4F68" w:rsidRDefault="0025027C" w:rsidP="00FD4F68">
      <w:pPr>
        <w:pStyle w:val="Heading4"/>
      </w:pPr>
      <w:r>
        <w:t>Education</w:t>
      </w:r>
    </w:p>
    <w:p w14:paraId="556DC302" w14:textId="66B5B1C9" w:rsidR="002063A4" w:rsidRDefault="0025027C" w:rsidP="00F7745E">
      <w:r>
        <w:t xml:space="preserve">Every year, the Department of Education and </w:t>
      </w:r>
      <w:r w:rsidR="000D58A3">
        <w:t>Youth</w:t>
      </w:r>
      <w:r>
        <w:t xml:space="preserve"> release details on enrolment figures for all primary schools. Currently there are </w:t>
      </w:r>
      <w:r w:rsidR="00991F98">
        <w:t>2</w:t>
      </w:r>
      <w:r>
        <w:t xml:space="preserve"> no.</w:t>
      </w:r>
      <w:r w:rsidR="00D122F0">
        <w:t xml:space="preserve"> existing</w:t>
      </w:r>
      <w:r>
        <w:t xml:space="preserve"> primary schools </w:t>
      </w:r>
      <w:r w:rsidR="00D122F0">
        <w:t xml:space="preserve">and 1no. approved primary school </w:t>
      </w:r>
      <w:r>
        <w:t xml:space="preserve">across the catchment area of the subject site. </w:t>
      </w:r>
      <w:r w:rsidR="00652D06">
        <w:t>Outside</w:t>
      </w:r>
      <w:r w:rsidR="00A56EB6">
        <w:t xml:space="preserve"> of the catchment area, two further </w:t>
      </w:r>
      <w:r w:rsidR="000B1364">
        <w:t xml:space="preserve">primary </w:t>
      </w:r>
      <w:r w:rsidR="00A56EB6">
        <w:t xml:space="preserve">schools are situated in Citywest and Saggart. Despite their respective locations outside of the 2km catchment these schools are considered accessible from the site on the basis of their </w:t>
      </w:r>
      <w:r w:rsidR="002063A4">
        <w:t>being within a 20-25 minute public bus journey from the proposed development.</w:t>
      </w:r>
      <w:r w:rsidR="00F7745E">
        <w:t xml:space="preserve"> These schools are Citywest &amp; Saggart Community National School, Citywest Educate Together National School and St. Mary's National School Saggart.</w:t>
      </w:r>
      <w:r w:rsidR="001F6D8F">
        <w:t xml:space="preserve"> </w:t>
      </w:r>
      <w:r w:rsidR="00863E7C">
        <w:t>St. Finian’s Primary School, located in Newcastle, is a 27 minute public bus journey from the site</w:t>
      </w:r>
      <w:r w:rsidR="00CC2164" w:rsidRPr="00CC2164">
        <w:rPr>
          <w:lang w:val="en-US"/>
        </w:rPr>
        <w:t>. A further catchment of 3.75km was considered for secondary schools as it is considered that the 15 minute cycle from the site to these schools is reasonable for secondary school students to travel. 2 no. secondary schools are located within cycling distance</w:t>
      </w:r>
      <w:r w:rsidR="00C870FF">
        <w:rPr>
          <w:lang w:val="en-US"/>
        </w:rPr>
        <w:t>, St Aidan’s Community School and Mount Seskin Community College</w:t>
      </w:r>
      <w:r w:rsidR="00CC2164" w:rsidRPr="00CC2164">
        <w:rPr>
          <w:lang w:val="en-US"/>
        </w:rPr>
        <w:t>.</w:t>
      </w:r>
    </w:p>
    <w:p w14:paraId="5D19A0EF" w14:textId="77777777" w:rsidR="00F7745E" w:rsidRDefault="00F7745E" w:rsidP="00F7745E"/>
    <w:p w14:paraId="67229EAC" w14:textId="32D5824C" w:rsidR="00F7745E" w:rsidRDefault="00652D06" w:rsidP="00F7745E">
      <w:r w:rsidRPr="00652D06">
        <w:t xml:space="preserve">There is currently no dedicated special school for pupils with intellectual disabilities within Rathcoole. However, the primary schools serving Rathcoole, Saggart and Citywest provide a range of special educational supports and services. The nearest dedicated special school is St. Raphael's Special School in Celbridge, Co. Kildare, located approximately 20 minutes from </w:t>
      </w:r>
      <w:r>
        <w:t>the site</w:t>
      </w:r>
      <w:r w:rsidRPr="00652D06">
        <w:t xml:space="preserve"> by car or dedicated school transport.</w:t>
      </w:r>
    </w:p>
    <w:p w14:paraId="275FCF28" w14:textId="77777777" w:rsidR="002063A4" w:rsidRDefault="002063A4" w:rsidP="0025027C"/>
    <w:p w14:paraId="18FEB451" w14:textId="4D329DB9" w:rsidR="0032404B" w:rsidRDefault="0025027C" w:rsidP="0025027C">
      <w:r>
        <w:t>The total number of primary school level students</w:t>
      </w:r>
      <w:r w:rsidR="00BF6516">
        <w:t xml:space="preserve"> enrolled</w:t>
      </w:r>
      <w:r>
        <w:t xml:space="preserve"> in the study </w:t>
      </w:r>
      <w:r w:rsidRPr="006F38BD">
        <w:t xml:space="preserve">area is </w:t>
      </w:r>
      <w:r w:rsidR="00D65F32">
        <w:t>c.</w:t>
      </w:r>
      <w:r w:rsidR="008C79E9">
        <w:t>2,533</w:t>
      </w:r>
      <w:r w:rsidRPr="006F38BD">
        <w:t xml:space="preserve"> no.</w:t>
      </w:r>
      <w:r>
        <w:t xml:space="preserve"> pupils. This information was acquired by accessing school lists on the Department of Education’s </w:t>
      </w:r>
      <w:r w:rsidR="00451CD1">
        <w:t>(DoE</w:t>
      </w:r>
      <w:r w:rsidR="0032404B">
        <w:t xml:space="preserve">s) </w:t>
      </w:r>
      <w:r>
        <w:t>website</w:t>
      </w:r>
      <w:r w:rsidR="00FE51BC">
        <w:t>, or through making contact with the school where required</w:t>
      </w:r>
      <w:r>
        <w:t xml:space="preserve">.  </w:t>
      </w:r>
      <w:r w:rsidR="008C79E9">
        <w:t xml:space="preserve">It is noted that </w:t>
      </w:r>
      <w:r w:rsidR="009C5359">
        <w:t>the upcoming completion of Gaelscoil Lir’s new school building will likely increase the total number of primary school students in the area by c.</w:t>
      </w:r>
      <w:r w:rsidR="00DB02DD">
        <w:t>315 students (16 classrooms x 23 students per classroom average</w:t>
      </w:r>
      <w:r w:rsidR="00463B04">
        <w:t xml:space="preserve"> – 53 students enrolled 2025/2026). </w:t>
      </w:r>
      <w:r w:rsidR="00D65F32">
        <w:t>A comprehensive follow up survey is to be</w:t>
      </w:r>
      <w:r w:rsidRPr="00570077">
        <w:t xml:space="preserve"> carried out</w:t>
      </w:r>
      <w:r>
        <w:t xml:space="preserve"> by MacCabe Durney Barnes </w:t>
      </w:r>
      <w:r w:rsidR="00451CD1">
        <w:t>following the release of updated DoE</w:t>
      </w:r>
      <w:r w:rsidR="0032404B">
        <w:t xml:space="preserve"> enrolment figures and the commencement of the new school term </w:t>
      </w:r>
      <w:r>
        <w:t>(</w:t>
      </w:r>
      <w:r w:rsidR="00D65F32">
        <w:t>September</w:t>
      </w:r>
      <w:r w:rsidR="00FE51BC">
        <w:t xml:space="preserve"> 2026</w:t>
      </w:r>
      <w:r>
        <w:t>)</w:t>
      </w:r>
      <w:r w:rsidRPr="00570077">
        <w:t xml:space="preserve"> to determine the spare capacity within the area</w:t>
      </w:r>
      <w:r w:rsidR="00FE51BC">
        <w:t xml:space="preserve"> </w:t>
      </w:r>
      <w:r w:rsidR="00451CD1">
        <w:t>for the 2026/2027 academic year</w:t>
      </w:r>
      <w:r w:rsidRPr="00570077">
        <w:t>.</w:t>
      </w:r>
    </w:p>
    <w:p w14:paraId="108643F0" w14:textId="586A0AB8" w:rsidR="0025027C" w:rsidRDefault="0025027C" w:rsidP="0025027C"/>
    <w:p w14:paraId="37C838F8" w14:textId="177B2075" w:rsidR="00D122F0" w:rsidRPr="00733E9A" w:rsidRDefault="00D122F0" w:rsidP="00D122F0">
      <w:pPr>
        <w:pStyle w:val="Caption"/>
      </w:pPr>
      <w:bookmarkStart w:id="73" w:name="_Toc233123416"/>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6</w:t>
      </w:r>
      <w:r>
        <w:fldChar w:fldCharType="end"/>
      </w:r>
      <w:r w:rsidRPr="00733E9A">
        <w:t xml:space="preserve">: </w:t>
      </w:r>
      <w:r w:rsidR="009F0821">
        <w:t>Primary Schools</w:t>
      </w:r>
      <w:bookmarkEnd w:id="73"/>
    </w:p>
    <w:tbl>
      <w:tblPr>
        <w:tblStyle w:val="AECOMtable"/>
        <w:tblW w:w="5000" w:type="pct"/>
        <w:tblLayout w:type="fixed"/>
        <w:tblLook w:val="04A0" w:firstRow="1" w:lastRow="0" w:firstColumn="1" w:lastColumn="0" w:noHBand="0" w:noVBand="1"/>
      </w:tblPr>
      <w:tblGrid>
        <w:gridCol w:w="1889"/>
        <w:gridCol w:w="1493"/>
        <w:gridCol w:w="1493"/>
        <w:gridCol w:w="1493"/>
        <w:gridCol w:w="1493"/>
        <w:gridCol w:w="1493"/>
      </w:tblGrid>
      <w:tr w:rsidR="00A56EB6" w:rsidRPr="00270B61" w14:paraId="5072241B" w14:textId="741EA8CE" w:rsidTr="00A56EB6">
        <w:trPr>
          <w:cnfStyle w:val="100000000000" w:firstRow="1" w:lastRow="0" w:firstColumn="0" w:lastColumn="0" w:oddVBand="0" w:evenVBand="0" w:oddHBand="0" w:evenHBand="0" w:firstRowFirstColumn="0" w:firstRowLastColumn="0" w:lastRowFirstColumn="0" w:lastRowLastColumn="0"/>
          <w:tblHeader/>
        </w:trPr>
        <w:tc>
          <w:tcPr>
            <w:tcW w:w="1889" w:type="dxa"/>
          </w:tcPr>
          <w:p w14:paraId="173E5857" w14:textId="0D26E9E2" w:rsidR="00A56EB6" w:rsidRPr="00270B61" w:rsidRDefault="00A56EB6" w:rsidP="00770B51">
            <w:pPr>
              <w:pStyle w:val="Tabletext"/>
              <w:jc w:val="left"/>
              <w:rPr>
                <w:rFonts w:cstheme="majorHAnsi"/>
              </w:rPr>
            </w:pPr>
            <w:r w:rsidRPr="00270B61">
              <w:rPr>
                <w:rFonts w:cstheme="majorHAnsi"/>
              </w:rPr>
              <w:t>School name</w:t>
            </w:r>
          </w:p>
        </w:tc>
        <w:tc>
          <w:tcPr>
            <w:tcW w:w="1493" w:type="dxa"/>
          </w:tcPr>
          <w:p w14:paraId="4DCFB7B4" w14:textId="6F7F5938" w:rsidR="00A56EB6" w:rsidRPr="00270B61" w:rsidRDefault="00A56EB6" w:rsidP="00770B51">
            <w:pPr>
              <w:pStyle w:val="Tabletext"/>
              <w:jc w:val="left"/>
              <w:rPr>
                <w:rFonts w:cstheme="majorHAnsi"/>
              </w:rPr>
            </w:pPr>
            <w:r w:rsidRPr="00270B61">
              <w:rPr>
                <w:rFonts w:cstheme="majorHAnsi"/>
              </w:rPr>
              <w:t>Address</w:t>
            </w:r>
          </w:p>
        </w:tc>
        <w:tc>
          <w:tcPr>
            <w:tcW w:w="1493" w:type="dxa"/>
          </w:tcPr>
          <w:p w14:paraId="122B7E4C" w14:textId="47A95224" w:rsidR="00A56EB6" w:rsidRPr="00270B61" w:rsidRDefault="00A56EB6" w:rsidP="00770B51">
            <w:pPr>
              <w:pStyle w:val="Tabletext"/>
              <w:jc w:val="left"/>
              <w:rPr>
                <w:rFonts w:cstheme="majorHAnsi"/>
              </w:rPr>
            </w:pPr>
            <w:r w:rsidRPr="00270B61">
              <w:rPr>
                <w:rFonts w:cstheme="majorHAnsi"/>
              </w:rPr>
              <w:t>Distance from Site (km)</w:t>
            </w:r>
          </w:p>
        </w:tc>
        <w:tc>
          <w:tcPr>
            <w:tcW w:w="1493" w:type="dxa"/>
          </w:tcPr>
          <w:p w14:paraId="34C753C6" w14:textId="0644A2F0" w:rsidR="00A56EB6" w:rsidRPr="00270B61" w:rsidRDefault="00A56EB6" w:rsidP="00770B51">
            <w:pPr>
              <w:pStyle w:val="Tabletext"/>
              <w:jc w:val="left"/>
              <w:rPr>
                <w:rFonts w:cstheme="majorHAnsi"/>
              </w:rPr>
            </w:pPr>
            <w:r w:rsidRPr="00270B61">
              <w:rPr>
                <w:rFonts w:cstheme="majorHAnsi"/>
              </w:rPr>
              <w:t>Enrolment 2024/2025</w:t>
            </w:r>
          </w:p>
        </w:tc>
        <w:tc>
          <w:tcPr>
            <w:tcW w:w="1493" w:type="dxa"/>
          </w:tcPr>
          <w:p w14:paraId="5DE5B589" w14:textId="78BB0036" w:rsidR="00A56EB6" w:rsidRPr="00270B61" w:rsidRDefault="00A56EB6" w:rsidP="00770B51">
            <w:pPr>
              <w:pStyle w:val="Tabletext"/>
              <w:jc w:val="left"/>
              <w:rPr>
                <w:rFonts w:cstheme="majorHAnsi"/>
              </w:rPr>
            </w:pPr>
            <w:r w:rsidRPr="00270B61">
              <w:rPr>
                <w:rFonts w:cstheme="majorHAnsi"/>
              </w:rPr>
              <w:t>Enrolment 2025/2026</w:t>
            </w:r>
          </w:p>
        </w:tc>
        <w:tc>
          <w:tcPr>
            <w:tcW w:w="1493" w:type="dxa"/>
          </w:tcPr>
          <w:p w14:paraId="573EDD99" w14:textId="1416F8B5" w:rsidR="00A56EB6" w:rsidRPr="00270B61" w:rsidRDefault="00A56EB6" w:rsidP="00770B51">
            <w:pPr>
              <w:pStyle w:val="Tabletext"/>
              <w:jc w:val="left"/>
              <w:rPr>
                <w:rFonts w:cstheme="majorHAnsi"/>
              </w:rPr>
            </w:pPr>
            <w:r w:rsidRPr="00270B61">
              <w:rPr>
                <w:rFonts w:cstheme="majorHAnsi"/>
              </w:rPr>
              <w:t>Available Capacity</w:t>
            </w:r>
            <w:r w:rsidR="00ED6901" w:rsidRPr="00270B61">
              <w:rPr>
                <w:rFonts w:cstheme="majorHAnsi"/>
              </w:rPr>
              <w:t xml:space="preserve"> </w:t>
            </w:r>
          </w:p>
        </w:tc>
      </w:tr>
      <w:tr w:rsidR="00A56EB6" w:rsidRPr="00270B61" w14:paraId="7275C98D" w14:textId="62DC7F23" w:rsidTr="00A56EB6">
        <w:trPr>
          <w:trHeight w:val="225"/>
        </w:trPr>
        <w:tc>
          <w:tcPr>
            <w:tcW w:w="1889" w:type="dxa"/>
          </w:tcPr>
          <w:p w14:paraId="02EC2C73" w14:textId="77777777" w:rsidR="00C3546B" w:rsidRPr="00727808" w:rsidRDefault="00C3546B" w:rsidP="00770B51">
            <w:pPr>
              <w:pStyle w:val="Tabletext"/>
              <w:spacing w:after="0"/>
              <w:ind w:left="57"/>
              <w:jc w:val="left"/>
              <w:rPr>
                <w:rFonts w:asciiTheme="majorHAnsi" w:hAnsiTheme="majorHAnsi" w:cstheme="majorHAnsi"/>
                <w:b/>
                <w:bCs/>
              </w:rPr>
            </w:pPr>
            <w:r w:rsidRPr="00727808">
              <w:rPr>
                <w:rFonts w:asciiTheme="majorHAnsi" w:hAnsiTheme="majorHAnsi" w:cstheme="majorHAnsi"/>
                <w:b/>
                <w:bCs/>
              </w:rPr>
              <w:t xml:space="preserve">Scoil </w:t>
            </w:r>
          </w:p>
          <w:p w14:paraId="45E009C2" w14:textId="3971F465" w:rsidR="00A56EB6" w:rsidRPr="00727808" w:rsidRDefault="00C3546B" w:rsidP="00770B51">
            <w:pPr>
              <w:pStyle w:val="Tabletext"/>
              <w:spacing w:after="0"/>
              <w:ind w:left="57"/>
              <w:jc w:val="left"/>
              <w:rPr>
                <w:rFonts w:asciiTheme="majorHAnsi" w:hAnsiTheme="majorHAnsi" w:cstheme="majorHAnsi"/>
                <w:b/>
                <w:bCs/>
              </w:rPr>
            </w:pPr>
            <w:r w:rsidRPr="00727808">
              <w:rPr>
                <w:rFonts w:asciiTheme="majorHAnsi" w:hAnsiTheme="majorHAnsi" w:cstheme="majorHAnsi"/>
                <w:b/>
                <w:bCs/>
              </w:rPr>
              <w:t>Chrónáin</w:t>
            </w:r>
          </w:p>
        </w:tc>
        <w:tc>
          <w:tcPr>
            <w:tcW w:w="1493" w:type="dxa"/>
          </w:tcPr>
          <w:p w14:paraId="7D70D5A7" w14:textId="77777777" w:rsidR="00B604D2" w:rsidRPr="00270B61" w:rsidRDefault="00B604D2" w:rsidP="00770B51">
            <w:pPr>
              <w:tabs>
                <w:tab w:val="clear" w:pos="284"/>
              </w:tabs>
              <w:spacing w:line="240" w:lineRule="auto"/>
              <w:jc w:val="left"/>
              <w:rPr>
                <w:rFonts w:asciiTheme="majorHAnsi" w:hAnsiTheme="majorHAnsi" w:cstheme="majorHAnsi"/>
                <w:color w:val="000000"/>
                <w:kern w:val="0"/>
                <w:sz w:val="18"/>
              </w:rPr>
            </w:pPr>
            <w:r w:rsidRPr="00270B61">
              <w:rPr>
                <w:rFonts w:asciiTheme="majorHAnsi" w:hAnsiTheme="majorHAnsi" w:cstheme="majorHAnsi"/>
                <w:color w:val="000000"/>
                <w:sz w:val="18"/>
              </w:rPr>
              <w:t>D24YW81</w:t>
            </w:r>
          </w:p>
          <w:p w14:paraId="3EE32B2C" w14:textId="3E868A73" w:rsidR="00A56EB6" w:rsidRPr="00270B61" w:rsidRDefault="00A56EB6" w:rsidP="00770B51">
            <w:pPr>
              <w:pStyle w:val="Tabletext"/>
              <w:jc w:val="left"/>
              <w:rPr>
                <w:rFonts w:asciiTheme="majorHAnsi" w:hAnsiTheme="majorHAnsi" w:cstheme="majorHAnsi"/>
              </w:rPr>
            </w:pPr>
          </w:p>
        </w:tc>
        <w:tc>
          <w:tcPr>
            <w:tcW w:w="1493" w:type="dxa"/>
          </w:tcPr>
          <w:p w14:paraId="1F148120" w14:textId="77777777" w:rsidR="00A56EB6" w:rsidRPr="00270B61" w:rsidRDefault="00A56EB6" w:rsidP="00770B51">
            <w:pPr>
              <w:pStyle w:val="Tabletext"/>
              <w:jc w:val="left"/>
              <w:rPr>
                <w:rFonts w:asciiTheme="majorHAnsi" w:hAnsiTheme="majorHAnsi" w:cstheme="majorHAnsi"/>
              </w:rPr>
            </w:pPr>
          </w:p>
        </w:tc>
        <w:tc>
          <w:tcPr>
            <w:tcW w:w="1493" w:type="dxa"/>
          </w:tcPr>
          <w:p w14:paraId="2BFC0CB4" w14:textId="341071A6" w:rsidR="00A56EB6" w:rsidRPr="00270B61" w:rsidRDefault="00695529" w:rsidP="00770B51">
            <w:pPr>
              <w:pStyle w:val="Tabletext"/>
              <w:jc w:val="left"/>
              <w:rPr>
                <w:rFonts w:asciiTheme="majorHAnsi" w:hAnsiTheme="majorHAnsi" w:cstheme="majorHAnsi"/>
              </w:rPr>
            </w:pPr>
            <w:r w:rsidRPr="00270B61">
              <w:rPr>
                <w:rFonts w:asciiTheme="majorHAnsi" w:hAnsiTheme="majorHAnsi" w:cstheme="majorHAnsi"/>
              </w:rPr>
              <w:t>3</w:t>
            </w:r>
            <w:r w:rsidR="00DD2CD8" w:rsidRPr="00270B61">
              <w:rPr>
                <w:rFonts w:asciiTheme="majorHAnsi" w:hAnsiTheme="majorHAnsi" w:cstheme="majorHAnsi"/>
              </w:rPr>
              <w:t>81</w:t>
            </w:r>
          </w:p>
        </w:tc>
        <w:tc>
          <w:tcPr>
            <w:tcW w:w="1493" w:type="dxa"/>
          </w:tcPr>
          <w:p w14:paraId="7F80276F" w14:textId="2E5D4BD5" w:rsidR="00A56EB6" w:rsidRPr="00270B61" w:rsidRDefault="00B604D2" w:rsidP="00770B51">
            <w:pPr>
              <w:pStyle w:val="Tabletext"/>
              <w:jc w:val="left"/>
              <w:rPr>
                <w:rFonts w:asciiTheme="majorHAnsi" w:hAnsiTheme="majorHAnsi" w:cstheme="majorHAnsi"/>
              </w:rPr>
            </w:pPr>
            <w:r w:rsidRPr="00270B61">
              <w:rPr>
                <w:rFonts w:asciiTheme="majorHAnsi" w:hAnsiTheme="majorHAnsi" w:cstheme="majorHAnsi"/>
              </w:rPr>
              <w:t>354</w:t>
            </w:r>
          </w:p>
        </w:tc>
        <w:tc>
          <w:tcPr>
            <w:tcW w:w="1493" w:type="dxa"/>
          </w:tcPr>
          <w:p w14:paraId="40064392" w14:textId="65D9E267" w:rsidR="00A56EB6" w:rsidRPr="00270B61" w:rsidRDefault="00B069A0" w:rsidP="00770B51">
            <w:pPr>
              <w:pStyle w:val="Tabletext"/>
              <w:jc w:val="left"/>
              <w:rPr>
                <w:rFonts w:asciiTheme="majorHAnsi" w:hAnsiTheme="majorHAnsi" w:cstheme="majorHAnsi"/>
              </w:rPr>
            </w:pPr>
            <w:r w:rsidRPr="00270B61">
              <w:rPr>
                <w:rFonts w:asciiTheme="majorHAnsi" w:hAnsiTheme="majorHAnsi" w:cstheme="majorHAnsi"/>
              </w:rPr>
              <w:t>27</w:t>
            </w:r>
          </w:p>
        </w:tc>
      </w:tr>
      <w:tr w:rsidR="00A56EB6" w:rsidRPr="00270B61" w14:paraId="637E83E3" w14:textId="13C2DB13" w:rsidTr="00A56EB6">
        <w:trPr>
          <w:trHeight w:val="224"/>
        </w:trPr>
        <w:tc>
          <w:tcPr>
            <w:tcW w:w="1889" w:type="dxa"/>
            <w:tcBorders>
              <w:bottom w:val="single" w:sz="4" w:space="0" w:color="auto"/>
            </w:tcBorders>
          </w:tcPr>
          <w:p w14:paraId="2BC22CB8" w14:textId="0806BCC6" w:rsidR="00A56EB6" w:rsidRPr="00727808" w:rsidRDefault="00695529" w:rsidP="00770B51">
            <w:pPr>
              <w:pStyle w:val="TableListBullet"/>
              <w:numPr>
                <w:ilvl w:val="0"/>
                <w:numId w:val="0"/>
              </w:numPr>
              <w:spacing w:after="0"/>
              <w:ind w:left="57" w:hanging="284"/>
              <w:jc w:val="left"/>
              <w:rPr>
                <w:rFonts w:asciiTheme="majorHAnsi" w:hAnsiTheme="majorHAnsi" w:cstheme="majorHAnsi"/>
                <w:b/>
                <w:bCs/>
                <w:sz w:val="18"/>
              </w:rPr>
            </w:pPr>
            <w:r w:rsidRPr="00727808">
              <w:rPr>
                <w:rFonts w:asciiTheme="majorHAnsi" w:hAnsiTheme="majorHAnsi" w:cstheme="majorHAnsi"/>
                <w:b/>
                <w:bCs/>
                <w:sz w:val="18"/>
              </w:rPr>
              <w:t xml:space="preserve">      </w:t>
            </w:r>
            <w:r w:rsidR="00C3546B" w:rsidRPr="00727808">
              <w:rPr>
                <w:rFonts w:asciiTheme="majorHAnsi" w:hAnsiTheme="majorHAnsi" w:cstheme="majorHAnsi"/>
                <w:b/>
                <w:bCs/>
                <w:sz w:val="18"/>
              </w:rPr>
              <w:t>Holy Family National School</w:t>
            </w:r>
          </w:p>
        </w:tc>
        <w:tc>
          <w:tcPr>
            <w:tcW w:w="1493" w:type="dxa"/>
            <w:tcBorders>
              <w:bottom w:val="single" w:sz="4" w:space="0" w:color="auto"/>
            </w:tcBorders>
          </w:tcPr>
          <w:p w14:paraId="5D22F14E" w14:textId="77777777" w:rsidR="00EA0106" w:rsidRPr="00270B61" w:rsidRDefault="00EA0106" w:rsidP="00770B51">
            <w:pPr>
              <w:tabs>
                <w:tab w:val="clear" w:pos="284"/>
              </w:tabs>
              <w:spacing w:line="240" w:lineRule="auto"/>
              <w:jc w:val="left"/>
              <w:rPr>
                <w:rFonts w:asciiTheme="majorHAnsi" w:hAnsiTheme="majorHAnsi" w:cstheme="majorHAnsi"/>
                <w:color w:val="000000"/>
                <w:kern w:val="0"/>
                <w:sz w:val="18"/>
              </w:rPr>
            </w:pPr>
            <w:r w:rsidRPr="00270B61">
              <w:rPr>
                <w:rFonts w:asciiTheme="majorHAnsi" w:hAnsiTheme="majorHAnsi" w:cstheme="majorHAnsi"/>
                <w:color w:val="000000"/>
                <w:sz w:val="18"/>
              </w:rPr>
              <w:t>D24XH22</w:t>
            </w:r>
          </w:p>
          <w:p w14:paraId="533A6A7B" w14:textId="77777777" w:rsidR="00A56EB6" w:rsidRPr="00270B61" w:rsidRDefault="00A56EB6" w:rsidP="00770B51">
            <w:pPr>
              <w:pStyle w:val="Tabletext"/>
              <w:jc w:val="left"/>
              <w:rPr>
                <w:rFonts w:asciiTheme="majorHAnsi" w:hAnsiTheme="majorHAnsi" w:cstheme="majorHAnsi"/>
              </w:rPr>
            </w:pPr>
          </w:p>
        </w:tc>
        <w:tc>
          <w:tcPr>
            <w:tcW w:w="1493" w:type="dxa"/>
            <w:tcBorders>
              <w:bottom w:val="single" w:sz="4" w:space="0" w:color="auto"/>
            </w:tcBorders>
          </w:tcPr>
          <w:p w14:paraId="319A5686" w14:textId="77777777" w:rsidR="00A56EB6" w:rsidRPr="00946CE0" w:rsidRDefault="00A56EB6" w:rsidP="00770B51">
            <w:pPr>
              <w:pStyle w:val="Tabletext"/>
              <w:jc w:val="left"/>
              <w:rPr>
                <w:rFonts w:asciiTheme="majorHAnsi" w:hAnsiTheme="majorHAnsi" w:cstheme="majorHAnsi"/>
              </w:rPr>
            </w:pPr>
          </w:p>
        </w:tc>
        <w:tc>
          <w:tcPr>
            <w:tcW w:w="1493" w:type="dxa"/>
            <w:tcBorders>
              <w:bottom w:val="single" w:sz="4" w:space="0" w:color="auto"/>
            </w:tcBorders>
          </w:tcPr>
          <w:p w14:paraId="0313D025" w14:textId="76742552" w:rsidR="00A56EB6" w:rsidRPr="00946CE0" w:rsidRDefault="00D975CC" w:rsidP="00770B51">
            <w:pPr>
              <w:pStyle w:val="Tabletext"/>
              <w:jc w:val="left"/>
              <w:rPr>
                <w:rFonts w:asciiTheme="majorHAnsi" w:hAnsiTheme="majorHAnsi" w:cstheme="majorHAnsi"/>
              </w:rPr>
            </w:pPr>
            <w:r w:rsidRPr="00946CE0">
              <w:rPr>
                <w:rFonts w:asciiTheme="majorHAnsi" w:hAnsiTheme="majorHAnsi" w:cstheme="majorHAnsi"/>
              </w:rPr>
              <w:t>699</w:t>
            </w:r>
          </w:p>
        </w:tc>
        <w:tc>
          <w:tcPr>
            <w:tcW w:w="1493" w:type="dxa"/>
            <w:tcBorders>
              <w:bottom w:val="single" w:sz="4" w:space="0" w:color="auto"/>
            </w:tcBorders>
          </w:tcPr>
          <w:p w14:paraId="2A24DEA7" w14:textId="71F3E3C4" w:rsidR="00A56EB6" w:rsidRPr="00946CE0" w:rsidRDefault="00EA0106" w:rsidP="00770B51">
            <w:pPr>
              <w:pStyle w:val="Tabletext"/>
              <w:jc w:val="left"/>
              <w:rPr>
                <w:rFonts w:asciiTheme="majorHAnsi" w:hAnsiTheme="majorHAnsi" w:cstheme="majorHAnsi"/>
              </w:rPr>
            </w:pPr>
            <w:r w:rsidRPr="00946CE0">
              <w:rPr>
                <w:rFonts w:asciiTheme="majorHAnsi" w:hAnsiTheme="majorHAnsi" w:cstheme="majorHAnsi"/>
              </w:rPr>
              <w:t>671</w:t>
            </w:r>
          </w:p>
        </w:tc>
        <w:tc>
          <w:tcPr>
            <w:tcW w:w="1493" w:type="dxa"/>
            <w:tcBorders>
              <w:bottom w:val="single" w:sz="4" w:space="0" w:color="auto"/>
            </w:tcBorders>
          </w:tcPr>
          <w:p w14:paraId="355B141D" w14:textId="73BCE56F" w:rsidR="00A56EB6" w:rsidRPr="00946CE0" w:rsidRDefault="00D65AB5" w:rsidP="00770B51">
            <w:pPr>
              <w:pStyle w:val="Tabletext"/>
              <w:jc w:val="left"/>
              <w:rPr>
                <w:rFonts w:asciiTheme="majorHAnsi" w:hAnsiTheme="majorHAnsi" w:cstheme="majorHAnsi"/>
              </w:rPr>
            </w:pPr>
            <w:r w:rsidRPr="00946CE0">
              <w:rPr>
                <w:rFonts w:asciiTheme="majorHAnsi" w:hAnsiTheme="majorHAnsi" w:cstheme="majorHAnsi"/>
              </w:rPr>
              <w:t>28</w:t>
            </w:r>
          </w:p>
        </w:tc>
      </w:tr>
      <w:tr w:rsidR="00C3546B" w:rsidRPr="00270B61" w14:paraId="4C964056" w14:textId="77777777" w:rsidTr="00A56EB6">
        <w:trPr>
          <w:trHeight w:val="224"/>
        </w:trPr>
        <w:tc>
          <w:tcPr>
            <w:tcW w:w="1889" w:type="dxa"/>
            <w:tcBorders>
              <w:bottom w:val="single" w:sz="4" w:space="0" w:color="auto"/>
            </w:tcBorders>
          </w:tcPr>
          <w:p w14:paraId="2C18DCED" w14:textId="181E5158" w:rsidR="00C3546B" w:rsidRPr="00727808" w:rsidRDefault="00695529" w:rsidP="00770B51">
            <w:pPr>
              <w:pStyle w:val="TableListBullet"/>
              <w:numPr>
                <w:ilvl w:val="0"/>
                <w:numId w:val="0"/>
              </w:numPr>
              <w:spacing w:after="0"/>
              <w:ind w:left="57" w:hanging="284"/>
              <w:jc w:val="left"/>
              <w:rPr>
                <w:rFonts w:asciiTheme="majorHAnsi" w:hAnsiTheme="majorHAnsi" w:cstheme="majorHAnsi"/>
                <w:b/>
                <w:bCs/>
                <w:sz w:val="18"/>
              </w:rPr>
            </w:pPr>
            <w:r w:rsidRPr="00727808">
              <w:rPr>
                <w:rFonts w:asciiTheme="majorHAnsi" w:hAnsiTheme="majorHAnsi" w:cstheme="majorHAnsi"/>
                <w:b/>
                <w:bCs/>
                <w:sz w:val="18"/>
              </w:rPr>
              <w:t xml:space="preserve">      Citywest Educate Together National School</w:t>
            </w:r>
          </w:p>
        </w:tc>
        <w:tc>
          <w:tcPr>
            <w:tcW w:w="1493" w:type="dxa"/>
            <w:tcBorders>
              <w:bottom w:val="single" w:sz="4" w:space="0" w:color="auto"/>
            </w:tcBorders>
          </w:tcPr>
          <w:p w14:paraId="2D765D00" w14:textId="77777777" w:rsidR="003F0B26" w:rsidRPr="00270B61" w:rsidRDefault="003F0B26" w:rsidP="00770B51">
            <w:pPr>
              <w:tabs>
                <w:tab w:val="clear" w:pos="284"/>
              </w:tabs>
              <w:spacing w:line="240" w:lineRule="auto"/>
              <w:jc w:val="left"/>
              <w:rPr>
                <w:rFonts w:asciiTheme="majorHAnsi" w:hAnsiTheme="majorHAnsi" w:cstheme="majorHAnsi"/>
                <w:color w:val="000000"/>
                <w:kern w:val="0"/>
                <w:sz w:val="18"/>
              </w:rPr>
            </w:pPr>
            <w:r w:rsidRPr="00270B61">
              <w:rPr>
                <w:rFonts w:asciiTheme="majorHAnsi" w:hAnsiTheme="majorHAnsi" w:cstheme="majorHAnsi"/>
                <w:color w:val="000000"/>
                <w:sz w:val="18"/>
              </w:rPr>
              <w:t>D24CF1P</w:t>
            </w:r>
          </w:p>
          <w:p w14:paraId="50E03375" w14:textId="77777777" w:rsidR="00C3546B" w:rsidRPr="00270B61" w:rsidRDefault="00C3546B" w:rsidP="00770B51">
            <w:pPr>
              <w:pStyle w:val="Tabletext"/>
              <w:jc w:val="left"/>
              <w:rPr>
                <w:rFonts w:asciiTheme="majorHAnsi" w:hAnsiTheme="majorHAnsi" w:cstheme="majorHAnsi"/>
              </w:rPr>
            </w:pPr>
          </w:p>
        </w:tc>
        <w:tc>
          <w:tcPr>
            <w:tcW w:w="1493" w:type="dxa"/>
            <w:tcBorders>
              <w:bottom w:val="single" w:sz="4" w:space="0" w:color="auto"/>
            </w:tcBorders>
          </w:tcPr>
          <w:p w14:paraId="4422F4A8" w14:textId="77777777" w:rsidR="00C3546B" w:rsidRPr="00946CE0" w:rsidRDefault="00C3546B" w:rsidP="00770B51">
            <w:pPr>
              <w:pStyle w:val="Tabletext"/>
              <w:jc w:val="left"/>
              <w:rPr>
                <w:rFonts w:asciiTheme="majorHAnsi" w:hAnsiTheme="majorHAnsi" w:cstheme="majorHAnsi"/>
              </w:rPr>
            </w:pPr>
          </w:p>
        </w:tc>
        <w:tc>
          <w:tcPr>
            <w:tcW w:w="1493" w:type="dxa"/>
            <w:tcBorders>
              <w:bottom w:val="single" w:sz="4" w:space="0" w:color="auto"/>
            </w:tcBorders>
          </w:tcPr>
          <w:p w14:paraId="0C10B31E" w14:textId="7DF82A3D" w:rsidR="00C3546B" w:rsidRPr="00946CE0" w:rsidRDefault="00695529" w:rsidP="00770B51">
            <w:pPr>
              <w:pStyle w:val="Tabletext"/>
              <w:jc w:val="left"/>
              <w:rPr>
                <w:rFonts w:asciiTheme="majorHAnsi" w:hAnsiTheme="majorHAnsi" w:cstheme="majorHAnsi"/>
              </w:rPr>
            </w:pPr>
            <w:r w:rsidRPr="00946CE0">
              <w:rPr>
                <w:rFonts w:asciiTheme="majorHAnsi" w:hAnsiTheme="majorHAnsi" w:cstheme="majorHAnsi"/>
              </w:rPr>
              <w:t>3</w:t>
            </w:r>
            <w:r w:rsidR="00C20313" w:rsidRPr="00946CE0">
              <w:rPr>
                <w:rFonts w:asciiTheme="majorHAnsi" w:hAnsiTheme="majorHAnsi" w:cstheme="majorHAnsi"/>
              </w:rPr>
              <w:t>7</w:t>
            </w:r>
            <w:r w:rsidRPr="00946CE0">
              <w:rPr>
                <w:rFonts w:asciiTheme="majorHAnsi" w:hAnsiTheme="majorHAnsi" w:cstheme="majorHAnsi"/>
              </w:rPr>
              <w:t>8</w:t>
            </w:r>
          </w:p>
        </w:tc>
        <w:tc>
          <w:tcPr>
            <w:tcW w:w="1493" w:type="dxa"/>
            <w:tcBorders>
              <w:bottom w:val="single" w:sz="4" w:space="0" w:color="auto"/>
            </w:tcBorders>
          </w:tcPr>
          <w:p w14:paraId="77B43074" w14:textId="01F4D1A7" w:rsidR="00C3546B" w:rsidRPr="00946CE0" w:rsidRDefault="003F0B26" w:rsidP="00770B51">
            <w:pPr>
              <w:pStyle w:val="Tabletext"/>
              <w:jc w:val="left"/>
              <w:rPr>
                <w:rFonts w:asciiTheme="majorHAnsi" w:hAnsiTheme="majorHAnsi" w:cstheme="majorHAnsi"/>
              </w:rPr>
            </w:pPr>
            <w:r w:rsidRPr="00946CE0">
              <w:rPr>
                <w:rFonts w:asciiTheme="majorHAnsi" w:hAnsiTheme="majorHAnsi" w:cstheme="majorHAnsi"/>
              </w:rPr>
              <w:t>376</w:t>
            </w:r>
          </w:p>
        </w:tc>
        <w:tc>
          <w:tcPr>
            <w:tcW w:w="1493" w:type="dxa"/>
            <w:tcBorders>
              <w:bottom w:val="single" w:sz="4" w:space="0" w:color="auto"/>
            </w:tcBorders>
          </w:tcPr>
          <w:p w14:paraId="56B3D8F0" w14:textId="5EB20449" w:rsidR="00C3546B" w:rsidRPr="00946CE0" w:rsidRDefault="00232084" w:rsidP="00770B51">
            <w:pPr>
              <w:pStyle w:val="Tabletext"/>
              <w:jc w:val="left"/>
              <w:rPr>
                <w:rFonts w:asciiTheme="majorHAnsi" w:hAnsiTheme="majorHAnsi" w:cstheme="majorHAnsi"/>
              </w:rPr>
            </w:pPr>
            <w:r w:rsidRPr="00946CE0">
              <w:rPr>
                <w:rFonts w:asciiTheme="majorHAnsi" w:hAnsiTheme="majorHAnsi" w:cstheme="majorHAnsi"/>
              </w:rPr>
              <w:t>2</w:t>
            </w:r>
          </w:p>
        </w:tc>
      </w:tr>
      <w:tr w:rsidR="00C3546B" w:rsidRPr="00270B61" w14:paraId="04A74CBD" w14:textId="77777777" w:rsidTr="00A56EB6">
        <w:trPr>
          <w:trHeight w:val="224"/>
        </w:trPr>
        <w:tc>
          <w:tcPr>
            <w:tcW w:w="1889" w:type="dxa"/>
            <w:tcBorders>
              <w:bottom w:val="single" w:sz="4" w:space="0" w:color="auto"/>
            </w:tcBorders>
          </w:tcPr>
          <w:p w14:paraId="67DDDA44" w14:textId="79A20F16" w:rsidR="00C3546B" w:rsidRPr="00727808" w:rsidRDefault="00695529" w:rsidP="00770B51">
            <w:pPr>
              <w:pStyle w:val="TableListBullet"/>
              <w:numPr>
                <w:ilvl w:val="0"/>
                <w:numId w:val="0"/>
              </w:numPr>
              <w:spacing w:after="0"/>
              <w:ind w:left="57" w:hanging="284"/>
              <w:jc w:val="left"/>
              <w:rPr>
                <w:rFonts w:asciiTheme="majorHAnsi" w:hAnsiTheme="majorHAnsi" w:cstheme="majorHAnsi"/>
                <w:b/>
                <w:bCs/>
                <w:sz w:val="18"/>
              </w:rPr>
            </w:pPr>
            <w:r w:rsidRPr="00727808">
              <w:rPr>
                <w:rFonts w:asciiTheme="majorHAnsi" w:hAnsiTheme="majorHAnsi" w:cstheme="majorHAnsi"/>
                <w:b/>
                <w:bCs/>
                <w:sz w:val="18"/>
              </w:rPr>
              <w:t xml:space="preserve">      Citywest &amp; Saggart Community National School</w:t>
            </w:r>
          </w:p>
        </w:tc>
        <w:tc>
          <w:tcPr>
            <w:tcW w:w="1493" w:type="dxa"/>
            <w:tcBorders>
              <w:bottom w:val="single" w:sz="4" w:space="0" w:color="auto"/>
            </w:tcBorders>
          </w:tcPr>
          <w:p w14:paraId="42636EF9" w14:textId="77777777" w:rsidR="003C5BE7" w:rsidRPr="00270B61" w:rsidRDefault="003C5BE7" w:rsidP="00770B51">
            <w:pPr>
              <w:tabs>
                <w:tab w:val="clear" w:pos="284"/>
              </w:tabs>
              <w:spacing w:line="240" w:lineRule="auto"/>
              <w:jc w:val="left"/>
              <w:rPr>
                <w:rFonts w:asciiTheme="majorHAnsi" w:hAnsiTheme="majorHAnsi" w:cstheme="majorHAnsi"/>
                <w:color w:val="000000"/>
                <w:kern w:val="0"/>
                <w:sz w:val="18"/>
              </w:rPr>
            </w:pPr>
            <w:r w:rsidRPr="00270B61">
              <w:rPr>
                <w:rFonts w:asciiTheme="majorHAnsi" w:hAnsiTheme="majorHAnsi" w:cstheme="majorHAnsi"/>
                <w:color w:val="000000"/>
                <w:sz w:val="18"/>
              </w:rPr>
              <w:t>D24R920</w:t>
            </w:r>
          </w:p>
          <w:p w14:paraId="450B42E9" w14:textId="77777777" w:rsidR="00C3546B" w:rsidRPr="00270B61" w:rsidRDefault="00C3546B" w:rsidP="00770B51">
            <w:pPr>
              <w:pStyle w:val="Tabletext"/>
              <w:jc w:val="left"/>
              <w:rPr>
                <w:rFonts w:asciiTheme="majorHAnsi" w:hAnsiTheme="majorHAnsi" w:cstheme="majorHAnsi"/>
              </w:rPr>
            </w:pPr>
          </w:p>
        </w:tc>
        <w:tc>
          <w:tcPr>
            <w:tcW w:w="1493" w:type="dxa"/>
            <w:tcBorders>
              <w:bottom w:val="single" w:sz="4" w:space="0" w:color="auto"/>
            </w:tcBorders>
          </w:tcPr>
          <w:p w14:paraId="5C12C72D" w14:textId="77777777" w:rsidR="00C3546B" w:rsidRPr="00946CE0" w:rsidRDefault="00C3546B" w:rsidP="00770B51">
            <w:pPr>
              <w:pStyle w:val="Tabletext"/>
              <w:jc w:val="left"/>
              <w:rPr>
                <w:rFonts w:asciiTheme="majorHAnsi" w:hAnsiTheme="majorHAnsi" w:cstheme="majorHAnsi"/>
              </w:rPr>
            </w:pPr>
          </w:p>
        </w:tc>
        <w:tc>
          <w:tcPr>
            <w:tcW w:w="1493" w:type="dxa"/>
            <w:tcBorders>
              <w:bottom w:val="single" w:sz="4" w:space="0" w:color="auto"/>
            </w:tcBorders>
          </w:tcPr>
          <w:p w14:paraId="576FDDB7" w14:textId="090ADC48" w:rsidR="00C3546B" w:rsidRPr="00946CE0" w:rsidRDefault="00695529" w:rsidP="00770B51">
            <w:pPr>
              <w:pStyle w:val="Tabletext"/>
              <w:jc w:val="left"/>
              <w:rPr>
                <w:rFonts w:asciiTheme="majorHAnsi" w:hAnsiTheme="majorHAnsi" w:cstheme="majorHAnsi"/>
              </w:rPr>
            </w:pPr>
            <w:r w:rsidRPr="00946CE0">
              <w:rPr>
                <w:rFonts w:asciiTheme="majorHAnsi" w:hAnsiTheme="majorHAnsi" w:cstheme="majorHAnsi"/>
              </w:rPr>
              <w:t>4</w:t>
            </w:r>
            <w:r w:rsidR="00C20313" w:rsidRPr="00946CE0">
              <w:rPr>
                <w:rFonts w:asciiTheme="majorHAnsi" w:hAnsiTheme="majorHAnsi" w:cstheme="majorHAnsi"/>
              </w:rPr>
              <w:t>19</w:t>
            </w:r>
          </w:p>
        </w:tc>
        <w:tc>
          <w:tcPr>
            <w:tcW w:w="1493" w:type="dxa"/>
            <w:tcBorders>
              <w:bottom w:val="single" w:sz="4" w:space="0" w:color="auto"/>
            </w:tcBorders>
          </w:tcPr>
          <w:p w14:paraId="7999A38C" w14:textId="51D750EE" w:rsidR="00C3546B" w:rsidRPr="00946CE0" w:rsidRDefault="003C5BE7" w:rsidP="00770B51">
            <w:pPr>
              <w:pStyle w:val="Tabletext"/>
              <w:jc w:val="left"/>
              <w:rPr>
                <w:rFonts w:asciiTheme="majorHAnsi" w:hAnsiTheme="majorHAnsi" w:cstheme="majorHAnsi"/>
              </w:rPr>
            </w:pPr>
            <w:r w:rsidRPr="00946CE0">
              <w:rPr>
                <w:rFonts w:asciiTheme="majorHAnsi" w:hAnsiTheme="majorHAnsi" w:cstheme="majorHAnsi"/>
              </w:rPr>
              <w:t>413</w:t>
            </w:r>
          </w:p>
        </w:tc>
        <w:tc>
          <w:tcPr>
            <w:tcW w:w="1493" w:type="dxa"/>
            <w:tcBorders>
              <w:bottom w:val="single" w:sz="4" w:space="0" w:color="auto"/>
            </w:tcBorders>
          </w:tcPr>
          <w:p w14:paraId="16242B8C" w14:textId="0B908238" w:rsidR="00C3546B" w:rsidRPr="00946CE0" w:rsidRDefault="00232084" w:rsidP="00770B51">
            <w:pPr>
              <w:pStyle w:val="Tabletext"/>
              <w:jc w:val="left"/>
              <w:rPr>
                <w:rFonts w:asciiTheme="majorHAnsi" w:hAnsiTheme="majorHAnsi" w:cstheme="majorHAnsi"/>
              </w:rPr>
            </w:pPr>
            <w:r w:rsidRPr="00946CE0">
              <w:rPr>
                <w:rFonts w:asciiTheme="majorHAnsi" w:hAnsiTheme="majorHAnsi" w:cstheme="majorHAnsi"/>
              </w:rPr>
              <w:t>6</w:t>
            </w:r>
          </w:p>
        </w:tc>
      </w:tr>
      <w:tr w:rsidR="00C3546B" w:rsidRPr="00270B61" w14:paraId="750F67D0" w14:textId="77777777" w:rsidTr="00A56EB6">
        <w:trPr>
          <w:trHeight w:val="224"/>
        </w:trPr>
        <w:tc>
          <w:tcPr>
            <w:tcW w:w="1889" w:type="dxa"/>
            <w:tcBorders>
              <w:bottom w:val="single" w:sz="4" w:space="0" w:color="auto"/>
            </w:tcBorders>
          </w:tcPr>
          <w:p w14:paraId="2137AEF3" w14:textId="2D59AB0C" w:rsidR="00C3546B" w:rsidRPr="00727808" w:rsidRDefault="00695529" w:rsidP="00770B51">
            <w:pPr>
              <w:pStyle w:val="TableListBullet"/>
              <w:numPr>
                <w:ilvl w:val="0"/>
                <w:numId w:val="0"/>
              </w:numPr>
              <w:spacing w:after="0"/>
              <w:ind w:left="57" w:hanging="284"/>
              <w:jc w:val="left"/>
              <w:rPr>
                <w:rFonts w:asciiTheme="majorHAnsi" w:hAnsiTheme="majorHAnsi" w:cstheme="majorHAnsi"/>
                <w:b/>
                <w:bCs/>
                <w:sz w:val="18"/>
              </w:rPr>
            </w:pPr>
            <w:r w:rsidRPr="00727808">
              <w:rPr>
                <w:rFonts w:asciiTheme="majorHAnsi" w:hAnsiTheme="majorHAnsi" w:cstheme="majorHAnsi"/>
                <w:b/>
                <w:bCs/>
                <w:sz w:val="18"/>
              </w:rPr>
              <w:t xml:space="preserve">      St. Mary’s National School Saggart</w:t>
            </w:r>
          </w:p>
        </w:tc>
        <w:tc>
          <w:tcPr>
            <w:tcW w:w="1493" w:type="dxa"/>
            <w:tcBorders>
              <w:bottom w:val="single" w:sz="4" w:space="0" w:color="auto"/>
            </w:tcBorders>
          </w:tcPr>
          <w:p w14:paraId="1E65121E" w14:textId="77777777" w:rsidR="00A965FB" w:rsidRPr="00270B61" w:rsidRDefault="00A965FB" w:rsidP="00770B51">
            <w:pPr>
              <w:tabs>
                <w:tab w:val="clear" w:pos="284"/>
              </w:tabs>
              <w:spacing w:line="240" w:lineRule="auto"/>
              <w:jc w:val="left"/>
              <w:rPr>
                <w:rFonts w:asciiTheme="majorHAnsi" w:hAnsiTheme="majorHAnsi" w:cstheme="majorHAnsi"/>
                <w:color w:val="000000"/>
                <w:kern w:val="0"/>
                <w:sz w:val="18"/>
              </w:rPr>
            </w:pPr>
            <w:r w:rsidRPr="00270B61">
              <w:rPr>
                <w:rFonts w:asciiTheme="majorHAnsi" w:hAnsiTheme="majorHAnsi" w:cstheme="majorHAnsi"/>
                <w:color w:val="000000"/>
                <w:sz w:val="18"/>
              </w:rPr>
              <w:t>D24VW9P</w:t>
            </w:r>
          </w:p>
          <w:p w14:paraId="703F7445" w14:textId="77777777" w:rsidR="00C3546B" w:rsidRPr="00270B61" w:rsidRDefault="00C3546B" w:rsidP="00770B51">
            <w:pPr>
              <w:pStyle w:val="Tabletext"/>
              <w:jc w:val="left"/>
              <w:rPr>
                <w:rFonts w:asciiTheme="majorHAnsi" w:hAnsiTheme="majorHAnsi" w:cstheme="majorHAnsi"/>
              </w:rPr>
            </w:pPr>
          </w:p>
        </w:tc>
        <w:tc>
          <w:tcPr>
            <w:tcW w:w="1493" w:type="dxa"/>
            <w:tcBorders>
              <w:bottom w:val="single" w:sz="4" w:space="0" w:color="auto"/>
            </w:tcBorders>
          </w:tcPr>
          <w:p w14:paraId="4D5C6CA8" w14:textId="77777777" w:rsidR="00C3546B" w:rsidRPr="00946CE0" w:rsidRDefault="00C3546B" w:rsidP="00770B51">
            <w:pPr>
              <w:pStyle w:val="Tabletext"/>
              <w:jc w:val="left"/>
              <w:rPr>
                <w:rFonts w:asciiTheme="majorHAnsi" w:hAnsiTheme="majorHAnsi" w:cstheme="majorHAnsi"/>
              </w:rPr>
            </w:pPr>
          </w:p>
        </w:tc>
        <w:tc>
          <w:tcPr>
            <w:tcW w:w="1493" w:type="dxa"/>
            <w:tcBorders>
              <w:bottom w:val="single" w:sz="4" w:space="0" w:color="auto"/>
            </w:tcBorders>
          </w:tcPr>
          <w:p w14:paraId="6DC150F4" w14:textId="2E0FF985" w:rsidR="00C3546B" w:rsidRPr="00946CE0" w:rsidRDefault="00695529" w:rsidP="00770B51">
            <w:pPr>
              <w:pStyle w:val="Tabletext"/>
              <w:jc w:val="left"/>
              <w:rPr>
                <w:rFonts w:asciiTheme="majorHAnsi" w:hAnsiTheme="majorHAnsi" w:cstheme="majorHAnsi"/>
              </w:rPr>
            </w:pPr>
            <w:r w:rsidRPr="00946CE0">
              <w:rPr>
                <w:rFonts w:asciiTheme="majorHAnsi" w:hAnsiTheme="majorHAnsi" w:cstheme="majorHAnsi"/>
              </w:rPr>
              <w:t>6</w:t>
            </w:r>
            <w:r w:rsidR="00DD2CD8" w:rsidRPr="00946CE0">
              <w:rPr>
                <w:rFonts w:asciiTheme="majorHAnsi" w:hAnsiTheme="majorHAnsi" w:cstheme="majorHAnsi"/>
              </w:rPr>
              <w:t>73</w:t>
            </w:r>
          </w:p>
        </w:tc>
        <w:tc>
          <w:tcPr>
            <w:tcW w:w="1493" w:type="dxa"/>
            <w:tcBorders>
              <w:bottom w:val="single" w:sz="4" w:space="0" w:color="auto"/>
            </w:tcBorders>
          </w:tcPr>
          <w:p w14:paraId="2C4B9E5F" w14:textId="728AB758" w:rsidR="00C3546B" w:rsidRPr="00946CE0" w:rsidRDefault="00A965FB" w:rsidP="00770B51">
            <w:pPr>
              <w:pStyle w:val="Tabletext"/>
              <w:jc w:val="left"/>
              <w:rPr>
                <w:rFonts w:asciiTheme="majorHAnsi" w:hAnsiTheme="majorHAnsi" w:cstheme="majorHAnsi"/>
              </w:rPr>
            </w:pPr>
            <w:r w:rsidRPr="00946CE0">
              <w:rPr>
                <w:rFonts w:asciiTheme="majorHAnsi" w:hAnsiTheme="majorHAnsi" w:cstheme="majorHAnsi"/>
              </w:rPr>
              <w:t>666</w:t>
            </w:r>
          </w:p>
        </w:tc>
        <w:tc>
          <w:tcPr>
            <w:tcW w:w="1493" w:type="dxa"/>
            <w:tcBorders>
              <w:bottom w:val="single" w:sz="4" w:space="0" w:color="auto"/>
            </w:tcBorders>
          </w:tcPr>
          <w:p w14:paraId="6C07748E" w14:textId="33A86B7C" w:rsidR="00C3546B" w:rsidRPr="00946CE0" w:rsidRDefault="00482A91" w:rsidP="00770B51">
            <w:pPr>
              <w:pStyle w:val="Tabletext"/>
              <w:jc w:val="left"/>
              <w:rPr>
                <w:rFonts w:asciiTheme="majorHAnsi" w:hAnsiTheme="majorHAnsi" w:cstheme="majorHAnsi"/>
              </w:rPr>
            </w:pPr>
            <w:r w:rsidRPr="00946CE0">
              <w:rPr>
                <w:rFonts w:asciiTheme="majorHAnsi" w:hAnsiTheme="majorHAnsi" w:cstheme="majorHAnsi"/>
              </w:rPr>
              <w:t>7</w:t>
            </w:r>
          </w:p>
        </w:tc>
      </w:tr>
      <w:tr w:rsidR="002F65B3" w:rsidRPr="00270B61" w14:paraId="07D0FF46" w14:textId="77777777" w:rsidTr="00A56EB6">
        <w:trPr>
          <w:trHeight w:val="224"/>
        </w:trPr>
        <w:tc>
          <w:tcPr>
            <w:tcW w:w="1889" w:type="dxa"/>
            <w:tcBorders>
              <w:bottom w:val="single" w:sz="4" w:space="0" w:color="auto"/>
            </w:tcBorders>
          </w:tcPr>
          <w:p w14:paraId="46CD7415" w14:textId="1A6DF22F" w:rsidR="002F65B3" w:rsidRPr="00727808" w:rsidRDefault="002F65B3" w:rsidP="00770B51">
            <w:pPr>
              <w:pStyle w:val="TableListBullet"/>
              <w:numPr>
                <w:ilvl w:val="0"/>
                <w:numId w:val="0"/>
              </w:numPr>
              <w:spacing w:after="0"/>
              <w:ind w:left="57" w:hanging="284"/>
              <w:jc w:val="left"/>
              <w:rPr>
                <w:rFonts w:asciiTheme="majorHAnsi" w:hAnsiTheme="majorHAnsi" w:cstheme="majorHAnsi"/>
                <w:b/>
                <w:bCs/>
                <w:sz w:val="18"/>
              </w:rPr>
            </w:pPr>
            <w:r w:rsidRPr="00727808">
              <w:rPr>
                <w:rFonts w:asciiTheme="majorHAnsi" w:hAnsiTheme="majorHAnsi" w:cstheme="majorHAnsi"/>
                <w:b/>
                <w:bCs/>
                <w:sz w:val="18"/>
              </w:rPr>
              <w:t xml:space="preserve">     Gaelscoil Lir</w:t>
            </w:r>
          </w:p>
        </w:tc>
        <w:tc>
          <w:tcPr>
            <w:tcW w:w="1493" w:type="dxa"/>
            <w:tcBorders>
              <w:bottom w:val="single" w:sz="4" w:space="0" w:color="auto"/>
            </w:tcBorders>
          </w:tcPr>
          <w:p w14:paraId="52EB28F0" w14:textId="7A192145" w:rsidR="002F65B3" w:rsidRPr="00270B61" w:rsidRDefault="009B2783" w:rsidP="00770B51">
            <w:pPr>
              <w:tabs>
                <w:tab w:val="clear" w:pos="284"/>
              </w:tabs>
              <w:spacing w:line="240" w:lineRule="auto"/>
              <w:jc w:val="left"/>
              <w:rPr>
                <w:rFonts w:asciiTheme="majorHAnsi" w:hAnsiTheme="majorHAnsi" w:cstheme="majorHAnsi"/>
                <w:color w:val="000000"/>
                <w:sz w:val="18"/>
              </w:rPr>
            </w:pPr>
            <w:r w:rsidRPr="00270B61">
              <w:rPr>
                <w:rFonts w:asciiTheme="majorHAnsi" w:hAnsiTheme="majorHAnsi" w:cstheme="majorHAnsi"/>
                <w:bCs/>
                <w:color w:val="000000"/>
                <w:sz w:val="18"/>
                <w:lang w:val="it-IT"/>
              </w:rPr>
              <w:t>D24PFV5</w:t>
            </w:r>
          </w:p>
        </w:tc>
        <w:tc>
          <w:tcPr>
            <w:tcW w:w="1493" w:type="dxa"/>
            <w:tcBorders>
              <w:bottom w:val="single" w:sz="4" w:space="0" w:color="auto"/>
            </w:tcBorders>
          </w:tcPr>
          <w:p w14:paraId="228E5AD4" w14:textId="77777777" w:rsidR="002F65B3" w:rsidRPr="00946CE0" w:rsidRDefault="002F65B3" w:rsidP="00770B51">
            <w:pPr>
              <w:pStyle w:val="Tabletext"/>
              <w:jc w:val="left"/>
              <w:rPr>
                <w:rFonts w:asciiTheme="majorHAnsi" w:hAnsiTheme="majorHAnsi" w:cstheme="majorHAnsi"/>
              </w:rPr>
            </w:pPr>
          </w:p>
        </w:tc>
        <w:tc>
          <w:tcPr>
            <w:tcW w:w="1493" w:type="dxa"/>
            <w:tcBorders>
              <w:bottom w:val="single" w:sz="4" w:space="0" w:color="auto"/>
            </w:tcBorders>
          </w:tcPr>
          <w:p w14:paraId="4A3F301C" w14:textId="46913811" w:rsidR="002F65B3" w:rsidRPr="00946CE0" w:rsidRDefault="00507677" w:rsidP="00770B51">
            <w:pPr>
              <w:pStyle w:val="Tabletext"/>
              <w:jc w:val="left"/>
              <w:rPr>
                <w:rFonts w:asciiTheme="majorHAnsi" w:hAnsiTheme="majorHAnsi" w:cstheme="majorHAnsi"/>
              </w:rPr>
            </w:pPr>
            <w:r w:rsidRPr="00946CE0">
              <w:rPr>
                <w:rFonts w:asciiTheme="majorHAnsi" w:hAnsiTheme="majorHAnsi" w:cstheme="majorHAnsi"/>
              </w:rPr>
              <w:t>48</w:t>
            </w:r>
          </w:p>
        </w:tc>
        <w:tc>
          <w:tcPr>
            <w:tcW w:w="1493" w:type="dxa"/>
            <w:tcBorders>
              <w:bottom w:val="single" w:sz="4" w:space="0" w:color="auto"/>
            </w:tcBorders>
          </w:tcPr>
          <w:p w14:paraId="75258BBE" w14:textId="724DEA27" w:rsidR="002F65B3" w:rsidRPr="00946CE0" w:rsidRDefault="005601AF" w:rsidP="00770B51">
            <w:pPr>
              <w:pStyle w:val="Tabletext"/>
              <w:jc w:val="left"/>
              <w:rPr>
                <w:rFonts w:asciiTheme="majorHAnsi" w:hAnsiTheme="majorHAnsi" w:cstheme="majorHAnsi"/>
              </w:rPr>
            </w:pPr>
            <w:r w:rsidRPr="00946CE0">
              <w:rPr>
                <w:rFonts w:asciiTheme="majorHAnsi" w:hAnsiTheme="majorHAnsi" w:cstheme="majorHAnsi"/>
              </w:rPr>
              <w:t>53</w:t>
            </w:r>
          </w:p>
        </w:tc>
        <w:tc>
          <w:tcPr>
            <w:tcW w:w="1493" w:type="dxa"/>
            <w:tcBorders>
              <w:bottom w:val="single" w:sz="4" w:space="0" w:color="auto"/>
            </w:tcBorders>
          </w:tcPr>
          <w:p w14:paraId="3C6EF59B" w14:textId="70F0BB0B" w:rsidR="002F65B3" w:rsidRPr="00946CE0" w:rsidRDefault="0059571F" w:rsidP="00770B51">
            <w:pPr>
              <w:pStyle w:val="Tabletext"/>
              <w:jc w:val="left"/>
              <w:rPr>
                <w:rFonts w:asciiTheme="majorHAnsi" w:hAnsiTheme="majorHAnsi" w:cstheme="majorHAnsi"/>
              </w:rPr>
            </w:pPr>
            <w:r w:rsidRPr="00946CE0">
              <w:rPr>
                <w:rFonts w:asciiTheme="majorHAnsi" w:hAnsiTheme="majorHAnsi" w:cstheme="majorHAnsi"/>
              </w:rPr>
              <w:t>16 classroom school building June 2026</w:t>
            </w:r>
          </w:p>
        </w:tc>
      </w:tr>
      <w:tr w:rsidR="00AC2452" w:rsidRPr="00270B61" w14:paraId="214520FC" w14:textId="77777777" w:rsidTr="00A56EB6">
        <w:trPr>
          <w:trHeight w:val="224"/>
        </w:trPr>
        <w:tc>
          <w:tcPr>
            <w:tcW w:w="1889" w:type="dxa"/>
            <w:tcBorders>
              <w:bottom w:val="single" w:sz="4" w:space="0" w:color="auto"/>
            </w:tcBorders>
          </w:tcPr>
          <w:p w14:paraId="50B67B9D" w14:textId="44CDD3AB" w:rsidR="00AC2452" w:rsidRPr="00270B61" w:rsidRDefault="005E3344" w:rsidP="00770B51">
            <w:pPr>
              <w:pStyle w:val="TableListBullet"/>
              <w:numPr>
                <w:ilvl w:val="0"/>
                <w:numId w:val="0"/>
              </w:numPr>
              <w:spacing w:after="0"/>
              <w:ind w:left="57" w:hanging="284"/>
              <w:jc w:val="left"/>
              <w:rPr>
                <w:rFonts w:asciiTheme="majorHAnsi" w:hAnsiTheme="majorHAnsi" w:cstheme="majorHAnsi"/>
                <w:b/>
                <w:bCs/>
                <w:sz w:val="18"/>
              </w:rPr>
            </w:pPr>
            <w:r w:rsidRPr="00270B61">
              <w:rPr>
                <w:rFonts w:asciiTheme="majorHAnsi" w:hAnsiTheme="majorHAnsi" w:cstheme="majorHAnsi"/>
                <w:sz w:val="18"/>
              </w:rPr>
              <w:t xml:space="preserve">    </w:t>
            </w:r>
            <w:r w:rsidRPr="00270B61">
              <w:rPr>
                <w:rFonts w:asciiTheme="majorHAnsi" w:hAnsiTheme="majorHAnsi" w:cstheme="majorHAnsi"/>
                <w:b/>
                <w:bCs/>
                <w:sz w:val="18"/>
              </w:rPr>
              <w:t xml:space="preserve"> Total</w:t>
            </w:r>
          </w:p>
        </w:tc>
        <w:tc>
          <w:tcPr>
            <w:tcW w:w="1493" w:type="dxa"/>
            <w:tcBorders>
              <w:bottom w:val="single" w:sz="4" w:space="0" w:color="auto"/>
            </w:tcBorders>
          </w:tcPr>
          <w:p w14:paraId="03B12036" w14:textId="77777777" w:rsidR="00AC2452" w:rsidRPr="00270B61" w:rsidRDefault="00AC2452" w:rsidP="00770B51">
            <w:pPr>
              <w:tabs>
                <w:tab w:val="clear" w:pos="284"/>
              </w:tabs>
              <w:spacing w:line="240" w:lineRule="auto"/>
              <w:jc w:val="left"/>
              <w:rPr>
                <w:rFonts w:asciiTheme="majorHAnsi" w:hAnsiTheme="majorHAnsi" w:cstheme="majorHAnsi"/>
                <w:color w:val="000000"/>
                <w:sz w:val="18"/>
              </w:rPr>
            </w:pPr>
          </w:p>
        </w:tc>
        <w:tc>
          <w:tcPr>
            <w:tcW w:w="1493" w:type="dxa"/>
            <w:tcBorders>
              <w:bottom w:val="single" w:sz="4" w:space="0" w:color="auto"/>
            </w:tcBorders>
          </w:tcPr>
          <w:p w14:paraId="3D2D79DB" w14:textId="77777777" w:rsidR="00AC2452" w:rsidRPr="00946CE0" w:rsidRDefault="00AC2452" w:rsidP="00770B51">
            <w:pPr>
              <w:pStyle w:val="Tabletext"/>
              <w:jc w:val="left"/>
              <w:rPr>
                <w:rFonts w:asciiTheme="majorHAnsi" w:hAnsiTheme="majorHAnsi" w:cstheme="majorHAnsi"/>
              </w:rPr>
            </w:pPr>
          </w:p>
        </w:tc>
        <w:tc>
          <w:tcPr>
            <w:tcW w:w="1493" w:type="dxa"/>
            <w:tcBorders>
              <w:bottom w:val="single" w:sz="4" w:space="0" w:color="auto"/>
            </w:tcBorders>
          </w:tcPr>
          <w:p w14:paraId="14A88FEB" w14:textId="7E30C1D2" w:rsidR="00AC2452" w:rsidRPr="00946CE0" w:rsidRDefault="009B14E7" w:rsidP="00770B51">
            <w:pPr>
              <w:pStyle w:val="Tabletext"/>
              <w:jc w:val="left"/>
              <w:rPr>
                <w:rFonts w:asciiTheme="majorHAnsi" w:hAnsiTheme="majorHAnsi" w:cstheme="majorHAnsi"/>
              </w:rPr>
            </w:pPr>
            <w:r w:rsidRPr="00946CE0">
              <w:rPr>
                <w:rFonts w:asciiTheme="majorHAnsi" w:hAnsiTheme="majorHAnsi" w:cstheme="majorHAnsi"/>
              </w:rPr>
              <w:t>3,5</w:t>
            </w:r>
            <w:r w:rsidR="008C79E9" w:rsidRPr="00946CE0">
              <w:rPr>
                <w:rFonts w:asciiTheme="majorHAnsi" w:hAnsiTheme="majorHAnsi" w:cstheme="majorHAnsi"/>
              </w:rPr>
              <w:t>98</w:t>
            </w:r>
          </w:p>
        </w:tc>
        <w:tc>
          <w:tcPr>
            <w:tcW w:w="1493" w:type="dxa"/>
            <w:tcBorders>
              <w:bottom w:val="single" w:sz="4" w:space="0" w:color="auto"/>
            </w:tcBorders>
          </w:tcPr>
          <w:p w14:paraId="21A5D72E" w14:textId="2AF6230B" w:rsidR="00AC2452" w:rsidRPr="00946CE0" w:rsidRDefault="00712560" w:rsidP="00770B51">
            <w:pPr>
              <w:pStyle w:val="Tabletext"/>
              <w:jc w:val="left"/>
              <w:rPr>
                <w:rFonts w:asciiTheme="majorHAnsi" w:hAnsiTheme="majorHAnsi" w:cstheme="majorHAnsi"/>
              </w:rPr>
            </w:pPr>
            <w:r w:rsidRPr="00946CE0">
              <w:rPr>
                <w:rFonts w:asciiTheme="majorHAnsi" w:hAnsiTheme="majorHAnsi" w:cstheme="majorHAnsi"/>
              </w:rPr>
              <w:t>2,533</w:t>
            </w:r>
          </w:p>
        </w:tc>
        <w:tc>
          <w:tcPr>
            <w:tcW w:w="1493" w:type="dxa"/>
            <w:tcBorders>
              <w:bottom w:val="single" w:sz="4" w:space="0" w:color="auto"/>
            </w:tcBorders>
          </w:tcPr>
          <w:p w14:paraId="723CCB03" w14:textId="6A83D1F1" w:rsidR="00AC2452" w:rsidRPr="00946CE0" w:rsidRDefault="00D65F32" w:rsidP="00770B51">
            <w:pPr>
              <w:pStyle w:val="Tabletext"/>
              <w:jc w:val="left"/>
              <w:rPr>
                <w:rFonts w:asciiTheme="majorHAnsi" w:hAnsiTheme="majorHAnsi" w:cstheme="majorHAnsi"/>
              </w:rPr>
            </w:pPr>
            <w:r w:rsidRPr="00946CE0">
              <w:rPr>
                <w:rFonts w:asciiTheme="majorHAnsi" w:hAnsiTheme="majorHAnsi" w:cstheme="majorHAnsi"/>
              </w:rPr>
              <w:t>70</w:t>
            </w:r>
          </w:p>
        </w:tc>
      </w:tr>
      <w:tr w:rsidR="00452DF7" w:rsidRPr="00270B61" w14:paraId="60E37179" w14:textId="0A99A70D">
        <w:trPr>
          <w:trHeight w:val="224"/>
        </w:trPr>
        <w:tc>
          <w:tcPr>
            <w:tcW w:w="7861" w:type="dxa"/>
            <w:gridSpan w:val="5"/>
            <w:tcBorders>
              <w:top w:val="single" w:sz="4" w:space="0" w:color="auto"/>
              <w:bottom w:val="nil"/>
            </w:tcBorders>
          </w:tcPr>
          <w:p w14:paraId="5CF782BE" w14:textId="5F1CB81E" w:rsidR="00452DF7" w:rsidRPr="00270B61" w:rsidRDefault="00452DF7" w:rsidP="00695529">
            <w:pPr>
              <w:pStyle w:val="Tabletext"/>
              <w:rPr>
                <w:rFonts w:asciiTheme="majorHAnsi" w:hAnsiTheme="majorHAnsi" w:cstheme="majorHAnsi"/>
                <w:i/>
                <w:iCs/>
              </w:rPr>
            </w:pPr>
            <w:r w:rsidRPr="00270B61">
              <w:rPr>
                <w:rFonts w:asciiTheme="majorHAnsi" w:hAnsiTheme="majorHAnsi" w:cstheme="majorHAnsi"/>
                <w:i/>
                <w:iCs/>
              </w:rPr>
              <w:t>Source: Department of Education and Youth</w:t>
            </w:r>
            <w:r w:rsidR="0016164F" w:rsidRPr="00430B5B">
              <w:rPr>
                <w:rFonts w:asciiTheme="majorHAnsi" w:hAnsiTheme="majorHAnsi" w:cstheme="majorHAnsi"/>
                <w:b/>
                <w:bCs/>
                <w:color w:val="FF0000"/>
              </w:rPr>
              <w:t xml:space="preserve"> [HOLD </w:t>
            </w:r>
            <w:r w:rsidR="0016164F" w:rsidRPr="00430B5B">
              <w:rPr>
                <w:rFonts w:asciiTheme="majorHAnsi" w:hAnsiTheme="majorHAnsi" w:cstheme="majorHAnsi"/>
                <w:b/>
                <w:bCs/>
                <w:color w:val="FF0000"/>
              </w:rPr>
              <w:t>School and childcare figures will require update prior to submission.</w:t>
            </w:r>
            <w:r w:rsidR="00430B5B" w:rsidRPr="00430B5B">
              <w:rPr>
                <w:rFonts w:asciiTheme="majorHAnsi" w:hAnsiTheme="majorHAnsi" w:cstheme="majorHAnsi"/>
                <w:b/>
                <w:bCs/>
                <w:color w:val="FF0000"/>
              </w:rPr>
              <w:t>]</w:t>
            </w:r>
          </w:p>
          <w:p w14:paraId="324A2112" w14:textId="77777777" w:rsidR="00452DF7" w:rsidRPr="00270B61" w:rsidRDefault="00452DF7" w:rsidP="00695529">
            <w:pPr>
              <w:pStyle w:val="Tabletext"/>
              <w:rPr>
                <w:rFonts w:asciiTheme="majorHAnsi" w:hAnsiTheme="majorHAnsi" w:cstheme="majorHAnsi"/>
              </w:rPr>
            </w:pPr>
          </w:p>
        </w:tc>
        <w:tc>
          <w:tcPr>
            <w:tcW w:w="1493" w:type="dxa"/>
            <w:tcBorders>
              <w:top w:val="single" w:sz="4" w:space="0" w:color="auto"/>
              <w:bottom w:val="nil"/>
            </w:tcBorders>
          </w:tcPr>
          <w:p w14:paraId="43AA4337" w14:textId="77777777" w:rsidR="00452DF7" w:rsidRPr="00270B61" w:rsidRDefault="00452DF7">
            <w:pPr>
              <w:pStyle w:val="Tabletext"/>
              <w:rPr>
                <w:rFonts w:asciiTheme="majorHAnsi" w:hAnsiTheme="majorHAnsi" w:cstheme="majorHAnsi"/>
                <w:i/>
                <w:iCs/>
              </w:rPr>
            </w:pPr>
          </w:p>
        </w:tc>
      </w:tr>
    </w:tbl>
    <w:p w14:paraId="61B7ADB0" w14:textId="6CD51D06" w:rsidR="0040516C" w:rsidRDefault="0040516C" w:rsidP="0040516C">
      <w:pPr>
        <w:pStyle w:val="Caption"/>
      </w:pPr>
      <w:bookmarkStart w:id="74" w:name="_Toc233123417"/>
      <w:r>
        <w:lastRenderedPageBreak/>
        <w:t xml:space="preserve">Table </w:t>
      </w:r>
      <w:r w:rsidR="000F55B9">
        <w:t>5-</w:t>
      </w:r>
      <w:r>
        <w:fldChar w:fldCharType="begin"/>
      </w:r>
      <w:r>
        <w:instrText>SEQ Table \* ARABIC</w:instrText>
      </w:r>
      <w:r>
        <w:fldChar w:fldCharType="separate"/>
      </w:r>
      <w:r w:rsidR="00946CE0">
        <w:rPr>
          <w:noProof/>
        </w:rPr>
        <w:t>7</w:t>
      </w:r>
      <w:r>
        <w:fldChar w:fldCharType="end"/>
      </w:r>
      <w:r>
        <w:t>: Secondary Schools</w:t>
      </w:r>
      <w:bookmarkEnd w:id="74"/>
      <w:r>
        <w:t xml:space="preserve"> </w:t>
      </w:r>
    </w:p>
    <w:tbl>
      <w:tblPr>
        <w:tblStyle w:val="GridTable4-Accent3"/>
        <w:tblpPr w:leftFromText="180" w:rightFromText="180" w:vertAnchor="text" w:horzAnchor="margin" w:tblpY="84"/>
        <w:tblW w:w="9351" w:type="dxa"/>
        <w:tblBorders>
          <w:top w:val="none" w:sz="0" w:space="0" w:color="auto"/>
          <w:left w:val="none" w:sz="0" w:space="0" w:color="auto"/>
          <w:bottom w:val="single" w:sz="8" w:space="0" w:color="000000" w:themeColor="text1"/>
          <w:right w:val="none" w:sz="0" w:space="0" w:color="auto"/>
          <w:insideH w:val="single" w:sz="8" w:space="0" w:color="000000" w:themeColor="text1"/>
          <w:insideV w:val="none" w:sz="0" w:space="0" w:color="auto"/>
        </w:tblBorders>
        <w:shd w:val="clear" w:color="auto" w:fill="FFFFFF" w:themeFill="background1"/>
        <w:tblLayout w:type="fixed"/>
        <w:tblLook w:val="04A0" w:firstRow="1" w:lastRow="0" w:firstColumn="1" w:lastColumn="0" w:noHBand="0" w:noVBand="1"/>
      </w:tblPr>
      <w:tblGrid>
        <w:gridCol w:w="1558"/>
        <w:gridCol w:w="1559"/>
        <w:gridCol w:w="1558"/>
        <w:gridCol w:w="1559"/>
        <w:gridCol w:w="1558"/>
        <w:gridCol w:w="1559"/>
      </w:tblGrid>
      <w:tr w:rsidR="005A1EF1" w:rsidRPr="00270B61" w14:paraId="737575A8" w14:textId="77777777" w:rsidTr="00B91F89">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1558" w:type="dxa"/>
            <w:tcBorders>
              <w:top w:val="nil"/>
              <w:left w:val="single" w:sz="12" w:space="0" w:color="FFFFFF" w:themeColor="background1"/>
              <w:bottom w:val="single" w:sz="12" w:space="0" w:color="008768" w:themeColor="accent1"/>
            </w:tcBorders>
            <w:shd w:val="clear" w:color="auto" w:fill="FFFFFF" w:themeFill="background1"/>
            <w:noWrap/>
            <w:hideMark/>
          </w:tcPr>
          <w:p w14:paraId="5E8F1553" w14:textId="75C17DFF" w:rsidR="005A1EF1" w:rsidRPr="00270B61" w:rsidRDefault="005A1EF1" w:rsidP="005A1EF1">
            <w:pPr>
              <w:pStyle w:val="TextNormal"/>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School Name </w:t>
            </w:r>
          </w:p>
        </w:tc>
        <w:tc>
          <w:tcPr>
            <w:tcW w:w="1559" w:type="dxa"/>
            <w:tcBorders>
              <w:top w:val="nil"/>
              <w:bottom w:val="single" w:sz="12" w:space="0" w:color="008768" w:themeColor="accent1"/>
            </w:tcBorders>
            <w:shd w:val="clear" w:color="auto" w:fill="FFFFFF" w:themeFill="background1"/>
            <w:noWrap/>
            <w:hideMark/>
          </w:tcPr>
          <w:p w14:paraId="3231E992" w14:textId="77777777" w:rsidR="005A1EF1" w:rsidRPr="00270B61" w:rsidRDefault="005A1EF1" w:rsidP="005A1EF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Address </w:t>
            </w:r>
          </w:p>
        </w:tc>
        <w:tc>
          <w:tcPr>
            <w:tcW w:w="1558" w:type="dxa"/>
            <w:tcBorders>
              <w:top w:val="none" w:sz="0" w:space="0" w:color="auto"/>
              <w:bottom w:val="none" w:sz="0" w:space="0" w:color="auto"/>
            </w:tcBorders>
            <w:shd w:val="clear" w:color="auto" w:fill="auto"/>
          </w:tcPr>
          <w:p w14:paraId="3FDA4667" w14:textId="7C09DCAA" w:rsidR="005A1EF1" w:rsidRPr="00270B61" w:rsidRDefault="005A1EF1" w:rsidP="005A1EF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Distance from Site (km)</w:t>
            </w:r>
          </w:p>
        </w:tc>
        <w:tc>
          <w:tcPr>
            <w:tcW w:w="1559" w:type="dxa"/>
            <w:tcBorders>
              <w:top w:val="none" w:sz="0" w:space="0" w:color="auto"/>
              <w:bottom w:val="none" w:sz="0" w:space="0" w:color="auto"/>
            </w:tcBorders>
            <w:shd w:val="clear" w:color="auto" w:fill="auto"/>
          </w:tcPr>
          <w:p w14:paraId="33CBB862" w14:textId="6372543E" w:rsidR="005A1EF1" w:rsidRPr="00270B61" w:rsidRDefault="005A1EF1" w:rsidP="005A1EF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Enrolment </w:t>
            </w:r>
            <w:r w:rsidR="008E2991">
              <w:rPr>
                <w:rFonts w:asciiTheme="majorHAnsi" w:hAnsiTheme="majorHAnsi" w:cstheme="majorHAnsi"/>
                <w:color w:val="008768" w:themeColor="accent1"/>
                <w:sz w:val="18"/>
                <w:szCs w:val="18"/>
                <w:lang w:val="en-GB"/>
              </w:rPr>
              <w:t>2023/2024</w:t>
            </w:r>
          </w:p>
        </w:tc>
        <w:tc>
          <w:tcPr>
            <w:tcW w:w="1558" w:type="dxa"/>
            <w:tcBorders>
              <w:top w:val="none" w:sz="0" w:space="0" w:color="auto"/>
              <w:bottom w:val="none" w:sz="0" w:space="0" w:color="auto"/>
            </w:tcBorders>
            <w:shd w:val="clear" w:color="auto" w:fill="auto"/>
          </w:tcPr>
          <w:p w14:paraId="296D4EB6" w14:textId="2B6773B4" w:rsidR="005A1EF1" w:rsidRPr="00270B61" w:rsidRDefault="005A1EF1" w:rsidP="005A1EF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Enrolment 2025/2026</w:t>
            </w:r>
          </w:p>
        </w:tc>
        <w:tc>
          <w:tcPr>
            <w:tcW w:w="1559" w:type="dxa"/>
            <w:tcBorders>
              <w:top w:val="nil"/>
              <w:bottom w:val="single" w:sz="12" w:space="0" w:color="008768" w:themeColor="accent1"/>
              <w:right w:val="single" w:sz="12" w:space="0" w:color="FFFFFF" w:themeColor="background1"/>
            </w:tcBorders>
            <w:shd w:val="clear" w:color="auto" w:fill="auto"/>
          </w:tcPr>
          <w:p w14:paraId="553212EE" w14:textId="1FE35EEE" w:rsidR="005A1EF1" w:rsidRPr="00270B61" w:rsidRDefault="005A1EF1" w:rsidP="005A1EF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Available Capacity </w:t>
            </w:r>
          </w:p>
        </w:tc>
      </w:tr>
      <w:tr w:rsidR="00B57776" w:rsidRPr="00270B61" w14:paraId="216CFAA3" w14:textId="77777777" w:rsidTr="000C3C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dxa"/>
            <w:tcBorders>
              <w:top w:val="single" w:sz="12" w:space="0" w:color="008768" w:themeColor="accent1"/>
            </w:tcBorders>
            <w:shd w:val="clear" w:color="auto" w:fill="FFFFFF" w:themeFill="background1"/>
            <w:noWrap/>
          </w:tcPr>
          <w:p w14:paraId="7C2FB520" w14:textId="49FF7918" w:rsidR="00B57776" w:rsidRPr="00270B61" w:rsidRDefault="00B57776" w:rsidP="00B57776">
            <w:pPr>
              <w:pStyle w:val="TextNormal"/>
              <w:rPr>
                <w:rFonts w:asciiTheme="majorHAnsi" w:hAnsiTheme="majorHAnsi" w:cstheme="majorHAnsi"/>
                <w:sz w:val="18"/>
                <w:szCs w:val="18"/>
                <w:lang w:val="en-GB"/>
              </w:rPr>
            </w:pPr>
            <w:r w:rsidRPr="00270B61">
              <w:rPr>
                <w:rFonts w:asciiTheme="majorHAnsi" w:hAnsiTheme="majorHAnsi" w:cstheme="majorHAnsi"/>
                <w:sz w:val="18"/>
                <w:szCs w:val="18"/>
                <w:lang w:val="en-GB"/>
              </w:rPr>
              <w:t>Holy Family Community School</w:t>
            </w:r>
          </w:p>
        </w:tc>
        <w:tc>
          <w:tcPr>
            <w:tcW w:w="1559" w:type="dxa"/>
            <w:shd w:val="clear" w:color="auto" w:fill="auto"/>
            <w:noWrap/>
            <w:vAlign w:val="center"/>
          </w:tcPr>
          <w:p w14:paraId="4D4479A5" w14:textId="3416C1C4"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B57776">
              <w:rPr>
                <w:sz w:val="18"/>
              </w:rPr>
              <w:t>Heritage Village, Garter's Lane, Saggart, Co. Dublin</w:t>
            </w:r>
          </w:p>
        </w:tc>
        <w:tc>
          <w:tcPr>
            <w:tcW w:w="1558" w:type="dxa"/>
            <w:shd w:val="clear" w:color="auto" w:fill="auto"/>
            <w:vAlign w:val="center"/>
          </w:tcPr>
          <w:p w14:paraId="56FB93DE" w14:textId="000384C8"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315040">
              <w:rPr>
                <w:sz w:val="18"/>
              </w:rPr>
              <w:t>1.45</w:t>
            </w:r>
          </w:p>
        </w:tc>
        <w:tc>
          <w:tcPr>
            <w:tcW w:w="1559" w:type="dxa"/>
            <w:shd w:val="clear" w:color="auto" w:fill="auto"/>
            <w:vAlign w:val="center"/>
          </w:tcPr>
          <w:p w14:paraId="0C649F31" w14:textId="68143D9D"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315040">
              <w:rPr>
                <w:sz w:val="18"/>
              </w:rPr>
              <w:t>545</w:t>
            </w:r>
          </w:p>
        </w:tc>
        <w:tc>
          <w:tcPr>
            <w:tcW w:w="1558" w:type="dxa"/>
            <w:shd w:val="clear" w:color="auto" w:fill="auto"/>
            <w:vAlign w:val="center"/>
          </w:tcPr>
          <w:p w14:paraId="0B3BD1BA" w14:textId="6B8C9FD3"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315040">
              <w:rPr>
                <w:sz w:val="18"/>
              </w:rPr>
              <w:t>758</w:t>
            </w:r>
          </w:p>
        </w:tc>
        <w:tc>
          <w:tcPr>
            <w:tcW w:w="1559" w:type="dxa"/>
            <w:tcBorders>
              <w:top w:val="single" w:sz="12" w:space="0" w:color="008768" w:themeColor="accent1"/>
            </w:tcBorders>
            <w:shd w:val="clear" w:color="auto" w:fill="FFFFFF" w:themeFill="background1"/>
          </w:tcPr>
          <w:p w14:paraId="10E98585" w14:textId="5DAFC3E3"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0C3CC6">
              <w:rPr>
                <w:sz w:val="18"/>
              </w:rPr>
              <w:t>Full (admissions notice 2026/27)</w:t>
            </w:r>
          </w:p>
        </w:tc>
      </w:tr>
      <w:tr w:rsidR="00B57776" w:rsidRPr="00270B61" w14:paraId="029F98CD"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1558" w:type="dxa"/>
            <w:shd w:val="clear" w:color="auto" w:fill="FFFFFF" w:themeFill="background1"/>
            <w:noWrap/>
          </w:tcPr>
          <w:p w14:paraId="6CD8166E" w14:textId="14B3B634" w:rsidR="00B57776" w:rsidRPr="00270B61" w:rsidRDefault="00B57776" w:rsidP="00B57776">
            <w:pPr>
              <w:pStyle w:val="TextNormal"/>
              <w:rPr>
                <w:rFonts w:asciiTheme="majorHAnsi" w:hAnsiTheme="majorHAnsi" w:cstheme="majorHAnsi"/>
                <w:sz w:val="18"/>
                <w:szCs w:val="18"/>
                <w:lang w:val="en-GB"/>
              </w:rPr>
            </w:pPr>
            <w:r w:rsidRPr="00270B61">
              <w:rPr>
                <w:rFonts w:asciiTheme="majorHAnsi" w:hAnsiTheme="majorHAnsi" w:cstheme="majorHAnsi"/>
                <w:sz w:val="18"/>
                <w:szCs w:val="18"/>
                <w:lang w:val="en-GB"/>
              </w:rPr>
              <w:t>Coláiste Pobail Fóla</w:t>
            </w:r>
          </w:p>
        </w:tc>
        <w:tc>
          <w:tcPr>
            <w:tcW w:w="1559" w:type="dxa"/>
            <w:noWrap/>
            <w:vAlign w:val="center"/>
          </w:tcPr>
          <w:p w14:paraId="38E16449" w14:textId="29E6E7BB"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B57776">
              <w:rPr>
                <w:sz w:val="18"/>
              </w:rPr>
              <w:t>Kilteel Road, Rathcoole, Co. Dublin</w:t>
            </w:r>
          </w:p>
        </w:tc>
        <w:tc>
          <w:tcPr>
            <w:tcW w:w="1558" w:type="dxa"/>
            <w:vAlign w:val="center"/>
          </w:tcPr>
          <w:p w14:paraId="39D114C5" w14:textId="22099964"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315040">
              <w:rPr>
                <w:sz w:val="18"/>
              </w:rPr>
              <w:t>1.49</w:t>
            </w:r>
          </w:p>
        </w:tc>
        <w:tc>
          <w:tcPr>
            <w:tcW w:w="1559" w:type="dxa"/>
            <w:vAlign w:val="center"/>
          </w:tcPr>
          <w:p w14:paraId="6DDE5D1A" w14:textId="1F4BEBF5"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315040">
              <w:rPr>
                <w:sz w:val="18"/>
              </w:rPr>
              <w:t>985</w:t>
            </w:r>
          </w:p>
        </w:tc>
        <w:tc>
          <w:tcPr>
            <w:tcW w:w="1558" w:type="dxa"/>
            <w:vAlign w:val="center"/>
          </w:tcPr>
          <w:p w14:paraId="06A69972" w14:textId="3EA7E115"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315040">
              <w:rPr>
                <w:sz w:val="18"/>
              </w:rPr>
              <w:t>998</w:t>
            </w:r>
          </w:p>
        </w:tc>
        <w:tc>
          <w:tcPr>
            <w:tcW w:w="1559" w:type="dxa"/>
            <w:shd w:val="clear" w:color="auto" w:fill="FFFFFF" w:themeFill="background1"/>
          </w:tcPr>
          <w:p w14:paraId="40596C93" w14:textId="38905C31"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0C3CC6">
              <w:rPr>
                <w:sz w:val="18"/>
              </w:rPr>
              <w:t>242</w:t>
            </w:r>
            <w:r w:rsidRPr="000C3CC6">
              <w:footnoteReference w:id="3"/>
            </w:r>
          </w:p>
        </w:tc>
      </w:tr>
      <w:tr w:rsidR="00B57776" w:rsidRPr="00270B61" w14:paraId="270E2149" w14:textId="77777777" w:rsidTr="000C3C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8" w:type="dxa"/>
            <w:shd w:val="clear" w:color="auto" w:fill="FFFFFF" w:themeFill="background1"/>
            <w:noWrap/>
          </w:tcPr>
          <w:p w14:paraId="2C9AC118" w14:textId="49D61E52" w:rsidR="00B57776" w:rsidRPr="00270B61" w:rsidRDefault="00B57776" w:rsidP="00B57776">
            <w:pPr>
              <w:pStyle w:val="TextNormal"/>
              <w:rPr>
                <w:rFonts w:asciiTheme="majorHAnsi" w:hAnsiTheme="majorHAnsi" w:cstheme="majorHAnsi"/>
                <w:sz w:val="18"/>
                <w:szCs w:val="18"/>
                <w:lang w:val="en-GB"/>
              </w:rPr>
            </w:pPr>
            <w:r w:rsidRPr="001A1417">
              <w:rPr>
                <w:rFonts w:asciiTheme="majorHAnsi" w:hAnsiTheme="majorHAnsi" w:cstheme="majorHAnsi"/>
                <w:sz w:val="18"/>
                <w:szCs w:val="18"/>
                <w:lang w:val="en-GB"/>
              </w:rPr>
              <w:t>St Aidan's Community School</w:t>
            </w:r>
          </w:p>
        </w:tc>
        <w:tc>
          <w:tcPr>
            <w:tcW w:w="1559" w:type="dxa"/>
            <w:shd w:val="clear" w:color="auto" w:fill="auto"/>
            <w:noWrap/>
          </w:tcPr>
          <w:p w14:paraId="47EE72B6" w14:textId="28EAB417" w:rsidR="00B57776" w:rsidRPr="000C3CC6" w:rsidRDefault="00B57776" w:rsidP="00B57776">
            <w:pPr>
              <w:tabs>
                <w:tab w:val="clear" w:pos="284"/>
              </w:tabs>
              <w:spacing w:line="240" w:lineRule="auto"/>
              <w:cnfStyle w:val="000000100000" w:firstRow="0" w:lastRow="0" w:firstColumn="0" w:lastColumn="0" w:oddVBand="0" w:evenVBand="0" w:oddHBand="1" w:evenHBand="0" w:firstRowFirstColumn="0" w:firstRowLastColumn="0" w:lastRowFirstColumn="0" w:lastRowLastColumn="0"/>
              <w:rPr>
                <w:rFonts w:ascii="Segoe UI" w:hAnsi="Segoe UI"/>
                <w:kern w:val="0"/>
                <w:sz w:val="18"/>
                <w:szCs w:val="22"/>
              </w:rPr>
            </w:pPr>
            <w:r w:rsidRPr="000C3CC6">
              <w:rPr>
                <w:rFonts w:ascii="Segoe UI" w:hAnsi="Segoe UI"/>
                <w:kern w:val="0"/>
                <w:sz w:val="18"/>
                <w:szCs w:val="22"/>
              </w:rPr>
              <w:t>Brookfield, Tallaght, Dublin 24</w:t>
            </w:r>
          </w:p>
        </w:tc>
        <w:tc>
          <w:tcPr>
            <w:tcW w:w="1558" w:type="dxa"/>
            <w:shd w:val="clear" w:color="auto" w:fill="auto"/>
          </w:tcPr>
          <w:p w14:paraId="21B3846A" w14:textId="654E55AA"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315040">
              <w:rPr>
                <w:sz w:val="18"/>
              </w:rPr>
              <w:t>3.15</w:t>
            </w:r>
          </w:p>
        </w:tc>
        <w:tc>
          <w:tcPr>
            <w:tcW w:w="1559" w:type="dxa"/>
            <w:shd w:val="clear" w:color="auto" w:fill="auto"/>
          </w:tcPr>
          <w:p w14:paraId="7EEB973E" w14:textId="1FD1C5E5" w:rsidR="00B57776" w:rsidRPr="000C3CC6" w:rsidRDefault="00B57776" w:rsidP="00B57776">
            <w:pPr>
              <w:tabs>
                <w:tab w:val="clear" w:pos="284"/>
              </w:tabs>
              <w:spacing w:line="240" w:lineRule="auto"/>
              <w:cnfStyle w:val="000000100000" w:firstRow="0" w:lastRow="0" w:firstColumn="0" w:lastColumn="0" w:oddVBand="0" w:evenVBand="0" w:oddHBand="1" w:evenHBand="0" w:firstRowFirstColumn="0" w:firstRowLastColumn="0" w:lastRowFirstColumn="0" w:lastRowLastColumn="0"/>
              <w:rPr>
                <w:rFonts w:ascii="Segoe UI" w:hAnsi="Segoe UI"/>
                <w:kern w:val="0"/>
                <w:sz w:val="18"/>
                <w:szCs w:val="22"/>
              </w:rPr>
            </w:pPr>
            <w:r w:rsidRPr="000C3CC6">
              <w:rPr>
                <w:rFonts w:ascii="Segoe UI" w:hAnsi="Segoe UI"/>
                <w:kern w:val="0"/>
                <w:sz w:val="18"/>
                <w:szCs w:val="22"/>
              </w:rPr>
              <w:t>484</w:t>
            </w:r>
          </w:p>
        </w:tc>
        <w:tc>
          <w:tcPr>
            <w:tcW w:w="1558" w:type="dxa"/>
            <w:shd w:val="clear" w:color="auto" w:fill="auto"/>
          </w:tcPr>
          <w:p w14:paraId="2F162354" w14:textId="38CC58C2"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315040">
              <w:rPr>
                <w:sz w:val="18"/>
              </w:rPr>
              <w:t>561</w:t>
            </w:r>
          </w:p>
        </w:tc>
        <w:tc>
          <w:tcPr>
            <w:tcW w:w="1559" w:type="dxa"/>
            <w:shd w:val="clear" w:color="auto" w:fill="FFFFFF" w:themeFill="background1"/>
          </w:tcPr>
          <w:p w14:paraId="7F562674" w14:textId="25BA32DE"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sz w:val="18"/>
              </w:rPr>
            </w:pPr>
            <w:r w:rsidRPr="000C3CC6">
              <w:rPr>
                <w:sz w:val="18"/>
              </w:rPr>
              <w:t>-</w:t>
            </w:r>
          </w:p>
        </w:tc>
      </w:tr>
      <w:tr w:rsidR="00B57776" w:rsidRPr="00270B61" w14:paraId="39E01E65" w14:textId="77777777" w:rsidTr="000C3CC6">
        <w:trPr>
          <w:trHeight w:val="288"/>
        </w:trPr>
        <w:tc>
          <w:tcPr>
            <w:cnfStyle w:val="001000000000" w:firstRow="0" w:lastRow="0" w:firstColumn="1" w:lastColumn="0" w:oddVBand="0" w:evenVBand="0" w:oddHBand="0" w:evenHBand="0" w:firstRowFirstColumn="0" w:firstRowLastColumn="0" w:lastRowFirstColumn="0" w:lastRowLastColumn="0"/>
            <w:tcW w:w="1558" w:type="dxa"/>
            <w:shd w:val="clear" w:color="auto" w:fill="FFFFFF" w:themeFill="background1"/>
            <w:noWrap/>
          </w:tcPr>
          <w:p w14:paraId="641FABC8" w14:textId="0EBCFCEE" w:rsidR="00B57776" w:rsidRPr="00270B61" w:rsidRDefault="00B57776" w:rsidP="00B57776">
            <w:pPr>
              <w:pStyle w:val="TextNormal"/>
              <w:rPr>
                <w:rFonts w:asciiTheme="majorHAnsi" w:hAnsiTheme="majorHAnsi" w:cstheme="majorHAnsi"/>
                <w:sz w:val="18"/>
                <w:szCs w:val="18"/>
                <w:lang w:val="en-GB"/>
              </w:rPr>
            </w:pPr>
            <w:r w:rsidRPr="0070238A">
              <w:rPr>
                <w:rFonts w:asciiTheme="majorHAnsi" w:hAnsiTheme="majorHAnsi" w:cstheme="majorHAnsi"/>
                <w:sz w:val="18"/>
                <w:szCs w:val="18"/>
                <w:lang w:val="en-GB"/>
              </w:rPr>
              <w:t>Mount Seskin Community College</w:t>
            </w:r>
          </w:p>
        </w:tc>
        <w:tc>
          <w:tcPr>
            <w:tcW w:w="1559" w:type="dxa"/>
            <w:noWrap/>
          </w:tcPr>
          <w:p w14:paraId="2E0E15B0" w14:textId="4F0BA34E" w:rsidR="00B57776" w:rsidRPr="000C3CC6" w:rsidRDefault="00B57776" w:rsidP="00B57776">
            <w:pPr>
              <w:tabs>
                <w:tab w:val="clear" w:pos="284"/>
              </w:tabs>
              <w:spacing w:line="240" w:lineRule="auto"/>
              <w:cnfStyle w:val="000000000000" w:firstRow="0" w:lastRow="0" w:firstColumn="0" w:lastColumn="0" w:oddVBand="0" w:evenVBand="0" w:oddHBand="0" w:evenHBand="0" w:firstRowFirstColumn="0" w:firstRowLastColumn="0" w:lastRowFirstColumn="0" w:lastRowLastColumn="0"/>
              <w:rPr>
                <w:rFonts w:ascii="Segoe UI" w:hAnsi="Segoe UI"/>
                <w:kern w:val="0"/>
                <w:sz w:val="18"/>
                <w:szCs w:val="22"/>
              </w:rPr>
            </w:pPr>
            <w:r w:rsidRPr="000C3CC6">
              <w:rPr>
                <w:rFonts w:ascii="Segoe UI" w:hAnsi="Segoe UI"/>
                <w:kern w:val="0"/>
                <w:sz w:val="18"/>
                <w:szCs w:val="22"/>
              </w:rPr>
              <w:t>Jobstown, Tallaght, Dublin 24</w:t>
            </w:r>
          </w:p>
        </w:tc>
        <w:tc>
          <w:tcPr>
            <w:tcW w:w="1558" w:type="dxa"/>
          </w:tcPr>
          <w:p w14:paraId="6D62C857" w14:textId="0939353D"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315040">
              <w:rPr>
                <w:sz w:val="18"/>
              </w:rPr>
              <w:t>3.19</w:t>
            </w:r>
          </w:p>
        </w:tc>
        <w:tc>
          <w:tcPr>
            <w:tcW w:w="1559" w:type="dxa"/>
          </w:tcPr>
          <w:p w14:paraId="01ACB5C8" w14:textId="4DA196A4" w:rsidR="00B57776" w:rsidRPr="000C3CC6" w:rsidRDefault="00B57776" w:rsidP="00B57776">
            <w:pPr>
              <w:tabs>
                <w:tab w:val="clear" w:pos="284"/>
              </w:tabs>
              <w:spacing w:line="240" w:lineRule="auto"/>
              <w:cnfStyle w:val="000000000000" w:firstRow="0" w:lastRow="0" w:firstColumn="0" w:lastColumn="0" w:oddVBand="0" w:evenVBand="0" w:oddHBand="0" w:evenHBand="0" w:firstRowFirstColumn="0" w:firstRowLastColumn="0" w:lastRowFirstColumn="0" w:lastRowLastColumn="0"/>
              <w:rPr>
                <w:rFonts w:ascii="Segoe UI" w:hAnsi="Segoe UI"/>
                <w:kern w:val="0"/>
                <w:sz w:val="18"/>
                <w:szCs w:val="22"/>
              </w:rPr>
            </w:pPr>
            <w:r w:rsidRPr="000C3CC6">
              <w:rPr>
                <w:rFonts w:ascii="Segoe UI" w:hAnsi="Segoe UI"/>
                <w:kern w:val="0"/>
                <w:sz w:val="18"/>
                <w:szCs w:val="22"/>
              </w:rPr>
              <w:t>339</w:t>
            </w:r>
          </w:p>
        </w:tc>
        <w:tc>
          <w:tcPr>
            <w:tcW w:w="1558" w:type="dxa"/>
          </w:tcPr>
          <w:p w14:paraId="59C67D04" w14:textId="1275EA63"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315040">
              <w:rPr>
                <w:sz w:val="18"/>
              </w:rPr>
              <w:t>350</w:t>
            </w:r>
          </w:p>
        </w:tc>
        <w:tc>
          <w:tcPr>
            <w:tcW w:w="1559" w:type="dxa"/>
            <w:shd w:val="clear" w:color="auto" w:fill="FFFFFF" w:themeFill="background1"/>
          </w:tcPr>
          <w:p w14:paraId="2EB6E79C" w14:textId="190E01F7" w:rsidR="00B57776" w:rsidRPr="000C3CC6" w:rsidRDefault="00B57776" w:rsidP="00B57776">
            <w:pPr>
              <w:pStyle w:val="TextNormal"/>
              <w:cnfStyle w:val="000000000000" w:firstRow="0" w:lastRow="0" w:firstColumn="0" w:lastColumn="0" w:oddVBand="0" w:evenVBand="0" w:oddHBand="0" w:evenHBand="0" w:firstRowFirstColumn="0" w:firstRowLastColumn="0" w:lastRowFirstColumn="0" w:lastRowLastColumn="0"/>
              <w:rPr>
                <w:sz w:val="18"/>
              </w:rPr>
            </w:pPr>
            <w:r w:rsidRPr="000C3CC6">
              <w:rPr>
                <w:sz w:val="18"/>
              </w:rPr>
              <w:t>-</w:t>
            </w:r>
          </w:p>
        </w:tc>
      </w:tr>
      <w:tr w:rsidR="00B57776" w:rsidRPr="00270B61" w14:paraId="00F66274" w14:textId="77777777" w:rsidTr="000C3CC6">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558" w:type="dxa"/>
            <w:shd w:val="clear" w:color="auto" w:fill="FFFFFF" w:themeFill="background1"/>
            <w:noWrap/>
          </w:tcPr>
          <w:p w14:paraId="3FB59629" w14:textId="21F63AED" w:rsidR="00B57776" w:rsidRPr="00270B61" w:rsidRDefault="00B57776" w:rsidP="00B57776">
            <w:pPr>
              <w:pStyle w:val="TextNormal"/>
              <w:rPr>
                <w:rFonts w:asciiTheme="majorHAnsi" w:hAnsiTheme="majorHAnsi" w:cstheme="majorHAnsi"/>
                <w:sz w:val="18"/>
                <w:szCs w:val="18"/>
                <w:lang w:val="en-GB"/>
              </w:rPr>
            </w:pPr>
            <w:r w:rsidRPr="00270B61">
              <w:rPr>
                <w:rFonts w:asciiTheme="majorHAnsi" w:hAnsiTheme="majorHAnsi" w:cstheme="majorHAnsi"/>
                <w:sz w:val="18"/>
                <w:szCs w:val="18"/>
                <w:lang w:val="en-GB"/>
              </w:rPr>
              <w:t>Total</w:t>
            </w:r>
          </w:p>
        </w:tc>
        <w:tc>
          <w:tcPr>
            <w:tcW w:w="1559" w:type="dxa"/>
            <w:shd w:val="clear" w:color="auto" w:fill="FFFFFF" w:themeFill="background1"/>
            <w:noWrap/>
          </w:tcPr>
          <w:p w14:paraId="344E8AC0" w14:textId="484AB92E" w:rsidR="00B57776" w:rsidRPr="00270B61" w:rsidRDefault="00B57776" w:rsidP="00B57776">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p>
        </w:tc>
        <w:tc>
          <w:tcPr>
            <w:tcW w:w="1558" w:type="dxa"/>
            <w:shd w:val="clear" w:color="auto" w:fill="FFFFFF" w:themeFill="background1"/>
          </w:tcPr>
          <w:p w14:paraId="442DA8CA" w14:textId="45AAE61D" w:rsidR="00B57776" w:rsidRPr="00270B61" w:rsidRDefault="00B57776" w:rsidP="00B57776">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p>
        </w:tc>
        <w:tc>
          <w:tcPr>
            <w:tcW w:w="1559" w:type="dxa"/>
            <w:shd w:val="clear" w:color="auto" w:fill="auto"/>
          </w:tcPr>
          <w:p w14:paraId="734C1D9F" w14:textId="4972BC9E"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b/>
                <w:bCs/>
                <w:sz w:val="18"/>
              </w:rPr>
            </w:pPr>
            <w:r w:rsidRPr="00B57776">
              <w:rPr>
                <w:b/>
                <w:bCs/>
                <w:sz w:val="18"/>
              </w:rPr>
              <w:t>2,353</w:t>
            </w:r>
          </w:p>
        </w:tc>
        <w:tc>
          <w:tcPr>
            <w:tcW w:w="1558" w:type="dxa"/>
            <w:shd w:val="clear" w:color="auto" w:fill="auto"/>
          </w:tcPr>
          <w:p w14:paraId="4A19486F" w14:textId="51BAD902"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b/>
                <w:bCs/>
                <w:sz w:val="18"/>
              </w:rPr>
            </w:pPr>
            <w:r w:rsidRPr="00B57776">
              <w:rPr>
                <w:b/>
                <w:bCs/>
                <w:sz w:val="18"/>
              </w:rPr>
              <w:t>2,667</w:t>
            </w:r>
          </w:p>
        </w:tc>
        <w:tc>
          <w:tcPr>
            <w:tcW w:w="1559" w:type="dxa"/>
            <w:shd w:val="clear" w:color="auto" w:fill="FFFFFF" w:themeFill="background1"/>
          </w:tcPr>
          <w:p w14:paraId="46FCA4EA" w14:textId="19773845" w:rsidR="00B57776" w:rsidRPr="000C3CC6" w:rsidRDefault="00B57776" w:rsidP="00B57776">
            <w:pPr>
              <w:pStyle w:val="TextNormal"/>
              <w:cnfStyle w:val="000000100000" w:firstRow="0" w:lastRow="0" w:firstColumn="0" w:lastColumn="0" w:oddVBand="0" w:evenVBand="0" w:oddHBand="1" w:evenHBand="0" w:firstRowFirstColumn="0" w:firstRowLastColumn="0" w:lastRowFirstColumn="0" w:lastRowLastColumn="0"/>
              <w:rPr>
                <w:b/>
                <w:bCs/>
                <w:sz w:val="18"/>
              </w:rPr>
            </w:pPr>
            <w:r w:rsidRPr="000C3CC6">
              <w:rPr>
                <w:b/>
                <w:bCs/>
                <w:sz w:val="18"/>
              </w:rPr>
              <w:t>242</w:t>
            </w:r>
          </w:p>
        </w:tc>
      </w:tr>
    </w:tbl>
    <w:p w14:paraId="4C147541" w14:textId="5534923E" w:rsidR="00CF31AA" w:rsidRPr="00946CE0" w:rsidRDefault="009F0821" w:rsidP="00946CE0">
      <w:pPr>
        <w:pStyle w:val="Tabletext"/>
        <w:rPr>
          <w:i/>
          <w:iCs/>
        </w:rPr>
      </w:pPr>
      <w:r w:rsidRPr="00733E9A">
        <w:rPr>
          <w:i/>
          <w:iCs/>
        </w:rPr>
        <w:t xml:space="preserve">Source: </w:t>
      </w:r>
      <w:r>
        <w:rPr>
          <w:i/>
          <w:iCs/>
        </w:rPr>
        <w:t>Department of Education and Youth</w:t>
      </w:r>
    </w:p>
    <w:p w14:paraId="1172994D" w14:textId="0823F2E1" w:rsidR="00D529BC" w:rsidRDefault="00CF31AA" w:rsidP="00946CE0">
      <w:pPr>
        <w:pStyle w:val="BodyText"/>
        <w:spacing w:before="60"/>
      </w:pPr>
      <w:r>
        <w:t>The general trend as is visible in the tables abo</w:t>
      </w:r>
      <w:r w:rsidR="001352A2">
        <w:t xml:space="preserve">ve is that </w:t>
      </w:r>
      <w:r w:rsidR="00DB4227">
        <w:t xml:space="preserve">5 of the 6 </w:t>
      </w:r>
      <w:r w:rsidR="001352A2">
        <w:t>primary schools in the area have seen a decrease in enrolment</w:t>
      </w:r>
      <w:r w:rsidR="007337B0">
        <w:t xml:space="preserve"> (-65 places)</w:t>
      </w:r>
      <w:r w:rsidR="001352A2">
        <w:t xml:space="preserve"> over the past </w:t>
      </w:r>
      <w:r w:rsidR="00AA6543">
        <w:t xml:space="preserve">two academic years </w:t>
      </w:r>
      <w:r w:rsidR="00DB4227">
        <w:t>(2024</w:t>
      </w:r>
      <w:r w:rsidR="007337B0">
        <w:t xml:space="preserve">-2025) </w:t>
      </w:r>
      <w:r w:rsidR="00AA6543">
        <w:t>while secondary schools have seen a general increase in enrolment</w:t>
      </w:r>
      <w:r w:rsidR="007337B0">
        <w:t xml:space="preserve"> (+</w:t>
      </w:r>
      <w:r w:rsidR="00D336E3">
        <w:t xml:space="preserve">314 </w:t>
      </w:r>
      <w:r w:rsidR="002A4F3E">
        <w:t>places</w:t>
      </w:r>
      <w:r w:rsidR="00D336E3">
        <w:t>/</w:t>
      </w:r>
      <w:r w:rsidR="008E722A">
        <w:t>11.</w:t>
      </w:r>
      <w:r w:rsidR="0056068A">
        <w:t>8%</w:t>
      </w:r>
      <w:r w:rsidR="002A4F3E">
        <w:t>)</w:t>
      </w:r>
      <w:r w:rsidR="00AA6543">
        <w:t>.</w:t>
      </w:r>
      <w:r w:rsidR="001352A2">
        <w:t xml:space="preserve"> </w:t>
      </w:r>
    </w:p>
    <w:p w14:paraId="586DD35A" w14:textId="67B4CE70" w:rsidR="00281C9D" w:rsidRDefault="00F6045F" w:rsidP="006D6FEB">
      <w:pPr>
        <w:pStyle w:val="BodyText"/>
      </w:pPr>
      <w:r>
        <w:t xml:space="preserve">Several current and upcoming primary school developments have been noted in the area and on this basis significant new places are expected. The Citywest Educate Together National School and Citywest and Saggart Community National School have both relocated to a new campus to the north of Parklands Parade and Fortunestown Lane. Gaelscoil Lir is moving into a new 16 classroom building with a 2 classroom special needs unit at the site on which it is currently located as constructed under PA Reg. Ref. </w:t>
      </w:r>
      <w:r w:rsidRPr="008C0C9B">
        <w:t>SD19A/0393</w:t>
      </w:r>
      <w:r>
        <w:t xml:space="preserve"> in June 2026. An additional </w:t>
      </w:r>
      <w:r w:rsidRPr="00B53B28">
        <w:t>20 classroom primary school (SD23A/0336 &amp; APB-321696-25) has been permitted within the RES-N zoning</w:t>
      </w:r>
      <w:r>
        <w:t xml:space="preserve"> at the subject site. It is also noted that a site of 1.03ha within </w:t>
      </w:r>
      <w:r w:rsidR="00163714">
        <w:t xml:space="preserve">the townland of Boherboy has been reserved for the future development of a school (not known if this is primary or secondary; </w:t>
      </w:r>
      <w:r w:rsidR="00163714" w:rsidRPr="00163714">
        <w:t>ABP Ref. 324127</w:t>
      </w:r>
      <w:r w:rsidR="00163714">
        <w:t>) as per the SDCCDP 2022-2028.</w:t>
      </w:r>
    </w:p>
    <w:p w14:paraId="65F83CC4" w14:textId="5631958C" w:rsidR="00F402C9" w:rsidRPr="00733E9A" w:rsidRDefault="00F402C9" w:rsidP="00F402C9">
      <w:pPr>
        <w:pStyle w:val="Caption"/>
      </w:pPr>
      <w:bookmarkStart w:id="75" w:name="_Toc233123418"/>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8</w:t>
      </w:r>
      <w:r>
        <w:fldChar w:fldCharType="end"/>
      </w:r>
      <w:r w:rsidRPr="00733E9A">
        <w:t xml:space="preserve">: </w:t>
      </w:r>
      <w:r>
        <w:t>Schools - Permitted and Pending Planning Applications</w:t>
      </w:r>
      <w:bookmarkEnd w:id="75"/>
      <w:r w:rsidR="004C5C85">
        <w:t xml:space="preserve"> </w:t>
      </w:r>
    </w:p>
    <w:tbl>
      <w:tblPr>
        <w:tblStyle w:val="AECOMtable"/>
        <w:tblW w:w="5000" w:type="pct"/>
        <w:tblLook w:val="04A0" w:firstRow="1" w:lastRow="0" w:firstColumn="1" w:lastColumn="0" w:noHBand="0" w:noVBand="1"/>
      </w:tblPr>
      <w:tblGrid>
        <w:gridCol w:w="1859"/>
        <w:gridCol w:w="1859"/>
        <w:gridCol w:w="984"/>
        <w:gridCol w:w="3673"/>
        <w:gridCol w:w="979"/>
      </w:tblGrid>
      <w:tr w:rsidR="00F402C9" w:rsidRPr="00270B61" w14:paraId="34B55421" w14:textId="77777777" w:rsidTr="00A51BD1">
        <w:trPr>
          <w:cnfStyle w:val="100000000000" w:firstRow="1" w:lastRow="0" w:firstColumn="0" w:lastColumn="0" w:oddVBand="0" w:evenVBand="0" w:oddHBand="0" w:evenHBand="0" w:firstRowFirstColumn="0" w:firstRowLastColumn="0" w:lastRowFirstColumn="0" w:lastRowLastColumn="0"/>
          <w:tblHeader/>
        </w:trPr>
        <w:tc>
          <w:tcPr>
            <w:tcW w:w="1000" w:type="pct"/>
          </w:tcPr>
          <w:p w14:paraId="7F40123A" w14:textId="77777777" w:rsidR="00F402C9" w:rsidRPr="00270B61" w:rsidRDefault="00F402C9">
            <w:pPr>
              <w:pStyle w:val="Tabletext"/>
              <w:jc w:val="left"/>
              <w:rPr>
                <w:rFonts w:cstheme="majorHAnsi"/>
              </w:rPr>
            </w:pPr>
            <w:r>
              <w:rPr>
                <w:rFonts w:cstheme="majorHAnsi"/>
              </w:rPr>
              <w:t>Reference Number</w:t>
            </w:r>
          </w:p>
        </w:tc>
        <w:tc>
          <w:tcPr>
            <w:tcW w:w="1000" w:type="pct"/>
          </w:tcPr>
          <w:p w14:paraId="580831E8" w14:textId="77777777" w:rsidR="00F402C9" w:rsidRPr="00270B61" w:rsidRDefault="00F402C9">
            <w:pPr>
              <w:pStyle w:val="Tabletext"/>
              <w:jc w:val="left"/>
              <w:rPr>
                <w:rFonts w:cstheme="majorHAnsi"/>
              </w:rPr>
            </w:pPr>
            <w:r w:rsidRPr="00270B61">
              <w:rPr>
                <w:rFonts w:cstheme="majorHAnsi"/>
              </w:rPr>
              <w:t>Address</w:t>
            </w:r>
          </w:p>
        </w:tc>
        <w:tc>
          <w:tcPr>
            <w:tcW w:w="501" w:type="pct"/>
          </w:tcPr>
          <w:p w14:paraId="4D6F6E6B" w14:textId="77777777" w:rsidR="00F402C9" w:rsidRPr="00270B61" w:rsidRDefault="00F402C9">
            <w:pPr>
              <w:pStyle w:val="Tabletext"/>
              <w:jc w:val="left"/>
              <w:rPr>
                <w:rFonts w:cstheme="majorHAnsi"/>
              </w:rPr>
            </w:pPr>
            <w:r>
              <w:rPr>
                <w:rFonts w:cstheme="majorHAnsi"/>
              </w:rPr>
              <w:t>Status</w:t>
            </w:r>
          </w:p>
        </w:tc>
        <w:tc>
          <w:tcPr>
            <w:tcW w:w="1970" w:type="pct"/>
          </w:tcPr>
          <w:p w14:paraId="46EBD03E" w14:textId="77777777" w:rsidR="00F402C9" w:rsidRPr="00270B61" w:rsidRDefault="00F402C9">
            <w:pPr>
              <w:pStyle w:val="Tabletext"/>
              <w:jc w:val="left"/>
              <w:rPr>
                <w:rFonts w:cstheme="majorHAnsi"/>
              </w:rPr>
            </w:pPr>
            <w:r>
              <w:rPr>
                <w:rFonts w:cstheme="majorHAnsi"/>
              </w:rPr>
              <w:t>Description</w:t>
            </w:r>
          </w:p>
        </w:tc>
        <w:tc>
          <w:tcPr>
            <w:tcW w:w="529" w:type="pct"/>
          </w:tcPr>
          <w:p w14:paraId="5FA0BE67" w14:textId="77777777" w:rsidR="00F402C9" w:rsidRPr="00270B61" w:rsidRDefault="00F402C9">
            <w:pPr>
              <w:pStyle w:val="Tabletext"/>
              <w:jc w:val="left"/>
              <w:rPr>
                <w:rFonts w:cstheme="majorHAnsi"/>
              </w:rPr>
            </w:pPr>
            <w:r w:rsidRPr="00270B61">
              <w:rPr>
                <w:rFonts w:cstheme="majorHAnsi"/>
              </w:rPr>
              <w:t>Distance from Site (km)</w:t>
            </w:r>
          </w:p>
        </w:tc>
      </w:tr>
      <w:tr w:rsidR="00F402C9" w:rsidRPr="00270B61" w14:paraId="658C5B07" w14:textId="77777777" w:rsidTr="00A51BD1">
        <w:trPr>
          <w:trHeight w:val="225"/>
        </w:trPr>
        <w:tc>
          <w:tcPr>
            <w:tcW w:w="1000" w:type="pct"/>
          </w:tcPr>
          <w:p w14:paraId="1EA385A2" w14:textId="77777777" w:rsidR="00EC4857" w:rsidRPr="00EC4857" w:rsidRDefault="00EC4857" w:rsidP="00EC4857">
            <w:pPr>
              <w:pStyle w:val="Tabletext"/>
              <w:jc w:val="left"/>
              <w:rPr>
                <w:rFonts w:asciiTheme="majorHAnsi" w:hAnsiTheme="majorHAnsi" w:cstheme="majorHAnsi"/>
                <w:b/>
                <w:bCs/>
              </w:rPr>
            </w:pPr>
            <w:r w:rsidRPr="00EC4857">
              <w:rPr>
                <w:rFonts w:asciiTheme="majorHAnsi" w:hAnsiTheme="majorHAnsi" w:cstheme="majorHAnsi"/>
                <w:b/>
                <w:bCs/>
              </w:rPr>
              <w:t>SDCC Ref. SD23A/0336</w:t>
            </w:r>
          </w:p>
          <w:p w14:paraId="7FD26495" w14:textId="024A51A0" w:rsidR="00F402C9" w:rsidRPr="00727808" w:rsidRDefault="00EC4857" w:rsidP="00EC4857">
            <w:pPr>
              <w:pStyle w:val="Tabletext"/>
              <w:spacing w:after="0"/>
              <w:jc w:val="left"/>
              <w:rPr>
                <w:rFonts w:asciiTheme="majorHAnsi" w:hAnsiTheme="majorHAnsi" w:cstheme="majorHAnsi"/>
                <w:b/>
                <w:bCs/>
              </w:rPr>
            </w:pPr>
            <w:r w:rsidRPr="00EC4857">
              <w:rPr>
                <w:rFonts w:asciiTheme="majorHAnsi" w:hAnsiTheme="majorHAnsi" w:cstheme="majorHAnsi"/>
                <w:b/>
                <w:bCs/>
              </w:rPr>
              <w:t>ACP Ref. 321696</w:t>
            </w:r>
          </w:p>
        </w:tc>
        <w:tc>
          <w:tcPr>
            <w:tcW w:w="1000" w:type="pct"/>
          </w:tcPr>
          <w:p w14:paraId="4569B512" w14:textId="5E86A55B" w:rsidR="00F402C9" w:rsidRPr="00270B61" w:rsidRDefault="00EC4857">
            <w:pPr>
              <w:pStyle w:val="Tabletext"/>
              <w:jc w:val="left"/>
              <w:rPr>
                <w:rFonts w:asciiTheme="majorHAnsi" w:hAnsiTheme="majorHAnsi" w:cstheme="majorHAnsi"/>
              </w:rPr>
            </w:pPr>
            <w:r w:rsidRPr="00EC4857">
              <w:rPr>
                <w:rFonts w:asciiTheme="majorHAnsi" w:hAnsiTheme="majorHAnsi" w:cstheme="majorHAnsi"/>
              </w:rPr>
              <w:t>Lands south of Coolamber Drive, Rathcoole, Co. Dublin</w:t>
            </w:r>
          </w:p>
        </w:tc>
        <w:tc>
          <w:tcPr>
            <w:tcW w:w="501" w:type="pct"/>
          </w:tcPr>
          <w:p w14:paraId="035440A5" w14:textId="4A8BFED6" w:rsidR="00F402C9" w:rsidRPr="00270B61" w:rsidRDefault="00EC4857">
            <w:pPr>
              <w:pStyle w:val="Tabletext"/>
              <w:jc w:val="left"/>
              <w:rPr>
                <w:rFonts w:asciiTheme="majorHAnsi" w:hAnsiTheme="majorHAnsi" w:cstheme="majorHAnsi"/>
              </w:rPr>
            </w:pPr>
            <w:r>
              <w:rPr>
                <w:rFonts w:asciiTheme="majorHAnsi" w:hAnsiTheme="majorHAnsi" w:cstheme="majorHAnsi"/>
              </w:rPr>
              <w:t>Granted on appeal</w:t>
            </w:r>
          </w:p>
        </w:tc>
        <w:tc>
          <w:tcPr>
            <w:tcW w:w="1970" w:type="pct"/>
          </w:tcPr>
          <w:p w14:paraId="5240A9E5" w14:textId="14DFA664" w:rsidR="00F402C9" w:rsidRPr="00270B61" w:rsidRDefault="008B7BF8">
            <w:pPr>
              <w:pStyle w:val="Tabletext"/>
              <w:jc w:val="left"/>
              <w:rPr>
                <w:rFonts w:asciiTheme="majorHAnsi" w:hAnsiTheme="majorHAnsi" w:cstheme="majorHAnsi"/>
              </w:rPr>
            </w:pPr>
            <w:r w:rsidRPr="008B7BF8">
              <w:rPr>
                <w:rFonts w:asciiTheme="majorHAnsi" w:hAnsiTheme="majorHAnsi" w:cstheme="majorHAnsi"/>
              </w:rPr>
              <w:t>New primary school (Roll No. 20549P), including 20 classrooms, with a gross floor area of 3,449 sq.m over 3 storeys</w:t>
            </w:r>
            <w:r w:rsidR="00A51BD1">
              <w:rPr>
                <w:rFonts w:asciiTheme="majorHAnsi" w:hAnsiTheme="majorHAnsi" w:cstheme="majorHAnsi"/>
              </w:rPr>
              <w:t>.</w:t>
            </w:r>
          </w:p>
        </w:tc>
        <w:tc>
          <w:tcPr>
            <w:tcW w:w="529" w:type="pct"/>
          </w:tcPr>
          <w:p w14:paraId="15C299A0" w14:textId="53053173" w:rsidR="00F402C9" w:rsidRPr="00270B61" w:rsidRDefault="008B7BF8">
            <w:pPr>
              <w:pStyle w:val="Tabletext"/>
              <w:jc w:val="left"/>
              <w:rPr>
                <w:rFonts w:asciiTheme="majorHAnsi" w:hAnsiTheme="majorHAnsi" w:cstheme="majorHAnsi"/>
              </w:rPr>
            </w:pPr>
            <w:r>
              <w:rPr>
                <w:rFonts w:asciiTheme="majorHAnsi" w:hAnsiTheme="majorHAnsi" w:cstheme="majorHAnsi"/>
              </w:rPr>
              <w:t>0km</w:t>
            </w:r>
          </w:p>
        </w:tc>
      </w:tr>
      <w:tr w:rsidR="00F402C9" w:rsidRPr="00270B61" w14:paraId="1B115BA4" w14:textId="77777777" w:rsidTr="00A51BD1">
        <w:trPr>
          <w:trHeight w:val="224"/>
        </w:trPr>
        <w:tc>
          <w:tcPr>
            <w:tcW w:w="1000" w:type="pct"/>
            <w:tcBorders>
              <w:bottom w:val="single" w:sz="4" w:space="0" w:color="auto"/>
            </w:tcBorders>
          </w:tcPr>
          <w:p w14:paraId="548CF575" w14:textId="05A049B6" w:rsidR="00F402C9" w:rsidRPr="00727808" w:rsidRDefault="003404F0" w:rsidP="00266969">
            <w:pPr>
              <w:pStyle w:val="TableListBullet"/>
              <w:numPr>
                <w:ilvl w:val="0"/>
                <w:numId w:val="0"/>
              </w:numPr>
              <w:spacing w:after="0"/>
              <w:ind w:left="284" w:hanging="284"/>
              <w:jc w:val="left"/>
              <w:rPr>
                <w:rFonts w:asciiTheme="majorHAnsi" w:hAnsiTheme="majorHAnsi" w:cstheme="majorHAnsi"/>
                <w:b/>
                <w:bCs/>
                <w:sz w:val="18"/>
              </w:rPr>
            </w:pPr>
            <w:r w:rsidRPr="003404F0">
              <w:rPr>
                <w:rFonts w:asciiTheme="majorHAnsi" w:hAnsiTheme="majorHAnsi" w:cstheme="majorHAnsi"/>
                <w:b/>
                <w:bCs/>
                <w:sz w:val="18"/>
              </w:rPr>
              <w:t>SDCC Ref.</w:t>
            </w:r>
            <w:r w:rsidR="001F76C4">
              <w:rPr>
                <w:rFonts w:asciiTheme="majorHAnsi" w:hAnsiTheme="majorHAnsi" w:cstheme="majorHAnsi"/>
                <w:b/>
                <w:bCs/>
                <w:sz w:val="18"/>
              </w:rPr>
              <w:t xml:space="preserve"> </w:t>
            </w:r>
            <w:r w:rsidRPr="003404F0">
              <w:rPr>
                <w:rFonts w:asciiTheme="majorHAnsi" w:hAnsiTheme="majorHAnsi" w:cstheme="majorHAnsi"/>
                <w:b/>
                <w:bCs/>
                <w:sz w:val="18"/>
              </w:rPr>
              <w:t>SD21A/0231</w:t>
            </w:r>
          </w:p>
        </w:tc>
        <w:tc>
          <w:tcPr>
            <w:tcW w:w="1000" w:type="pct"/>
            <w:tcBorders>
              <w:bottom w:val="single" w:sz="4" w:space="0" w:color="auto"/>
            </w:tcBorders>
          </w:tcPr>
          <w:p w14:paraId="3EB16225" w14:textId="2258968C" w:rsidR="00F402C9" w:rsidRPr="00270B61" w:rsidRDefault="003404F0">
            <w:pPr>
              <w:pStyle w:val="Tabletext"/>
              <w:jc w:val="left"/>
              <w:rPr>
                <w:rFonts w:asciiTheme="majorHAnsi" w:hAnsiTheme="majorHAnsi" w:cstheme="majorHAnsi"/>
              </w:rPr>
            </w:pPr>
            <w:r w:rsidRPr="003404F0">
              <w:rPr>
                <w:rFonts w:asciiTheme="majorHAnsi" w:hAnsiTheme="majorHAnsi" w:cstheme="majorHAnsi"/>
              </w:rPr>
              <w:t>Scoil Chrónáin, Lands Opposite Rathcoole Community Centre, Rathcoole, Dublin</w:t>
            </w:r>
          </w:p>
        </w:tc>
        <w:tc>
          <w:tcPr>
            <w:tcW w:w="501" w:type="pct"/>
            <w:tcBorders>
              <w:bottom w:val="single" w:sz="4" w:space="0" w:color="auto"/>
            </w:tcBorders>
          </w:tcPr>
          <w:p w14:paraId="360EFAB6" w14:textId="162291BD" w:rsidR="00F402C9" w:rsidRPr="00270B61" w:rsidRDefault="00913ABA">
            <w:pPr>
              <w:pStyle w:val="Tabletext"/>
              <w:jc w:val="left"/>
              <w:rPr>
                <w:rFonts w:asciiTheme="majorHAnsi" w:hAnsiTheme="majorHAnsi" w:cstheme="majorHAnsi"/>
              </w:rPr>
            </w:pPr>
            <w:r w:rsidRPr="00913ABA">
              <w:rPr>
                <w:rFonts w:asciiTheme="majorHAnsi" w:hAnsiTheme="majorHAnsi" w:cstheme="majorHAnsi"/>
              </w:rPr>
              <w:t>Granted</w:t>
            </w:r>
          </w:p>
        </w:tc>
        <w:tc>
          <w:tcPr>
            <w:tcW w:w="1970" w:type="pct"/>
            <w:tcBorders>
              <w:bottom w:val="single" w:sz="4" w:space="0" w:color="auto"/>
            </w:tcBorders>
          </w:tcPr>
          <w:p w14:paraId="77B4E6B7" w14:textId="7C47AB2A" w:rsidR="00F402C9" w:rsidRPr="00270B61" w:rsidRDefault="00A51BD1">
            <w:pPr>
              <w:pStyle w:val="Tabletext"/>
              <w:jc w:val="left"/>
              <w:rPr>
                <w:rFonts w:asciiTheme="majorHAnsi" w:hAnsiTheme="majorHAnsi" w:cstheme="majorHAnsi"/>
              </w:rPr>
            </w:pPr>
            <w:r w:rsidRPr="00A51BD1">
              <w:rPr>
                <w:rFonts w:asciiTheme="majorHAnsi" w:hAnsiTheme="majorHAnsi" w:cstheme="majorHAnsi"/>
              </w:rPr>
              <w:t>Removal of all existing temporary accommodation and construction of a new 16 classroom part three storey, part two storey primary school (Roll No 19503H); including GP Hall, 2 classroom Special Educational Needs Unit and all ancillary site works. The proposed project also incorporates associated staff car parking, delivery aces, drop off areas, pedestrian/bicycle access, construction of 2 external ball courts, acoustic boundary wall plus additional boundary treatments, landscaping, connection to public services and all associated site works.</w:t>
            </w:r>
          </w:p>
        </w:tc>
        <w:tc>
          <w:tcPr>
            <w:tcW w:w="529" w:type="pct"/>
            <w:tcBorders>
              <w:bottom w:val="single" w:sz="4" w:space="0" w:color="auto"/>
            </w:tcBorders>
          </w:tcPr>
          <w:p w14:paraId="7203E912" w14:textId="2AA2FFE5" w:rsidR="00F402C9" w:rsidRPr="00270B61" w:rsidRDefault="003404F0">
            <w:pPr>
              <w:pStyle w:val="Tabletext"/>
              <w:jc w:val="left"/>
              <w:rPr>
                <w:rFonts w:asciiTheme="majorHAnsi" w:hAnsiTheme="majorHAnsi" w:cstheme="majorHAnsi"/>
              </w:rPr>
            </w:pPr>
            <w:r w:rsidRPr="003404F0">
              <w:rPr>
                <w:rFonts w:asciiTheme="majorHAnsi" w:hAnsiTheme="majorHAnsi" w:cstheme="majorHAnsi"/>
              </w:rPr>
              <w:t>0.6km</w:t>
            </w:r>
          </w:p>
        </w:tc>
      </w:tr>
      <w:tr w:rsidR="00F402C9" w:rsidRPr="00270B61" w14:paraId="1C68AEA2" w14:textId="77777777" w:rsidTr="00A51BD1">
        <w:trPr>
          <w:trHeight w:val="224"/>
        </w:trPr>
        <w:tc>
          <w:tcPr>
            <w:tcW w:w="1000" w:type="pct"/>
            <w:tcBorders>
              <w:bottom w:val="single" w:sz="4" w:space="0" w:color="auto"/>
            </w:tcBorders>
          </w:tcPr>
          <w:p w14:paraId="03F55F0D" w14:textId="5F31BEAF" w:rsidR="00F402C9" w:rsidRPr="00727808" w:rsidRDefault="009E64D5">
            <w:pPr>
              <w:pStyle w:val="TableListBullet"/>
              <w:numPr>
                <w:ilvl w:val="0"/>
                <w:numId w:val="0"/>
              </w:numPr>
              <w:spacing w:after="0"/>
              <w:ind w:left="284" w:hanging="284"/>
              <w:jc w:val="left"/>
              <w:rPr>
                <w:rFonts w:asciiTheme="majorHAnsi" w:hAnsiTheme="majorHAnsi" w:cstheme="majorHAnsi"/>
                <w:b/>
                <w:bCs/>
                <w:sz w:val="18"/>
              </w:rPr>
            </w:pPr>
            <w:r w:rsidRPr="009E64D5">
              <w:rPr>
                <w:rFonts w:asciiTheme="majorHAnsi" w:hAnsiTheme="majorHAnsi" w:cstheme="majorHAnsi"/>
                <w:b/>
                <w:bCs/>
                <w:sz w:val="18"/>
              </w:rPr>
              <w:t>SD19A/0393/EP</w:t>
            </w:r>
          </w:p>
        </w:tc>
        <w:tc>
          <w:tcPr>
            <w:tcW w:w="1000" w:type="pct"/>
            <w:tcBorders>
              <w:bottom w:val="single" w:sz="4" w:space="0" w:color="auto"/>
            </w:tcBorders>
          </w:tcPr>
          <w:p w14:paraId="774C193C" w14:textId="670D1690" w:rsidR="00F402C9" w:rsidRPr="00270B61" w:rsidRDefault="00914098">
            <w:pPr>
              <w:pStyle w:val="Tabletext"/>
              <w:jc w:val="left"/>
              <w:rPr>
                <w:rFonts w:asciiTheme="majorHAnsi" w:hAnsiTheme="majorHAnsi" w:cstheme="majorHAnsi"/>
              </w:rPr>
            </w:pPr>
            <w:r w:rsidRPr="00914098">
              <w:rPr>
                <w:rFonts w:asciiTheme="majorHAnsi" w:hAnsiTheme="majorHAnsi" w:cstheme="majorHAnsi"/>
              </w:rPr>
              <w:t>Fortunestown Lane, Saggart, Co. Dublin</w:t>
            </w:r>
          </w:p>
        </w:tc>
        <w:tc>
          <w:tcPr>
            <w:tcW w:w="501" w:type="pct"/>
            <w:tcBorders>
              <w:bottom w:val="single" w:sz="4" w:space="0" w:color="auto"/>
            </w:tcBorders>
          </w:tcPr>
          <w:p w14:paraId="3D7116BF" w14:textId="20654293" w:rsidR="00F402C9" w:rsidRPr="00270B61" w:rsidRDefault="00914098">
            <w:pPr>
              <w:pStyle w:val="Tabletext"/>
              <w:jc w:val="left"/>
              <w:rPr>
                <w:rFonts w:asciiTheme="majorHAnsi" w:hAnsiTheme="majorHAnsi" w:cstheme="majorHAnsi"/>
              </w:rPr>
            </w:pPr>
            <w:r w:rsidRPr="00914098">
              <w:rPr>
                <w:rFonts w:asciiTheme="majorHAnsi" w:hAnsiTheme="majorHAnsi" w:cstheme="majorHAnsi"/>
              </w:rPr>
              <w:t xml:space="preserve">Grant extension </w:t>
            </w:r>
            <w:r w:rsidRPr="00914098">
              <w:rPr>
                <w:rFonts w:asciiTheme="majorHAnsi" w:hAnsiTheme="majorHAnsi" w:cstheme="majorHAnsi"/>
              </w:rPr>
              <w:lastRenderedPageBreak/>
              <w:t>of duration of permission</w:t>
            </w:r>
            <w:r>
              <w:rPr>
                <w:rFonts w:asciiTheme="majorHAnsi" w:hAnsiTheme="majorHAnsi" w:cstheme="majorHAnsi"/>
              </w:rPr>
              <w:t xml:space="preserve"> 2026</w:t>
            </w:r>
          </w:p>
        </w:tc>
        <w:tc>
          <w:tcPr>
            <w:tcW w:w="1970" w:type="pct"/>
            <w:tcBorders>
              <w:bottom w:val="single" w:sz="4" w:space="0" w:color="auto"/>
            </w:tcBorders>
          </w:tcPr>
          <w:p w14:paraId="36827248" w14:textId="4736DAB4" w:rsidR="00F402C9" w:rsidRPr="00270B61" w:rsidRDefault="00914098">
            <w:pPr>
              <w:pStyle w:val="Tabletext"/>
              <w:jc w:val="left"/>
              <w:rPr>
                <w:rFonts w:asciiTheme="majorHAnsi" w:hAnsiTheme="majorHAnsi" w:cstheme="majorHAnsi"/>
              </w:rPr>
            </w:pPr>
            <w:r w:rsidRPr="00914098">
              <w:rPr>
                <w:rFonts w:asciiTheme="majorHAnsi" w:hAnsiTheme="majorHAnsi" w:cstheme="majorHAnsi"/>
              </w:rPr>
              <w:lastRenderedPageBreak/>
              <w:t xml:space="preserve">New educational campus of 2 new school buildings to be delivered on a phased basis </w:t>
            </w:r>
            <w:r w:rsidRPr="00914098">
              <w:rPr>
                <w:rFonts w:asciiTheme="majorHAnsi" w:hAnsiTheme="majorHAnsi" w:cstheme="majorHAnsi"/>
              </w:rPr>
              <w:lastRenderedPageBreak/>
              <w:t>including the demolition/removal of the existing 4 four storey educational/former short stay residential blocks (golf apartments) on the site; provision of 1 part three storey, 1000 pupil post primary school including 4 classroom special educational needs unit with a gross floor area of 11,331sq.m including a sports hall and all ancillary teacher and pupil facilities; 1 two storey 16 classroom primary school and 2 classroom special educational needs unit; a general purpose hall and all ancillary teacher and pupils facilities with a gross floor area of 2,820sq.m</w:t>
            </w:r>
          </w:p>
        </w:tc>
        <w:tc>
          <w:tcPr>
            <w:tcW w:w="529" w:type="pct"/>
            <w:tcBorders>
              <w:bottom w:val="single" w:sz="4" w:space="0" w:color="auto"/>
            </w:tcBorders>
          </w:tcPr>
          <w:p w14:paraId="45670647" w14:textId="2CD9390B" w:rsidR="00F402C9" w:rsidRPr="00270B61" w:rsidRDefault="00914098">
            <w:pPr>
              <w:pStyle w:val="Tabletext"/>
              <w:jc w:val="left"/>
              <w:rPr>
                <w:rFonts w:asciiTheme="majorHAnsi" w:hAnsiTheme="majorHAnsi" w:cstheme="majorHAnsi"/>
              </w:rPr>
            </w:pPr>
            <w:r>
              <w:rPr>
                <w:rFonts w:asciiTheme="majorHAnsi" w:hAnsiTheme="majorHAnsi" w:cstheme="majorHAnsi"/>
              </w:rPr>
              <w:lastRenderedPageBreak/>
              <w:t>1.7km</w:t>
            </w:r>
          </w:p>
        </w:tc>
      </w:tr>
    </w:tbl>
    <w:p w14:paraId="1B5422FE" w14:textId="2EA6A29B" w:rsidR="00F402C9" w:rsidRPr="00946CE0" w:rsidRDefault="00163714" w:rsidP="00946CE0">
      <w:pPr>
        <w:rPr>
          <w:i/>
          <w:iCs/>
          <w:sz w:val="18"/>
        </w:rPr>
      </w:pPr>
      <w:r w:rsidRPr="00BB359F">
        <w:rPr>
          <w:i/>
          <w:iCs/>
          <w:sz w:val="18"/>
        </w:rPr>
        <w:t xml:space="preserve">Source: </w:t>
      </w:r>
      <w:r w:rsidR="00BB359F" w:rsidRPr="00BB359F">
        <w:rPr>
          <w:i/>
          <w:iCs/>
          <w:sz w:val="18"/>
        </w:rPr>
        <w:t>SDCC &amp; ACP</w:t>
      </w:r>
    </w:p>
    <w:p w14:paraId="74100996" w14:textId="2E279F52" w:rsidR="009E37E4" w:rsidRDefault="009E37E4" w:rsidP="00946CE0">
      <w:pPr>
        <w:pStyle w:val="Heading5"/>
      </w:pPr>
      <w:r>
        <w:t>Enrolment Projections</w:t>
      </w:r>
    </w:p>
    <w:p w14:paraId="43B3AB1E" w14:textId="6C8A0FD0" w:rsidR="00997B09" w:rsidRDefault="00997B09" w:rsidP="00997B09">
      <w:pPr>
        <w:pStyle w:val="BodyText"/>
      </w:pPr>
      <w:r>
        <w:t xml:space="preserve">In 2022, the percentage of the of the population of primary school-going age totalled at 10.8%. These shares are higher than those observed in the population data analysis but are used to show the most extreme scenario. The Department of Education reported in </w:t>
      </w:r>
      <w:r w:rsidR="00270177">
        <w:t>December 2025</w:t>
      </w:r>
      <w:r>
        <w:t xml:space="preserve"> that enrolment figures for primary schools in Ireland </w:t>
      </w:r>
      <w:r w:rsidR="00270177">
        <w:t>reached</w:t>
      </w:r>
      <w:r>
        <w:t xml:space="preserve"> peak levels in 2018</w:t>
      </w:r>
      <w:r w:rsidR="00270177">
        <w:t>/2019</w:t>
      </w:r>
      <w:r>
        <w:t xml:space="preserve"> and will fall gradually to a low point in 20</w:t>
      </w:r>
      <w:r w:rsidR="00E07744">
        <w:t>40/41</w:t>
      </w:r>
      <w:r>
        <w:t>.</w:t>
      </w:r>
      <w:r w:rsidR="007273BE">
        <w:t xml:space="preserve"> </w:t>
      </w:r>
      <w:r w:rsidR="0071266A">
        <w:t xml:space="preserve">Enrolments under the most conservative scenario M1F2 will decrease </w:t>
      </w:r>
      <w:r w:rsidR="00E44C55">
        <w:t xml:space="preserve">by </w:t>
      </w:r>
      <w:r w:rsidR="00E44C55" w:rsidRPr="00E44C55">
        <w:t>70,500 from September 2024.</w:t>
      </w:r>
      <w:r w:rsidR="007273BE">
        <w:t xml:space="preserve"> This is in contrast to the 2024 report which </w:t>
      </w:r>
      <w:r w:rsidR="00464B40">
        <w:t>projected 2036 as the expected low point.</w:t>
      </w:r>
      <w:r w:rsidR="00D62FF0">
        <w:t xml:space="preserve"> </w:t>
      </w:r>
      <w:r w:rsidR="00D62FF0" w:rsidRPr="00D62FF0">
        <w:t>Th</w:t>
      </w:r>
      <w:r w:rsidR="00D62FF0">
        <w:t>e</w:t>
      </w:r>
      <w:r w:rsidR="00D62FF0" w:rsidRPr="00D62FF0">
        <w:t xml:space="preserve"> longer-term projection</w:t>
      </w:r>
      <w:r w:rsidR="00D62FF0">
        <w:t xml:space="preserve"> to 2024/2025</w:t>
      </w:r>
      <w:r w:rsidR="00D62FF0" w:rsidRPr="00D62FF0">
        <w:t xml:space="preserve"> illustrates how the projected fall in enrolment will be temporary in nature but may not return to the previous peaks due to a lower fertility rate.</w:t>
      </w:r>
      <w:r w:rsidR="00E44C55" w:rsidRPr="00E44C55">
        <w:t xml:space="preserve"> </w:t>
      </w:r>
      <w:r>
        <w:t xml:space="preserve">  </w:t>
      </w:r>
    </w:p>
    <w:p w14:paraId="0F87457E" w14:textId="0F287331" w:rsidR="00997B09" w:rsidRDefault="002C5124" w:rsidP="00997B09">
      <w:pPr>
        <w:pStyle w:val="BodyText"/>
      </w:pPr>
      <w:r w:rsidRPr="002C5124">
        <w:rPr>
          <w:noProof/>
        </w:rPr>
        <w:drawing>
          <wp:inline distT="0" distB="0" distL="0" distR="0" wp14:anchorId="1DD7CA43" wp14:editId="09A6A188">
            <wp:extent cx="5939790" cy="3345815"/>
            <wp:effectExtent l="0" t="0" r="3810" b="6985"/>
            <wp:docPr id="17037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5027" name=""/>
                    <pic:cNvPicPr/>
                  </pic:nvPicPr>
                  <pic:blipFill>
                    <a:blip r:embed="rId24"/>
                    <a:stretch>
                      <a:fillRect/>
                    </a:stretch>
                  </pic:blipFill>
                  <pic:spPr>
                    <a:xfrm>
                      <a:off x="0" y="0"/>
                      <a:ext cx="5939790" cy="3345815"/>
                    </a:xfrm>
                    <a:prstGeom prst="rect">
                      <a:avLst/>
                    </a:prstGeom>
                  </pic:spPr>
                </pic:pic>
              </a:graphicData>
            </a:graphic>
          </wp:inline>
        </w:drawing>
      </w:r>
    </w:p>
    <w:p w14:paraId="0F61BB4D" w14:textId="73C9ECD6" w:rsidR="00F407DD" w:rsidRDefault="00160B1D" w:rsidP="00F407DD">
      <w:pPr>
        <w:pStyle w:val="BodyText"/>
        <w:rPr>
          <w:rFonts w:asciiTheme="majorHAnsi" w:hAnsiTheme="majorHAnsi"/>
          <w:b/>
          <w:bCs/>
          <w:color w:val="008768" w:themeColor="accent1"/>
          <w:lang w:val="en-IE"/>
        </w:rPr>
      </w:pPr>
      <w:bookmarkStart w:id="76" w:name="_Toc233123409"/>
      <w:r w:rsidRPr="0049120E">
        <w:rPr>
          <w:rStyle w:val="PlatesChar"/>
        </w:rPr>
        <w:t>Plate</w:t>
      </w:r>
      <w:r w:rsidRPr="00733E9A">
        <w:t xml:space="preserve"> </w:t>
      </w:r>
      <w:r w:rsidRPr="008F2C96">
        <w:rPr>
          <w:rStyle w:val="CaptionChar"/>
        </w:rPr>
        <w:fldChar w:fldCharType="begin"/>
      </w:r>
      <w:r w:rsidRPr="008F2C96">
        <w:rPr>
          <w:rStyle w:val="CaptionChar"/>
        </w:rPr>
        <w:instrText xml:space="preserve"> STYLEREF 1 \s </w:instrText>
      </w:r>
      <w:r w:rsidRPr="008F2C96">
        <w:rPr>
          <w:rStyle w:val="CaptionChar"/>
        </w:rPr>
        <w:fldChar w:fldCharType="separate"/>
      </w:r>
      <w:r w:rsidR="00946CE0">
        <w:rPr>
          <w:rStyle w:val="CaptionChar"/>
          <w:noProof/>
        </w:rPr>
        <w:t>5</w:t>
      </w:r>
      <w:r w:rsidRPr="008F2C96">
        <w:rPr>
          <w:rStyle w:val="CaptionChar"/>
        </w:rPr>
        <w:fldChar w:fldCharType="end"/>
      </w:r>
      <w:r w:rsidRPr="008F2C96">
        <w:rPr>
          <w:rStyle w:val="CaptionChar"/>
        </w:rPr>
        <w:noBreakHyphen/>
      </w:r>
      <w:r w:rsidRPr="008F2C96">
        <w:rPr>
          <w:rStyle w:val="CaptionChar"/>
        </w:rPr>
        <w:fldChar w:fldCharType="begin"/>
      </w:r>
      <w:r w:rsidRPr="008F2C96">
        <w:rPr>
          <w:rStyle w:val="CaptionChar"/>
        </w:rPr>
        <w:instrText xml:space="preserve"> SEQ Figure \* ARABIC \s 1 </w:instrText>
      </w:r>
      <w:r w:rsidRPr="008F2C96">
        <w:rPr>
          <w:rStyle w:val="CaptionChar"/>
        </w:rPr>
        <w:fldChar w:fldCharType="separate"/>
      </w:r>
      <w:r w:rsidR="00946CE0">
        <w:rPr>
          <w:rStyle w:val="CaptionChar"/>
          <w:noProof/>
        </w:rPr>
        <w:t>6</w:t>
      </w:r>
      <w:r w:rsidRPr="008F2C96">
        <w:rPr>
          <w:rStyle w:val="CaptionChar"/>
        </w:rPr>
        <w:fldChar w:fldCharType="end"/>
      </w:r>
      <w:r w:rsidRPr="008F2C96">
        <w:rPr>
          <w:rStyle w:val="CaptionChar"/>
        </w:rPr>
        <w:t>:</w:t>
      </w:r>
      <w:r w:rsidR="002673BB">
        <w:rPr>
          <w:rStyle w:val="CaptionChar"/>
        </w:rPr>
        <w:t xml:space="preserve"> </w:t>
      </w:r>
      <w:r w:rsidR="002673BB" w:rsidRPr="002673BB">
        <w:rPr>
          <w:rFonts w:asciiTheme="majorHAnsi" w:hAnsiTheme="majorHAnsi"/>
          <w:b/>
          <w:bCs/>
          <w:color w:val="008768" w:themeColor="accent1"/>
          <w:lang w:val="en-IE"/>
        </w:rPr>
        <w:t>Enrolment Projections for Primary Schools (</w:t>
      </w:r>
      <w:r w:rsidR="002673BB">
        <w:rPr>
          <w:rFonts w:asciiTheme="majorHAnsi" w:hAnsiTheme="majorHAnsi"/>
          <w:b/>
          <w:bCs/>
          <w:color w:val="008768" w:themeColor="accent1"/>
          <w:lang w:val="en-IE"/>
        </w:rPr>
        <w:t>S</w:t>
      </w:r>
      <w:r w:rsidR="002673BB" w:rsidRPr="002673BB">
        <w:rPr>
          <w:rFonts w:asciiTheme="majorHAnsi" w:hAnsiTheme="majorHAnsi"/>
          <w:b/>
          <w:bCs/>
          <w:color w:val="008768" w:themeColor="accent1"/>
          <w:lang w:val="en-IE"/>
        </w:rPr>
        <w:t>ource: Department of Education, 202</w:t>
      </w:r>
      <w:r w:rsidR="002C5124">
        <w:rPr>
          <w:rFonts w:asciiTheme="majorHAnsi" w:hAnsiTheme="majorHAnsi"/>
          <w:b/>
          <w:bCs/>
          <w:color w:val="008768" w:themeColor="accent1"/>
          <w:lang w:val="en-IE"/>
        </w:rPr>
        <w:t>5</w:t>
      </w:r>
      <w:r w:rsidR="002673BB" w:rsidRPr="002673BB">
        <w:rPr>
          <w:rFonts w:asciiTheme="majorHAnsi" w:hAnsiTheme="majorHAnsi"/>
          <w:b/>
          <w:bCs/>
          <w:color w:val="008768" w:themeColor="accent1"/>
          <w:lang w:val="en-IE"/>
        </w:rPr>
        <w:t>)</w:t>
      </w:r>
      <w:bookmarkEnd w:id="76"/>
      <w:r w:rsidR="002673BB" w:rsidRPr="002673BB">
        <w:rPr>
          <w:rFonts w:asciiTheme="majorHAnsi" w:hAnsiTheme="majorHAnsi"/>
          <w:b/>
          <w:bCs/>
          <w:color w:val="008768" w:themeColor="accent1"/>
          <w:lang w:val="en-IE"/>
        </w:rPr>
        <w:t> </w:t>
      </w:r>
    </w:p>
    <w:p w14:paraId="10DEA093" w14:textId="4A49942C" w:rsidR="0073464C" w:rsidRDefault="0073464C" w:rsidP="00F407DD">
      <w:pPr>
        <w:pStyle w:val="BodyText"/>
      </w:pPr>
      <w:r w:rsidRPr="0073464C">
        <w:t xml:space="preserve">The above report calculates primary school enrolment inclusive of enrolment in Special Schools while total enrolment in mainstream schools for 2022 was 553,003. Total mainstream primary school enrolment in the country for the academic year of </w:t>
      </w:r>
      <w:r w:rsidR="00E61CCD">
        <w:t xml:space="preserve">2024/2025 was </w:t>
      </w:r>
      <w:r w:rsidRPr="0073464C">
        <w:t xml:space="preserve">542,417 </w:t>
      </w:r>
      <w:r w:rsidR="00E61CCD">
        <w:t xml:space="preserve">and preliminary figures for the </w:t>
      </w:r>
      <w:r w:rsidRPr="0073464C">
        <w:t>2025</w:t>
      </w:r>
      <w:r w:rsidR="00E61CCD">
        <w:t>/2026</w:t>
      </w:r>
      <w:r w:rsidRPr="0073464C">
        <w:t xml:space="preserve"> academic year </w:t>
      </w:r>
      <w:r w:rsidR="00C109DF">
        <w:t xml:space="preserve">535,620 </w:t>
      </w:r>
      <w:r w:rsidRPr="0073464C">
        <w:t xml:space="preserve">based on the Department of Education Primary School Enrolment Figures. This is a </w:t>
      </w:r>
      <w:r w:rsidR="00E51402">
        <w:t>1.25</w:t>
      </w:r>
      <w:r w:rsidRPr="0073464C">
        <w:t xml:space="preserve">% reduction in primary school in one academic year and overall </w:t>
      </w:r>
      <w:r w:rsidR="002725AA">
        <w:t>3.14</w:t>
      </w:r>
      <w:r w:rsidRPr="0073464C">
        <w:t>% decrease in enrolment since 2022. The DoE’s projections state that the low point in primary school enrolments will be in 2036, with an expectation of rising numbers after this point.</w:t>
      </w:r>
    </w:p>
    <w:p w14:paraId="374C68DF" w14:textId="66294A59" w:rsidR="00B575A4" w:rsidRPr="00B575A4" w:rsidRDefault="00B575A4" w:rsidP="00B575A4">
      <w:pPr>
        <w:pStyle w:val="BodyText"/>
        <w:rPr>
          <w:lang w:val="en-IE"/>
        </w:rPr>
      </w:pPr>
      <w:r w:rsidRPr="00B575A4">
        <w:rPr>
          <w:lang w:val="en-IE"/>
        </w:rPr>
        <w:lastRenderedPageBreak/>
        <w:t xml:space="preserve">There is no specific population benchmark for the provision of </w:t>
      </w:r>
      <w:r w:rsidRPr="00B575A4">
        <w:rPr>
          <w:b/>
          <w:bCs/>
          <w:lang w:val="en-IE"/>
        </w:rPr>
        <w:t xml:space="preserve">secondary school </w:t>
      </w:r>
      <w:r w:rsidRPr="00B575A4">
        <w:rPr>
          <w:lang w:val="en-IE"/>
        </w:rPr>
        <w:t xml:space="preserve">facilities in Ireland. The Department of Education’s approach includes a general standard that for every 1,000 dwellings in an area, circa 8.5 % of the population will require post-primary school places. The Department of Education reported in </w:t>
      </w:r>
      <w:r w:rsidR="00296132">
        <w:rPr>
          <w:lang w:val="en-IE"/>
        </w:rPr>
        <w:t>December 2025</w:t>
      </w:r>
      <w:r w:rsidRPr="00B575A4">
        <w:rPr>
          <w:lang w:val="en-IE"/>
        </w:rPr>
        <w:t xml:space="preserve"> that post-primary school enrolments </w:t>
      </w:r>
      <w:r w:rsidR="00C571C1">
        <w:rPr>
          <w:lang w:val="en-IE"/>
        </w:rPr>
        <w:t>are expected to peak in the current, 2025, academi</w:t>
      </w:r>
      <w:r w:rsidR="00C917BF">
        <w:rPr>
          <w:lang w:val="en-IE"/>
        </w:rPr>
        <w:t>c year and fall thereafter</w:t>
      </w:r>
      <w:r w:rsidRPr="00B575A4">
        <w:rPr>
          <w:lang w:val="en-IE"/>
        </w:rPr>
        <w:t>. The Department of Education’s 202</w:t>
      </w:r>
      <w:r w:rsidR="00EE58D5">
        <w:rPr>
          <w:lang w:val="en-IE"/>
        </w:rPr>
        <w:t>5</w:t>
      </w:r>
      <w:r w:rsidRPr="00B575A4">
        <w:rPr>
          <w:lang w:val="en-IE"/>
        </w:rPr>
        <w:t xml:space="preserve"> report states:  </w:t>
      </w:r>
    </w:p>
    <w:p w14:paraId="5A390BD7" w14:textId="2D03977F" w:rsidR="00B575A4" w:rsidRPr="000E67AA" w:rsidRDefault="00C917BF" w:rsidP="000E67AA">
      <w:pPr>
        <w:pStyle w:val="BodyText"/>
        <w:ind w:left="720"/>
        <w:rPr>
          <w:i/>
          <w:iCs/>
        </w:rPr>
      </w:pPr>
      <w:r>
        <w:rPr>
          <w:i/>
          <w:iCs/>
        </w:rPr>
        <w:t xml:space="preserve">‘Post-primary school enrolments </w:t>
      </w:r>
      <w:r w:rsidRPr="00C917BF">
        <w:rPr>
          <w:i/>
          <w:iCs/>
        </w:rPr>
        <w:t>have risen by almost 54,000 pupils since 2019/20, an increase of 14.5% in the last 5 years. Enrolments are expected to peak in 2025/26 under all three migration scenarios, with 429,350 students under the M1F2 scenario. From 2026/27 onwards, enrolments are projected to fall over the coming years, with a decrease of over 78,000 over the next 20 years.</w:t>
      </w:r>
      <w:r>
        <w:rPr>
          <w:i/>
          <w:iCs/>
        </w:rPr>
        <w:t>’</w:t>
      </w:r>
    </w:p>
    <w:p w14:paraId="59880C99" w14:textId="392F196C" w:rsidR="00B575A4" w:rsidRPr="00B575A4" w:rsidRDefault="000E67AA" w:rsidP="00B575A4">
      <w:pPr>
        <w:pStyle w:val="BodyText"/>
        <w:rPr>
          <w:i/>
          <w:iCs/>
          <w:lang w:val="en-IE"/>
        </w:rPr>
      </w:pPr>
      <w:r w:rsidRPr="000E67AA">
        <w:rPr>
          <w:i/>
          <w:iCs/>
          <w:noProof/>
          <w:lang w:val="en-IE"/>
        </w:rPr>
        <w:drawing>
          <wp:inline distT="0" distB="0" distL="0" distR="0" wp14:anchorId="5EEF0A84" wp14:editId="4E788A03">
            <wp:extent cx="5939790" cy="3508375"/>
            <wp:effectExtent l="0" t="0" r="3810" b="0"/>
            <wp:docPr id="28814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4405" name=""/>
                    <pic:cNvPicPr/>
                  </pic:nvPicPr>
                  <pic:blipFill>
                    <a:blip r:embed="rId25"/>
                    <a:stretch>
                      <a:fillRect/>
                    </a:stretch>
                  </pic:blipFill>
                  <pic:spPr>
                    <a:xfrm>
                      <a:off x="0" y="0"/>
                      <a:ext cx="5939790" cy="3508375"/>
                    </a:xfrm>
                    <a:prstGeom prst="rect">
                      <a:avLst/>
                    </a:prstGeom>
                  </pic:spPr>
                </pic:pic>
              </a:graphicData>
            </a:graphic>
          </wp:inline>
        </w:drawing>
      </w:r>
    </w:p>
    <w:p w14:paraId="26C5519E" w14:textId="1D07513A" w:rsidR="00946CE0" w:rsidRPr="00946CE0" w:rsidRDefault="00946CE0" w:rsidP="00F407DD">
      <w:pPr>
        <w:pStyle w:val="BodyText"/>
        <w:rPr>
          <w:rFonts w:asciiTheme="majorHAnsi" w:hAnsiTheme="majorHAnsi"/>
          <w:b/>
          <w:bCs/>
          <w:color w:val="008768" w:themeColor="accent1"/>
          <w:lang w:val="en-IE"/>
        </w:rPr>
      </w:pPr>
      <w:bookmarkStart w:id="77" w:name="_Toc233123410"/>
      <w:r w:rsidRPr="0049120E">
        <w:rPr>
          <w:rStyle w:val="PlatesChar"/>
        </w:rPr>
        <w:t>Plate</w:t>
      </w:r>
      <w:r w:rsidRPr="00733E9A">
        <w:t xml:space="preserve"> </w:t>
      </w:r>
      <w:r w:rsidRPr="008F2C96">
        <w:rPr>
          <w:rStyle w:val="CaptionChar"/>
        </w:rPr>
        <w:fldChar w:fldCharType="begin"/>
      </w:r>
      <w:r w:rsidRPr="008F2C96">
        <w:rPr>
          <w:rStyle w:val="CaptionChar"/>
        </w:rPr>
        <w:instrText xml:space="preserve"> STYLEREF 1 \s </w:instrText>
      </w:r>
      <w:r w:rsidRPr="008F2C96">
        <w:rPr>
          <w:rStyle w:val="CaptionChar"/>
        </w:rPr>
        <w:fldChar w:fldCharType="separate"/>
      </w:r>
      <w:r>
        <w:rPr>
          <w:rStyle w:val="CaptionChar"/>
          <w:noProof/>
        </w:rPr>
        <w:t>5</w:t>
      </w:r>
      <w:r w:rsidRPr="008F2C96">
        <w:rPr>
          <w:rStyle w:val="CaptionChar"/>
        </w:rPr>
        <w:fldChar w:fldCharType="end"/>
      </w:r>
      <w:r w:rsidRPr="008F2C96">
        <w:rPr>
          <w:rStyle w:val="CaptionChar"/>
        </w:rPr>
        <w:noBreakHyphen/>
      </w:r>
      <w:r w:rsidRPr="008F2C96">
        <w:rPr>
          <w:rStyle w:val="CaptionChar"/>
        </w:rPr>
        <w:fldChar w:fldCharType="begin"/>
      </w:r>
      <w:r w:rsidRPr="008F2C96">
        <w:rPr>
          <w:rStyle w:val="CaptionChar"/>
        </w:rPr>
        <w:instrText xml:space="preserve"> SEQ Figure \* ARABIC \s 1 </w:instrText>
      </w:r>
      <w:r w:rsidRPr="008F2C96">
        <w:rPr>
          <w:rStyle w:val="CaptionChar"/>
        </w:rPr>
        <w:fldChar w:fldCharType="separate"/>
      </w:r>
      <w:r>
        <w:rPr>
          <w:rStyle w:val="CaptionChar"/>
          <w:noProof/>
        </w:rPr>
        <w:t>7</w:t>
      </w:r>
      <w:r w:rsidRPr="008F2C96">
        <w:rPr>
          <w:rStyle w:val="CaptionChar"/>
        </w:rPr>
        <w:fldChar w:fldCharType="end"/>
      </w:r>
      <w:r w:rsidRPr="008F2C96">
        <w:rPr>
          <w:rStyle w:val="CaptionChar"/>
        </w:rPr>
        <w:t>:</w:t>
      </w:r>
      <w:r>
        <w:rPr>
          <w:rStyle w:val="CaptionChar"/>
        </w:rPr>
        <w:t xml:space="preserve"> </w:t>
      </w:r>
      <w:r w:rsidRPr="002673BB">
        <w:rPr>
          <w:rFonts w:asciiTheme="majorHAnsi" w:hAnsiTheme="majorHAnsi"/>
          <w:b/>
          <w:bCs/>
          <w:color w:val="008768" w:themeColor="accent1"/>
          <w:lang w:val="en-IE"/>
        </w:rPr>
        <w:t xml:space="preserve">Enrolment Projections for </w:t>
      </w:r>
      <w:r>
        <w:rPr>
          <w:rFonts w:asciiTheme="majorHAnsi" w:hAnsiTheme="majorHAnsi"/>
          <w:b/>
          <w:bCs/>
          <w:color w:val="008768" w:themeColor="accent1"/>
          <w:lang w:val="en-IE"/>
        </w:rPr>
        <w:t>Secondar</w:t>
      </w:r>
      <w:r w:rsidRPr="002673BB">
        <w:rPr>
          <w:rFonts w:asciiTheme="majorHAnsi" w:hAnsiTheme="majorHAnsi"/>
          <w:b/>
          <w:bCs/>
          <w:color w:val="008768" w:themeColor="accent1"/>
          <w:lang w:val="en-IE"/>
        </w:rPr>
        <w:t>y Schools (</w:t>
      </w:r>
      <w:r>
        <w:rPr>
          <w:rFonts w:asciiTheme="majorHAnsi" w:hAnsiTheme="majorHAnsi"/>
          <w:b/>
          <w:bCs/>
          <w:color w:val="008768" w:themeColor="accent1"/>
          <w:lang w:val="en-IE"/>
        </w:rPr>
        <w:t>S</w:t>
      </w:r>
      <w:r w:rsidRPr="002673BB">
        <w:rPr>
          <w:rFonts w:asciiTheme="majorHAnsi" w:hAnsiTheme="majorHAnsi"/>
          <w:b/>
          <w:bCs/>
          <w:color w:val="008768" w:themeColor="accent1"/>
          <w:lang w:val="en-IE"/>
        </w:rPr>
        <w:t>ource: Department of Education, 202</w:t>
      </w:r>
      <w:r>
        <w:rPr>
          <w:rFonts w:asciiTheme="majorHAnsi" w:hAnsiTheme="majorHAnsi"/>
          <w:b/>
          <w:bCs/>
          <w:color w:val="008768" w:themeColor="accent1"/>
          <w:lang w:val="en-IE"/>
        </w:rPr>
        <w:t>5</w:t>
      </w:r>
      <w:r w:rsidRPr="002673BB">
        <w:rPr>
          <w:rFonts w:asciiTheme="majorHAnsi" w:hAnsiTheme="majorHAnsi"/>
          <w:b/>
          <w:bCs/>
          <w:color w:val="008768" w:themeColor="accent1"/>
          <w:lang w:val="en-IE"/>
        </w:rPr>
        <w:t>)</w:t>
      </w:r>
      <w:bookmarkEnd w:id="77"/>
      <w:r w:rsidRPr="002673BB">
        <w:rPr>
          <w:rFonts w:asciiTheme="majorHAnsi" w:hAnsiTheme="majorHAnsi"/>
          <w:b/>
          <w:bCs/>
          <w:color w:val="008768" w:themeColor="accent1"/>
          <w:lang w:val="en-IE"/>
        </w:rPr>
        <w:t> </w:t>
      </w:r>
    </w:p>
    <w:p w14:paraId="561AB85B" w14:textId="627B1444" w:rsidR="00B575A4" w:rsidRPr="000879DD" w:rsidRDefault="00BE60DC" w:rsidP="00F407DD">
      <w:pPr>
        <w:pStyle w:val="BodyText"/>
        <w:rPr>
          <w:lang w:val="en-IE"/>
        </w:rPr>
      </w:pPr>
      <w:r w:rsidRPr="00B575A4">
        <w:rPr>
          <w:lang w:val="en-IE"/>
        </w:rPr>
        <w:t>Actual enrolment figures for the 202</w:t>
      </w:r>
      <w:r w:rsidR="00DD73DB">
        <w:rPr>
          <w:lang w:val="en-IE"/>
        </w:rPr>
        <w:t>4</w:t>
      </w:r>
      <w:r w:rsidRPr="00B575A4">
        <w:rPr>
          <w:lang w:val="en-IE"/>
        </w:rPr>
        <w:t>/202</w:t>
      </w:r>
      <w:r w:rsidR="00DD73DB">
        <w:rPr>
          <w:lang w:val="en-IE"/>
        </w:rPr>
        <w:t>5</w:t>
      </w:r>
      <w:r w:rsidRPr="00B575A4">
        <w:rPr>
          <w:lang w:val="en-IE"/>
        </w:rPr>
        <w:t xml:space="preserve"> academic year are </w:t>
      </w:r>
      <w:r w:rsidR="00DD73DB">
        <w:rPr>
          <w:lang w:val="en-IE"/>
        </w:rPr>
        <w:t>425,411</w:t>
      </w:r>
      <w:r w:rsidRPr="00B575A4">
        <w:rPr>
          <w:lang w:val="en-IE"/>
        </w:rPr>
        <w:t xml:space="preserve">. </w:t>
      </w:r>
      <w:r w:rsidR="00DC3CC8">
        <w:rPr>
          <w:lang w:val="en-IE"/>
        </w:rPr>
        <w:t>Preliminary enrolment figures for the 2025/2026 academic year are</w:t>
      </w:r>
      <w:r w:rsidR="006B0622">
        <w:rPr>
          <w:lang w:val="en-IE"/>
        </w:rPr>
        <w:t xml:space="preserve"> 429,654</w:t>
      </w:r>
      <w:r w:rsidR="004C4C4B">
        <w:rPr>
          <w:lang w:val="en-IE"/>
        </w:rPr>
        <w:t xml:space="preserve">. </w:t>
      </w:r>
      <w:r w:rsidR="004C4C4B" w:rsidRPr="00B575A4">
        <w:rPr>
          <w:lang w:val="en-IE"/>
        </w:rPr>
        <w:t xml:space="preserve">This is </w:t>
      </w:r>
      <w:r w:rsidR="004C4C4B">
        <w:rPr>
          <w:lang w:val="en-IE"/>
        </w:rPr>
        <w:t>0.8% lower than the projected peak in the DoE’s 2024 report.</w:t>
      </w:r>
      <w:r w:rsidR="00D10392">
        <w:rPr>
          <w:lang w:val="en-IE"/>
        </w:rPr>
        <w:t xml:space="preserve"> Enrolment is projected to decrease under all future scenarios.</w:t>
      </w:r>
    </w:p>
    <w:p w14:paraId="72E7AEEF" w14:textId="3AD71BFA" w:rsidR="005F25CD" w:rsidRDefault="005F25CD" w:rsidP="005F25CD">
      <w:pPr>
        <w:pStyle w:val="Heading5"/>
      </w:pPr>
      <w:r>
        <w:t>Primary and Secondary School Demand</w:t>
      </w:r>
    </w:p>
    <w:p w14:paraId="16B701A5" w14:textId="0FA85262" w:rsidR="004E385F" w:rsidRDefault="00FD652C" w:rsidP="0025027C">
      <w:pPr>
        <w:pStyle w:val="BodyText"/>
      </w:pPr>
      <w:r w:rsidRPr="00FD652C">
        <w:t xml:space="preserve">In terms of the proposed development, excluding the </w:t>
      </w:r>
      <w:r>
        <w:t xml:space="preserve">one </w:t>
      </w:r>
      <w:r w:rsidRPr="00FD652C">
        <w:t xml:space="preserve">bed </w:t>
      </w:r>
      <w:r w:rsidR="00A10FC1">
        <w:t>and age friendly</w:t>
      </w:r>
      <w:r w:rsidRPr="00FD652C">
        <w:t xml:space="preserve"> units, this leaves a total of  </w:t>
      </w:r>
      <w:r w:rsidR="00A10FC1">
        <w:t>94 no.</w:t>
      </w:r>
      <w:r w:rsidRPr="00FD652C">
        <w:t xml:space="preserve"> units that can be considered to accommodate families and thus may generate demand for school places. </w:t>
      </w:r>
      <w:r w:rsidR="004E385F">
        <w:t>When an average household size of 2.96</w:t>
      </w:r>
      <w:r w:rsidR="00F80A75">
        <w:t xml:space="preserve"> is applied to the total number of </w:t>
      </w:r>
      <w:r w:rsidR="00592730">
        <w:t xml:space="preserve">applicable </w:t>
      </w:r>
      <w:r w:rsidR="00F80A75">
        <w:t>units, an indicative population</w:t>
      </w:r>
      <w:r w:rsidR="00592730">
        <w:t xml:space="preserve"> </w:t>
      </w:r>
      <w:r w:rsidR="00F80A75">
        <w:t>of 278 persons</w:t>
      </w:r>
      <w:r w:rsidR="00592730">
        <w:t xml:space="preserve"> is found. With</w:t>
      </w:r>
      <w:r w:rsidR="004E385F">
        <w:t xml:space="preserve"> 14% of the population in Rathcoole Town being of primary school going age </w:t>
      </w:r>
      <w:r w:rsidR="00355438">
        <w:t>(</w:t>
      </w:r>
      <w:r w:rsidR="00E747A8">
        <w:t xml:space="preserve">5-12) </w:t>
      </w:r>
      <w:r w:rsidR="000359B7">
        <w:t>the indicative number of primary school aged children generated by the proposed development is</w:t>
      </w:r>
      <w:r w:rsidR="00A23029">
        <w:t xml:space="preserve"> 39. </w:t>
      </w:r>
      <w:r w:rsidR="00355438">
        <w:t>With</w:t>
      </w:r>
      <w:r w:rsidR="00E747A8">
        <w:t xml:space="preserve"> </w:t>
      </w:r>
      <w:r w:rsidR="004E385F">
        <w:t>8.5% of secondary school going age</w:t>
      </w:r>
      <w:r w:rsidR="00E747A8">
        <w:t xml:space="preserve"> (13-19)</w:t>
      </w:r>
      <w:r w:rsidR="000359B7">
        <w:t xml:space="preserve">, </w:t>
      </w:r>
      <w:r w:rsidR="00E747A8">
        <w:t>the indicative number of secondary school aged children generated by the proposed development is</w:t>
      </w:r>
      <w:r w:rsidR="00454CD3">
        <w:t xml:space="preserve"> 24.</w:t>
      </w:r>
    </w:p>
    <w:p w14:paraId="0B545AD4" w14:textId="411F1F48" w:rsidR="0040516C" w:rsidRDefault="00007031" w:rsidP="0025027C">
      <w:pPr>
        <w:pStyle w:val="BodyText"/>
      </w:pPr>
      <w:r>
        <w:t xml:space="preserve">Considering the remaining available capacity </w:t>
      </w:r>
      <w:r w:rsidR="00B25DD1">
        <w:t xml:space="preserve">within </w:t>
      </w:r>
      <w:r w:rsidR="00592BC9">
        <w:t xml:space="preserve">accessible primary schools and </w:t>
      </w:r>
      <w:r w:rsidR="00B25DD1">
        <w:t>Coláiste Pobail Fóla</w:t>
      </w:r>
      <w:r w:rsidR="00C71F22">
        <w:t>, along with the projected national decrease in secondary school enrolments from 2025 onwards,</w:t>
      </w:r>
      <w:r w:rsidR="00B25DD1">
        <w:t xml:space="preserve"> there is </w:t>
      </w:r>
      <w:r w:rsidR="00317123">
        <w:t>adequate</w:t>
      </w:r>
      <w:r w:rsidR="00B25DD1">
        <w:t xml:space="preserve"> secondary school capacity in Rathcoole to accommodate the </w:t>
      </w:r>
      <w:r w:rsidR="001B017C">
        <w:t>demand generated by the proposed development.</w:t>
      </w:r>
      <w:r w:rsidR="00B25DD1">
        <w:t xml:space="preserve"> </w:t>
      </w:r>
    </w:p>
    <w:p w14:paraId="0258BBA4" w14:textId="22180593" w:rsidR="0040516C" w:rsidRDefault="00181FBC" w:rsidP="00181FBC">
      <w:pPr>
        <w:pStyle w:val="Heading4"/>
      </w:pPr>
      <w:r>
        <w:t>Open Space, Sports and Leisure</w:t>
      </w:r>
    </w:p>
    <w:p w14:paraId="1B214E5C" w14:textId="06034795" w:rsidR="003A1A4F" w:rsidRDefault="005E0DAF" w:rsidP="005E0DAF">
      <w:pPr>
        <w:pStyle w:val="BodyText"/>
      </w:pPr>
      <w:r>
        <w:t xml:space="preserve">The application site is located on the southeastern edge of Rathcoole Town and occupies a strategic position between the existing urban area and the network of </w:t>
      </w:r>
      <w:r w:rsidR="00871151">
        <w:t xml:space="preserve">agricultural, </w:t>
      </w:r>
      <w:r>
        <w:t xml:space="preserve">natural and recreational assets surrounding the settlement. </w:t>
      </w:r>
      <w:r w:rsidR="004D602E">
        <w:t>The town benefits from a broad range of existing public open space</w:t>
      </w:r>
      <w:r w:rsidR="009A14A9">
        <w:t xml:space="preserve"> and</w:t>
      </w:r>
      <w:r w:rsidR="004D602E">
        <w:t xml:space="preserve"> </w:t>
      </w:r>
      <w:r w:rsidR="009A14A9">
        <w:t xml:space="preserve">recreational facilities while additionally </w:t>
      </w:r>
      <w:r w:rsidR="00706C71">
        <w:t>benefiting from natural amenities such as Lugg Woods to the south</w:t>
      </w:r>
      <w:r w:rsidR="00364376">
        <w:t>.</w:t>
      </w:r>
    </w:p>
    <w:p w14:paraId="6923CAAA" w14:textId="59162367" w:rsidR="00364376" w:rsidRDefault="00B70278" w:rsidP="005E0DAF">
      <w:pPr>
        <w:pStyle w:val="BodyText"/>
      </w:pPr>
      <w:r w:rsidRPr="00B70278">
        <w:lastRenderedPageBreak/>
        <w:t xml:space="preserve">The principal public open space serving Rathcoole is Rathcoole Park, located immediately west of the application site. Rathcoole Park is a substantial neighbourhood park providing formal and informal recreational opportunities including walking routes, seating areas, </w:t>
      </w:r>
      <w:r w:rsidR="00AB7B2B">
        <w:t>basketball court</w:t>
      </w:r>
      <w:r w:rsidRPr="00B70278">
        <w:t xml:space="preserve">, </w:t>
      </w:r>
      <w:r w:rsidR="007D7A49">
        <w:t xml:space="preserve">children’s play </w:t>
      </w:r>
      <w:r w:rsidR="00B40F02">
        <w:t>facilities</w:t>
      </w:r>
      <w:r w:rsidR="007D7A49">
        <w:t xml:space="preserve">, </w:t>
      </w:r>
      <w:r w:rsidRPr="00B70278">
        <w:t xml:space="preserve">open grassed areas </w:t>
      </w:r>
      <w:r w:rsidR="007D7A49">
        <w:t>and water features</w:t>
      </w:r>
      <w:r w:rsidRPr="00B70278">
        <w:t>. The park functions as a key recreational resource for the settlement and forms an important component of the area's wider green infrastructure network.</w:t>
      </w:r>
    </w:p>
    <w:p w14:paraId="6B352C7C" w14:textId="6E9A8F71" w:rsidR="00B70278" w:rsidRDefault="00B70278" w:rsidP="005E0DAF">
      <w:pPr>
        <w:pStyle w:val="BodyText"/>
      </w:pPr>
      <w:r w:rsidRPr="00B70278">
        <w:t xml:space="preserve">The site </w:t>
      </w:r>
      <w:r>
        <w:t xml:space="preserve">itself </w:t>
      </w:r>
      <w:r w:rsidR="00776115">
        <w:t>transitional and alluvial woodland, meadows</w:t>
      </w:r>
      <w:r w:rsidRPr="00B70278">
        <w:t>, hedgerows, grassland and riparian habitat associated with the Coolmine</w:t>
      </w:r>
      <w:r w:rsidR="003B7688">
        <w:t>, Crockshane and Camac</w:t>
      </w:r>
      <w:r w:rsidRPr="00B70278">
        <w:t xml:space="preserve"> corridor</w:t>
      </w:r>
      <w:r w:rsidR="003B7688">
        <w:t>s</w:t>
      </w:r>
      <w:r w:rsidRPr="00B70278">
        <w:t xml:space="preserve">. </w:t>
      </w:r>
      <w:r w:rsidR="003B7688">
        <w:t xml:space="preserve">Adjacent the site to the west is the </w:t>
      </w:r>
      <w:r w:rsidR="00B1595F">
        <w:t>Rathcoole Woodland, measuring approximately 12.5ha</w:t>
      </w:r>
      <w:r w:rsidR="00B83644">
        <w:t xml:space="preserve"> which offers simultaneously significant amenity and biodiversity value to the site.</w:t>
      </w:r>
    </w:p>
    <w:p w14:paraId="3E4F51E0" w14:textId="5F00A9F8" w:rsidR="007A13F1" w:rsidRDefault="00EF3C8D" w:rsidP="005E0DAF">
      <w:pPr>
        <w:pStyle w:val="BodyText"/>
      </w:pPr>
      <w:r w:rsidRPr="00EF3C8D">
        <w:t>In addition to Rathcoole Park</w:t>
      </w:r>
      <w:r>
        <w:t xml:space="preserve"> and </w:t>
      </w:r>
      <w:r w:rsidR="00EB1326">
        <w:t>Woodland</w:t>
      </w:r>
      <w:r w:rsidRPr="00EF3C8D">
        <w:t>, the settlement contains a range of local open spaces associated with established residential neighbourhoods, including amenity greens, pocket parks and informal recreation areas</w:t>
      </w:r>
      <w:r w:rsidR="005938E1">
        <w:t xml:space="preserve"> at</w:t>
      </w:r>
      <w:r w:rsidR="000B10E6">
        <w:t xml:space="preserve"> Rathcoole Anglican </w:t>
      </w:r>
      <w:r w:rsidR="002A4548">
        <w:t xml:space="preserve">and Holy Family </w:t>
      </w:r>
      <w:r w:rsidR="000B10E6">
        <w:t>Parish Church</w:t>
      </w:r>
      <w:r w:rsidR="002A4548">
        <w:t>es</w:t>
      </w:r>
      <w:r w:rsidR="000B10E6">
        <w:t>,</w:t>
      </w:r>
      <w:r w:rsidR="00A54995">
        <w:t xml:space="preserve"> the Square residential estate, </w:t>
      </w:r>
      <w:r w:rsidR="00FC0C64">
        <w:t>at Peyton Close</w:t>
      </w:r>
      <w:r w:rsidR="00A24421">
        <w:t>, Main Road and a var</w:t>
      </w:r>
      <w:r w:rsidR="00727808">
        <w:t>iety of residential estates to the west of the town</w:t>
      </w:r>
      <w:r w:rsidRPr="00EF3C8D">
        <w:t>. These spaces provide opportunities for passive recreation and contribute to the overall quality of the residential environment.</w:t>
      </w:r>
      <w:r w:rsidR="002C5ED4">
        <w:t xml:space="preserve"> </w:t>
      </w:r>
      <w:r w:rsidR="005C5634">
        <w:t xml:space="preserve">The town is </w:t>
      </w:r>
      <w:r w:rsidR="00D76A57">
        <w:t xml:space="preserve">also </w:t>
      </w:r>
      <w:r w:rsidR="005C5634">
        <w:t>served by a variety of sports clubs and leisure facilities</w:t>
      </w:r>
      <w:r w:rsidR="00D76A57">
        <w:t xml:space="preserve"> which are visible in the table below.</w:t>
      </w:r>
    </w:p>
    <w:p w14:paraId="10970F2A" w14:textId="3056D2A7" w:rsidR="000B4E06" w:rsidRDefault="000B4E06" w:rsidP="000B4E06">
      <w:pPr>
        <w:pStyle w:val="Caption"/>
      </w:pPr>
      <w:bookmarkStart w:id="78" w:name="_Toc233123419"/>
      <w:r>
        <w:t xml:space="preserve">Table </w:t>
      </w:r>
      <w:r w:rsidR="000F55B9">
        <w:t>5-</w:t>
      </w:r>
      <w:r>
        <w:fldChar w:fldCharType="begin"/>
      </w:r>
      <w:r>
        <w:instrText>SEQ Table \* ARABIC</w:instrText>
      </w:r>
      <w:r>
        <w:fldChar w:fldCharType="separate"/>
      </w:r>
      <w:r w:rsidR="00946CE0">
        <w:rPr>
          <w:noProof/>
        </w:rPr>
        <w:t>9</w:t>
      </w:r>
      <w:r>
        <w:fldChar w:fldCharType="end"/>
      </w:r>
      <w:r w:rsidR="00CB79EB">
        <w:t>: Open Space, Sports and Leisure Facilities</w:t>
      </w:r>
      <w:r w:rsidR="001F3443">
        <w:t xml:space="preserve"> </w:t>
      </w:r>
      <w:r w:rsidR="0045457B">
        <w:t>within 2km of the Site</w:t>
      </w:r>
      <w:bookmarkEnd w:id="78"/>
    </w:p>
    <w:tbl>
      <w:tblPr>
        <w:tblStyle w:val="GridTable4-Accent3"/>
        <w:tblpPr w:leftFromText="180" w:rightFromText="180" w:vertAnchor="text" w:horzAnchor="margin" w:tblpY="84"/>
        <w:tblW w:w="5000" w:type="pct"/>
        <w:tblBorders>
          <w:top w:val="none" w:sz="0" w:space="0" w:color="auto"/>
          <w:left w:val="none" w:sz="0" w:space="0" w:color="auto"/>
          <w:bottom w:val="single" w:sz="8" w:space="0" w:color="000000" w:themeColor="text1"/>
          <w:right w:val="none" w:sz="0" w:space="0" w:color="auto"/>
          <w:insideH w:val="single" w:sz="8" w:space="0" w:color="000000" w:themeColor="text1"/>
          <w:insideV w:val="none" w:sz="0" w:space="0" w:color="auto"/>
        </w:tblBorders>
        <w:shd w:val="clear" w:color="auto" w:fill="FFFFFF" w:themeFill="background1"/>
        <w:tblLook w:val="04A0" w:firstRow="1" w:lastRow="0" w:firstColumn="1" w:lastColumn="0" w:noHBand="0" w:noVBand="1"/>
      </w:tblPr>
      <w:tblGrid>
        <w:gridCol w:w="5005"/>
        <w:gridCol w:w="4329"/>
      </w:tblGrid>
      <w:tr w:rsidR="0045457B" w:rsidRPr="00270B61" w14:paraId="46FC22D3" w14:textId="77777777" w:rsidTr="00875FCB">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2681" w:type="pct"/>
            <w:tcBorders>
              <w:top w:val="nil"/>
              <w:left w:val="single" w:sz="12" w:space="0" w:color="FFFFFF" w:themeColor="background1"/>
              <w:bottom w:val="single" w:sz="12" w:space="0" w:color="008768" w:themeColor="accent1"/>
            </w:tcBorders>
            <w:shd w:val="clear" w:color="auto" w:fill="FFFFFF" w:themeFill="background1"/>
            <w:noWrap/>
            <w:hideMark/>
          </w:tcPr>
          <w:p w14:paraId="555D30CB" w14:textId="48554FDD" w:rsidR="0045457B" w:rsidRPr="00270B61" w:rsidRDefault="0045457B">
            <w:pPr>
              <w:pStyle w:val="TextNormal"/>
              <w:rPr>
                <w:rFonts w:asciiTheme="majorHAnsi" w:hAnsiTheme="majorHAnsi" w:cstheme="majorHAnsi"/>
                <w:color w:val="008768" w:themeColor="accent1"/>
                <w:sz w:val="18"/>
                <w:szCs w:val="18"/>
                <w:lang w:val="en-GB"/>
              </w:rPr>
            </w:pPr>
            <w:r>
              <w:rPr>
                <w:rFonts w:asciiTheme="majorHAnsi" w:hAnsiTheme="majorHAnsi" w:cstheme="majorHAnsi"/>
                <w:color w:val="008768" w:themeColor="accent1"/>
                <w:sz w:val="18"/>
                <w:szCs w:val="18"/>
                <w:lang w:val="en-GB"/>
              </w:rPr>
              <w:t>Space/Facility</w:t>
            </w:r>
            <w:r w:rsidRPr="00270B61">
              <w:rPr>
                <w:rFonts w:asciiTheme="majorHAnsi" w:hAnsiTheme="majorHAnsi" w:cstheme="majorHAnsi"/>
                <w:color w:val="008768" w:themeColor="accent1"/>
                <w:sz w:val="18"/>
                <w:szCs w:val="18"/>
                <w:lang w:val="en-GB"/>
              </w:rPr>
              <w:t xml:space="preserve"> </w:t>
            </w:r>
          </w:p>
        </w:tc>
        <w:tc>
          <w:tcPr>
            <w:tcW w:w="2319" w:type="pct"/>
            <w:tcBorders>
              <w:top w:val="nil"/>
              <w:bottom w:val="single" w:sz="12" w:space="0" w:color="008768" w:themeColor="accent1"/>
            </w:tcBorders>
            <w:shd w:val="clear" w:color="auto" w:fill="FFFFFF" w:themeFill="background1"/>
            <w:noWrap/>
            <w:hideMark/>
          </w:tcPr>
          <w:p w14:paraId="7325C1CC" w14:textId="77777777" w:rsidR="0045457B" w:rsidRPr="00270B61" w:rsidRDefault="0045457B">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Address </w:t>
            </w:r>
          </w:p>
        </w:tc>
      </w:tr>
      <w:tr w:rsidR="0045457B" w:rsidRPr="00270B61" w14:paraId="58B820BC" w14:textId="77777777" w:rsidTr="00875FC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1" w:type="pct"/>
            <w:tcBorders>
              <w:top w:val="single" w:sz="12" w:space="0" w:color="008768" w:themeColor="accent1"/>
            </w:tcBorders>
            <w:shd w:val="clear" w:color="auto" w:fill="FFFFFF" w:themeFill="background1"/>
            <w:noWrap/>
          </w:tcPr>
          <w:p w14:paraId="51D0D471" w14:textId="43B71ABF" w:rsidR="0045457B" w:rsidRPr="00270B61"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Park – playground and basketball court</w:t>
            </w:r>
          </w:p>
        </w:tc>
        <w:tc>
          <w:tcPr>
            <w:tcW w:w="2319" w:type="pct"/>
            <w:tcBorders>
              <w:top w:val="single" w:sz="12" w:space="0" w:color="008768" w:themeColor="accent1"/>
            </w:tcBorders>
            <w:shd w:val="clear" w:color="auto" w:fill="FFFFFF" w:themeFill="background1"/>
            <w:noWrap/>
          </w:tcPr>
          <w:p w14:paraId="5372D116" w14:textId="46FFA3A3" w:rsidR="0045457B" w:rsidRPr="00270B61"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Rathcoole, County Dublin</w:t>
            </w:r>
          </w:p>
        </w:tc>
      </w:tr>
      <w:tr w:rsidR="0045457B" w:rsidRPr="00270B61" w14:paraId="7EAA91EA" w14:textId="77777777" w:rsidTr="00875FCB">
        <w:trPr>
          <w:trHeight w:val="288"/>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2ACCA35D" w14:textId="463C5B87" w:rsidR="0045457B" w:rsidRPr="00270B61"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Woodland</w:t>
            </w:r>
          </w:p>
        </w:tc>
        <w:tc>
          <w:tcPr>
            <w:tcW w:w="2319" w:type="pct"/>
            <w:shd w:val="clear" w:color="auto" w:fill="FFFFFF" w:themeFill="background1"/>
            <w:noWrap/>
          </w:tcPr>
          <w:p w14:paraId="3A1A8767" w14:textId="457FC992" w:rsidR="0045457B" w:rsidRPr="00270B61" w:rsidRDefault="0045457B">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Rathcoole, County Dublin</w:t>
            </w:r>
          </w:p>
        </w:tc>
      </w:tr>
      <w:tr w:rsidR="0086126D" w:rsidRPr="00270B61" w14:paraId="33009634" w14:textId="77777777" w:rsidTr="00875FC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4355140C" w14:textId="6D0EEA5F" w:rsidR="0086126D" w:rsidRDefault="0086126D">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Community Centre Sports Hall</w:t>
            </w:r>
          </w:p>
        </w:tc>
        <w:tc>
          <w:tcPr>
            <w:tcW w:w="2319" w:type="pct"/>
            <w:shd w:val="clear" w:color="auto" w:fill="FFFFFF" w:themeFill="background1"/>
            <w:noWrap/>
          </w:tcPr>
          <w:p w14:paraId="31EED8D1" w14:textId="6ACFD2A8" w:rsidR="0086126D" w:rsidRDefault="00A67B9D">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A67B9D">
              <w:rPr>
                <w:rFonts w:asciiTheme="majorHAnsi" w:hAnsiTheme="majorHAnsi" w:cstheme="majorHAnsi"/>
                <w:bCs/>
                <w:sz w:val="18"/>
                <w:szCs w:val="18"/>
                <w:lang w:val="en-GB"/>
              </w:rPr>
              <w:t>Main St, Rathcoole, Co. Dublin</w:t>
            </w:r>
          </w:p>
        </w:tc>
      </w:tr>
      <w:tr w:rsidR="00A67B9D" w:rsidRPr="00270B61" w14:paraId="17C118B1" w14:textId="77777777" w:rsidTr="00875FCB">
        <w:trPr>
          <w:trHeight w:val="288"/>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25B457E3" w14:textId="4C303E64" w:rsidR="00A67B9D" w:rsidRDefault="00A67B9D" w:rsidP="00A67B9D">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Community Centre Gym</w:t>
            </w:r>
          </w:p>
        </w:tc>
        <w:tc>
          <w:tcPr>
            <w:tcW w:w="2319" w:type="pct"/>
            <w:shd w:val="clear" w:color="auto" w:fill="FFFFFF" w:themeFill="background1"/>
            <w:noWrap/>
          </w:tcPr>
          <w:p w14:paraId="129C7855" w14:textId="52545323" w:rsidR="00A67B9D" w:rsidRPr="00A67B9D" w:rsidRDefault="00A67B9D" w:rsidP="00A67B9D">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A67B9D">
              <w:rPr>
                <w:rFonts w:asciiTheme="majorHAnsi" w:hAnsiTheme="majorHAnsi" w:cstheme="majorHAnsi"/>
                <w:bCs/>
                <w:sz w:val="18"/>
                <w:szCs w:val="18"/>
                <w:lang w:val="en-GB"/>
              </w:rPr>
              <w:t>Main St, Rathcoole, Co. Dublin</w:t>
            </w:r>
          </w:p>
        </w:tc>
      </w:tr>
      <w:tr w:rsidR="0045457B" w:rsidRPr="00270B61" w14:paraId="29750126" w14:textId="77777777" w:rsidTr="00875FC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4F41708F" w14:textId="107354AC" w:rsidR="0045457B"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St. Mary’s GAA Club</w:t>
            </w:r>
          </w:p>
        </w:tc>
        <w:tc>
          <w:tcPr>
            <w:tcW w:w="2319" w:type="pct"/>
            <w:shd w:val="clear" w:color="auto" w:fill="FFFFFF" w:themeFill="background1"/>
            <w:noWrap/>
          </w:tcPr>
          <w:p w14:paraId="1C87F338" w14:textId="3831BD5E" w:rsidR="0045457B" w:rsidRPr="00270B61"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836B56">
              <w:rPr>
                <w:rFonts w:asciiTheme="majorHAnsi" w:hAnsiTheme="majorHAnsi" w:cstheme="majorHAnsi"/>
                <w:bCs/>
                <w:sz w:val="18"/>
                <w:szCs w:val="18"/>
                <w:lang w:val="en-GB"/>
              </w:rPr>
              <w:t>Saggart, Co. Dublin</w:t>
            </w:r>
          </w:p>
        </w:tc>
      </w:tr>
      <w:tr w:rsidR="0045457B" w:rsidRPr="00270B61" w14:paraId="71EEA021" w14:textId="77777777" w:rsidTr="00875FCB">
        <w:trPr>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0A7CF9A3" w14:textId="07DCFE37" w:rsidR="0045457B" w:rsidRDefault="0045457B">
            <w:pPr>
              <w:pStyle w:val="TextNormal"/>
              <w:rPr>
                <w:rFonts w:asciiTheme="majorHAnsi" w:hAnsiTheme="majorHAnsi" w:cstheme="majorHAnsi"/>
                <w:sz w:val="18"/>
                <w:szCs w:val="18"/>
                <w:lang w:val="en-GB"/>
              </w:rPr>
            </w:pPr>
            <w:r w:rsidRPr="00CD2C30">
              <w:rPr>
                <w:rFonts w:asciiTheme="majorHAnsi" w:hAnsiTheme="majorHAnsi" w:cstheme="majorHAnsi"/>
                <w:sz w:val="18"/>
                <w:szCs w:val="18"/>
                <w:lang w:val="en-GB"/>
              </w:rPr>
              <w:t>Commercials Hurling &amp; Camogie Club</w:t>
            </w:r>
          </w:p>
        </w:tc>
        <w:tc>
          <w:tcPr>
            <w:tcW w:w="2319" w:type="pct"/>
            <w:shd w:val="clear" w:color="auto" w:fill="FFFFFF" w:themeFill="background1"/>
            <w:noWrap/>
          </w:tcPr>
          <w:p w14:paraId="7781A340" w14:textId="556BDD84" w:rsidR="0045457B" w:rsidRPr="00270B61" w:rsidRDefault="0045457B">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836B56">
              <w:rPr>
                <w:rFonts w:asciiTheme="majorHAnsi" w:hAnsiTheme="majorHAnsi" w:cstheme="majorHAnsi"/>
                <w:bCs/>
                <w:sz w:val="18"/>
                <w:szCs w:val="18"/>
                <w:lang w:val="en-GB"/>
              </w:rPr>
              <w:t>Collegeland, Dublin</w:t>
            </w:r>
          </w:p>
        </w:tc>
      </w:tr>
      <w:tr w:rsidR="0045457B" w:rsidRPr="00270B61" w14:paraId="5AE8FDA3" w14:textId="77777777" w:rsidTr="00875FC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6A8204A0" w14:textId="6DDED150" w:rsidR="0045457B" w:rsidRDefault="0045457B">
            <w:pPr>
              <w:pStyle w:val="TextNormal"/>
              <w:rPr>
                <w:rFonts w:asciiTheme="majorHAnsi" w:hAnsiTheme="majorHAnsi" w:cstheme="majorHAnsi"/>
                <w:sz w:val="18"/>
                <w:szCs w:val="18"/>
                <w:lang w:val="en-GB"/>
              </w:rPr>
            </w:pPr>
            <w:r w:rsidRPr="00170392">
              <w:rPr>
                <w:rFonts w:asciiTheme="majorHAnsi" w:hAnsiTheme="majorHAnsi" w:cstheme="majorHAnsi"/>
                <w:sz w:val="18"/>
                <w:szCs w:val="18"/>
                <w:lang w:val="en-GB"/>
              </w:rPr>
              <w:t>Rathcoole Football Club</w:t>
            </w:r>
            <w:r>
              <w:rPr>
                <w:rFonts w:asciiTheme="majorHAnsi" w:hAnsiTheme="majorHAnsi" w:cstheme="majorHAnsi"/>
                <w:sz w:val="18"/>
                <w:szCs w:val="18"/>
                <w:lang w:val="en-GB"/>
              </w:rPr>
              <w:t xml:space="preserve"> – Frank Cox Park</w:t>
            </w:r>
          </w:p>
        </w:tc>
        <w:tc>
          <w:tcPr>
            <w:tcW w:w="2319" w:type="pct"/>
            <w:shd w:val="clear" w:color="auto" w:fill="FFFFFF" w:themeFill="background1"/>
            <w:noWrap/>
          </w:tcPr>
          <w:p w14:paraId="18F86B08" w14:textId="700DB0C8" w:rsidR="0045457B" w:rsidRPr="00270B61"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FF2B4C">
              <w:rPr>
                <w:rFonts w:asciiTheme="majorHAnsi" w:hAnsiTheme="majorHAnsi" w:cstheme="majorHAnsi"/>
                <w:bCs/>
                <w:sz w:val="18"/>
                <w:szCs w:val="18"/>
                <w:lang w:val="en-GB"/>
              </w:rPr>
              <w:t>Frank Cox Park, Rathcoole, Co. Dublin</w:t>
            </w:r>
          </w:p>
        </w:tc>
      </w:tr>
      <w:tr w:rsidR="0045457B" w:rsidRPr="00270B61" w14:paraId="0FCD07A8" w14:textId="77777777" w:rsidTr="00875FCB">
        <w:trPr>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37573A52" w14:textId="2EA296F1" w:rsidR="0045457B"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Parklands District Park</w:t>
            </w:r>
          </w:p>
        </w:tc>
        <w:tc>
          <w:tcPr>
            <w:tcW w:w="2319" w:type="pct"/>
            <w:shd w:val="clear" w:color="auto" w:fill="FFFFFF" w:themeFill="background1"/>
            <w:noWrap/>
          </w:tcPr>
          <w:p w14:paraId="2865290B" w14:textId="037E5AD6" w:rsidR="0045457B" w:rsidRPr="00270B61" w:rsidRDefault="0045457B">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045F2C">
              <w:rPr>
                <w:rFonts w:asciiTheme="majorHAnsi" w:hAnsiTheme="majorHAnsi" w:cstheme="majorHAnsi"/>
                <w:bCs/>
                <w:sz w:val="18"/>
                <w:szCs w:val="18"/>
                <w:lang w:val="en-GB"/>
              </w:rPr>
              <w:t>Parklands Parade, Citywest, Co. Dublin</w:t>
            </w:r>
          </w:p>
        </w:tc>
      </w:tr>
      <w:tr w:rsidR="0045457B" w:rsidRPr="00270B61" w14:paraId="3C4EFB05" w14:textId="77777777" w:rsidTr="00875FC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47AB6DAE" w14:textId="2EC4FD6E" w:rsidR="0045457B"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Lugg Woods</w:t>
            </w:r>
          </w:p>
        </w:tc>
        <w:tc>
          <w:tcPr>
            <w:tcW w:w="2319" w:type="pct"/>
            <w:shd w:val="clear" w:color="auto" w:fill="FFFFFF" w:themeFill="background1"/>
            <w:noWrap/>
          </w:tcPr>
          <w:p w14:paraId="169B8827" w14:textId="13C7CA7D" w:rsidR="0045457B" w:rsidRPr="00270B61"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533195">
              <w:rPr>
                <w:rFonts w:asciiTheme="majorHAnsi" w:hAnsiTheme="majorHAnsi" w:cstheme="majorHAnsi"/>
                <w:bCs/>
                <w:sz w:val="18"/>
                <w:szCs w:val="18"/>
                <w:lang w:val="en-GB"/>
              </w:rPr>
              <w:t>Lugg, Co. Dublin</w:t>
            </w:r>
          </w:p>
        </w:tc>
      </w:tr>
      <w:tr w:rsidR="0045457B" w:rsidRPr="00270B61" w14:paraId="213B90D1" w14:textId="77777777" w:rsidTr="00875FCB">
        <w:trPr>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674CC68F" w14:textId="3FE6F76C" w:rsidR="0045457B"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The Spring Saunas</w:t>
            </w:r>
          </w:p>
        </w:tc>
        <w:tc>
          <w:tcPr>
            <w:tcW w:w="2319" w:type="pct"/>
            <w:shd w:val="clear" w:color="auto" w:fill="FFFFFF" w:themeFill="background1"/>
            <w:noWrap/>
          </w:tcPr>
          <w:p w14:paraId="076A48C0" w14:textId="342C2FED" w:rsidR="0045457B" w:rsidRPr="00270B61" w:rsidRDefault="0045457B">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AE63A4">
              <w:rPr>
                <w:rFonts w:asciiTheme="majorHAnsi" w:hAnsiTheme="majorHAnsi" w:cstheme="majorHAnsi"/>
                <w:bCs/>
                <w:sz w:val="18"/>
                <w:szCs w:val="18"/>
                <w:lang w:val="en-GB"/>
              </w:rPr>
              <w:t>Coolmine, Saggart, Co. Dublin, D24 N282</w:t>
            </w:r>
          </w:p>
        </w:tc>
      </w:tr>
      <w:tr w:rsidR="0045457B" w:rsidRPr="00270B61" w14:paraId="3E5A500D" w14:textId="77777777" w:rsidTr="00875FC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052F5BD9" w14:textId="79B7F428" w:rsidR="0045457B" w:rsidRDefault="0045457B">
            <w:pPr>
              <w:pStyle w:val="TextNormal"/>
              <w:rPr>
                <w:rFonts w:asciiTheme="majorHAnsi" w:hAnsiTheme="majorHAnsi" w:cstheme="majorHAnsi"/>
                <w:sz w:val="18"/>
                <w:szCs w:val="18"/>
                <w:lang w:val="en-GB"/>
              </w:rPr>
            </w:pPr>
            <w:r>
              <w:rPr>
                <w:rFonts w:asciiTheme="majorHAnsi" w:hAnsiTheme="majorHAnsi" w:cstheme="majorHAnsi"/>
                <w:sz w:val="18"/>
                <w:szCs w:val="18"/>
                <w:lang w:val="en-GB"/>
              </w:rPr>
              <w:t>Citywest Health and Leisure Club</w:t>
            </w:r>
          </w:p>
        </w:tc>
        <w:tc>
          <w:tcPr>
            <w:tcW w:w="2319" w:type="pct"/>
            <w:shd w:val="clear" w:color="auto" w:fill="FFFFFF" w:themeFill="background1"/>
            <w:noWrap/>
          </w:tcPr>
          <w:p w14:paraId="04E356F9" w14:textId="1FF3C820" w:rsidR="0045457B" w:rsidRPr="00270B61"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61647B">
              <w:rPr>
                <w:rFonts w:asciiTheme="majorHAnsi" w:hAnsiTheme="majorHAnsi" w:cstheme="majorHAnsi"/>
                <w:bCs/>
                <w:sz w:val="18"/>
                <w:szCs w:val="18"/>
                <w:lang w:val="en-GB"/>
              </w:rPr>
              <w:t>Citywest Hotel, Garter Ln, Saggart, Co. Dublin</w:t>
            </w:r>
          </w:p>
        </w:tc>
      </w:tr>
      <w:tr w:rsidR="0045457B" w:rsidRPr="00270B61" w14:paraId="4BF10F51" w14:textId="77777777" w:rsidTr="00875FCB">
        <w:trPr>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0FC6599B" w14:textId="77777777" w:rsidR="0045457B" w:rsidRPr="001751D3" w:rsidRDefault="0045457B" w:rsidP="001751D3">
            <w:pPr>
              <w:pStyle w:val="TextNormal"/>
              <w:rPr>
                <w:rFonts w:asciiTheme="majorHAnsi" w:hAnsiTheme="majorHAnsi" w:cstheme="majorHAnsi"/>
                <w:sz w:val="18"/>
              </w:rPr>
            </w:pPr>
            <w:r w:rsidRPr="001751D3">
              <w:rPr>
                <w:rFonts w:asciiTheme="majorHAnsi" w:hAnsiTheme="majorHAnsi" w:cstheme="majorHAnsi"/>
                <w:sz w:val="18"/>
              </w:rPr>
              <w:t>Unlock Fitness &amp; Yoga</w:t>
            </w:r>
          </w:p>
          <w:p w14:paraId="29BDD286" w14:textId="77777777" w:rsidR="0045457B" w:rsidRDefault="0045457B">
            <w:pPr>
              <w:pStyle w:val="TextNormal"/>
              <w:rPr>
                <w:rFonts w:asciiTheme="majorHAnsi" w:hAnsiTheme="majorHAnsi" w:cstheme="majorHAnsi"/>
                <w:sz w:val="18"/>
                <w:szCs w:val="18"/>
                <w:lang w:val="en-GB"/>
              </w:rPr>
            </w:pPr>
          </w:p>
        </w:tc>
        <w:tc>
          <w:tcPr>
            <w:tcW w:w="2319" w:type="pct"/>
            <w:shd w:val="clear" w:color="auto" w:fill="FFFFFF" w:themeFill="background1"/>
            <w:noWrap/>
          </w:tcPr>
          <w:p w14:paraId="72422350" w14:textId="18264BBC" w:rsidR="0045457B" w:rsidRPr="00270B61" w:rsidRDefault="0045457B">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1751D3">
              <w:rPr>
                <w:rFonts w:asciiTheme="majorHAnsi" w:hAnsiTheme="majorHAnsi" w:cstheme="majorHAnsi"/>
                <w:bCs/>
                <w:sz w:val="18"/>
                <w:szCs w:val="18"/>
                <w:lang w:val="en-GB"/>
              </w:rPr>
              <w:t>Avoca, Rathcoole, Co. Dublin</w:t>
            </w:r>
          </w:p>
        </w:tc>
      </w:tr>
      <w:tr w:rsidR="0045457B" w:rsidRPr="00270B61" w14:paraId="755218E8" w14:textId="77777777" w:rsidTr="00875FC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21F34981" w14:textId="77777777" w:rsidR="0045457B" w:rsidRPr="001751D3" w:rsidRDefault="0045457B" w:rsidP="001751D3">
            <w:pPr>
              <w:pStyle w:val="TextNormal"/>
              <w:rPr>
                <w:rFonts w:asciiTheme="majorHAnsi" w:hAnsiTheme="majorHAnsi" w:cstheme="majorHAnsi"/>
                <w:sz w:val="18"/>
              </w:rPr>
            </w:pPr>
            <w:r w:rsidRPr="001751D3">
              <w:rPr>
                <w:rFonts w:asciiTheme="majorHAnsi" w:hAnsiTheme="majorHAnsi" w:cstheme="majorHAnsi"/>
                <w:sz w:val="18"/>
              </w:rPr>
              <w:t>Good Vibes Fitness</w:t>
            </w:r>
          </w:p>
          <w:p w14:paraId="79E574C2" w14:textId="77777777" w:rsidR="0045457B" w:rsidRDefault="0045457B">
            <w:pPr>
              <w:pStyle w:val="TextNormal"/>
              <w:rPr>
                <w:rFonts w:asciiTheme="majorHAnsi" w:hAnsiTheme="majorHAnsi" w:cstheme="majorHAnsi"/>
                <w:sz w:val="18"/>
                <w:szCs w:val="18"/>
                <w:lang w:val="en-GB"/>
              </w:rPr>
            </w:pPr>
          </w:p>
        </w:tc>
        <w:tc>
          <w:tcPr>
            <w:tcW w:w="2319" w:type="pct"/>
            <w:shd w:val="clear" w:color="auto" w:fill="FFFFFF" w:themeFill="background1"/>
            <w:noWrap/>
          </w:tcPr>
          <w:p w14:paraId="72BD2A9D" w14:textId="4BA3D2DB" w:rsidR="0045457B" w:rsidRPr="00270B61"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1751D3">
              <w:rPr>
                <w:rFonts w:asciiTheme="majorHAnsi" w:hAnsiTheme="majorHAnsi" w:cstheme="majorHAnsi"/>
                <w:bCs/>
                <w:sz w:val="18"/>
                <w:szCs w:val="18"/>
                <w:lang w:val="en-GB"/>
              </w:rPr>
              <w:t>Main St, Rathcoole, Co. Dublin, D24 DX57</w:t>
            </w:r>
          </w:p>
        </w:tc>
      </w:tr>
      <w:tr w:rsidR="0045457B" w:rsidRPr="00270B61" w14:paraId="2641A5CE" w14:textId="77777777" w:rsidTr="00875FCB">
        <w:trPr>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56900CC4" w14:textId="5297BBC1" w:rsidR="0045457B" w:rsidRPr="0045457B" w:rsidRDefault="0045457B" w:rsidP="001751D3">
            <w:pPr>
              <w:pStyle w:val="TextNormal"/>
              <w:rPr>
                <w:rFonts w:asciiTheme="majorHAnsi" w:hAnsiTheme="majorHAnsi" w:cstheme="majorHAnsi"/>
                <w:sz w:val="18"/>
              </w:rPr>
            </w:pPr>
            <w:r w:rsidRPr="0045457B">
              <w:rPr>
                <w:rFonts w:asciiTheme="majorHAnsi" w:hAnsiTheme="majorHAnsi" w:cstheme="majorHAnsi"/>
                <w:sz w:val="18"/>
              </w:rPr>
              <w:t>Crookes Nutrition &amp; Fitness Rathcoole</w:t>
            </w:r>
          </w:p>
        </w:tc>
        <w:tc>
          <w:tcPr>
            <w:tcW w:w="2319" w:type="pct"/>
            <w:shd w:val="clear" w:color="auto" w:fill="FFFFFF" w:themeFill="background1"/>
            <w:noWrap/>
          </w:tcPr>
          <w:p w14:paraId="6F46AAC5" w14:textId="1F45958E" w:rsidR="0045457B" w:rsidRPr="001751D3" w:rsidRDefault="0045457B">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DD7722">
              <w:rPr>
                <w:rFonts w:asciiTheme="majorHAnsi" w:hAnsiTheme="majorHAnsi" w:cstheme="majorHAnsi"/>
                <w:bCs/>
                <w:sz w:val="18"/>
                <w:szCs w:val="18"/>
                <w:lang w:val="en-GB"/>
              </w:rPr>
              <w:t>College Lane, Rathcoole, Co. Dublin</w:t>
            </w:r>
          </w:p>
        </w:tc>
      </w:tr>
      <w:tr w:rsidR="0045457B" w:rsidRPr="00270B61" w14:paraId="0309331E" w14:textId="77777777" w:rsidTr="00875FCB">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81" w:type="pct"/>
            <w:shd w:val="clear" w:color="auto" w:fill="FFFFFF" w:themeFill="background1"/>
            <w:noWrap/>
          </w:tcPr>
          <w:p w14:paraId="3F82979E" w14:textId="31877C1C" w:rsidR="0045457B" w:rsidRPr="0045457B" w:rsidRDefault="0045457B" w:rsidP="001751D3">
            <w:pPr>
              <w:pStyle w:val="TextNormal"/>
              <w:rPr>
                <w:rFonts w:asciiTheme="majorHAnsi" w:hAnsiTheme="majorHAnsi" w:cstheme="majorHAnsi"/>
                <w:sz w:val="18"/>
              </w:rPr>
            </w:pPr>
            <w:r w:rsidRPr="0045457B">
              <w:rPr>
                <w:rFonts w:asciiTheme="majorHAnsi" w:hAnsiTheme="majorHAnsi" w:cstheme="majorHAnsi"/>
                <w:sz w:val="18"/>
              </w:rPr>
              <w:t>Slade Valley Golf Club</w:t>
            </w:r>
          </w:p>
        </w:tc>
        <w:tc>
          <w:tcPr>
            <w:tcW w:w="2319" w:type="pct"/>
            <w:shd w:val="clear" w:color="auto" w:fill="FFFFFF" w:themeFill="background1"/>
            <w:noWrap/>
          </w:tcPr>
          <w:p w14:paraId="0FFF62B1" w14:textId="3F325CC2" w:rsidR="0045457B" w:rsidRPr="001751D3" w:rsidRDefault="0045457B">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0139BC">
              <w:rPr>
                <w:rFonts w:asciiTheme="majorHAnsi" w:hAnsiTheme="majorHAnsi" w:cstheme="majorHAnsi"/>
                <w:bCs/>
                <w:sz w:val="18"/>
                <w:szCs w:val="18"/>
                <w:lang w:val="en-GB"/>
              </w:rPr>
              <w:t>Brittas, Crockaunadreenagh, Co. Dublin</w:t>
            </w:r>
          </w:p>
        </w:tc>
      </w:tr>
    </w:tbl>
    <w:p w14:paraId="4C01BD66" w14:textId="41D6449B" w:rsidR="00385737" w:rsidRPr="00875FCB" w:rsidRDefault="00875FCB" w:rsidP="005E0DAF">
      <w:pPr>
        <w:pStyle w:val="BodyText"/>
      </w:pPr>
      <w:r>
        <w:rPr>
          <w:i/>
          <w:iCs/>
        </w:rPr>
        <w:t>Source: MacCabe Du</w:t>
      </w:r>
      <w:r w:rsidR="00590677">
        <w:rPr>
          <w:i/>
          <w:iCs/>
        </w:rPr>
        <w:t>rney Barnes</w:t>
      </w:r>
    </w:p>
    <w:p w14:paraId="5A1C1DC8" w14:textId="11AA7047" w:rsidR="005E0DAF" w:rsidRDefault="005E0DAF" w:rsidP="005E0DAF">
      <w:pPr>
        <w:pStyle w:val="BodyText"/>
      </w:pPr>
      <w:r>
        <w:t xml:space="preserve">The </w:t>
      </w:r>
      <w:r w:rsidR="00105D90">
        <w:t xml:space="preserve">current SDCCDP 2022-2028 requires minimum 15% of public open space </w:t>
      </w:r>
      <w:r w:rsidR="003A5137">
        <w:t xml:space="preserve">while </w:t>
      </w:r>
      <w:r>
        <w:t xml:space="preserve">proposed Variation No. 2 to the South Dublin County Development Plan </w:t>
      </w:r>
      <w:r w:rsidR="00F65647">
        <w:t>notes a requirement for</w:t>
      </w:r>
      <w:r>
        <w:t xml:space="preserve"> the provision of a minimum of 20% public open space within residential developments</w:t>
      </w:r>
      <w:r w:rsidR="006B7CFA">
        <w:t xml:space="preserve"> located in sensitive areas</w:t>
      </w:r>
      <w:r>
        <w:t xml:space="preserve">. The proposed development </w:t>
      </w:r>
      <w:r w:rsidR="004A7B05">
        <w:t>will provide</w:t>
      </w:r>
      <w:r w:rsidR="004C6DA5">
        <w:t xml:space="preserve"> 17,911 m2</w:t>
      </w:r>
      <w:r>
        <w:t xml:space="preserve"> through the delivery of public open space</w:t>
      </w:r>
      <w:r w:rsidR="008A14ED">
        <w:t xml:space="preserve">s throughout the residential portion of the development. The transitional </w:t>
      </w:r>
      <w:r>
        <w:t>woodland area</w:t>
      </w:r>
      <w:r w:rsidR="008A14ED">
        <w:t xml:space="preserve"> to the southwest is not included in this quantum, however, </w:t>
      </w:r>
      <w:r w:rsidR="001B3802">
        <w:t xml:space="preserve">it is proposed to enhance the existing trails within this section of the woodland to </w:t>
      </w:r>
      <w:r w:rsidR="00937E0A">
        <w:t>further augment the natural amenities at Rathcoole Town.</w:t>
      </w:r>
      <w:r w:rsidR="00E64E6C">
        <w:t xml:space="preserve"> </w:t>
      </w:r>
      <w:r>
        <w:t>The open space strategy has been informed by the site's landscape character and seeks to integrate active recreation</w:t>
      </w:r>
      <w:r w:rsidR="00461E68">
        <w:t xml:space="preserve"> through formal and informal play areas at the site</w:t>
      </w:r>
      <w:r>
        <w:t xml:space="preserve">, </w:t>
      </w:r>
      <w:r w:rsidR="001A7FA4">
        <w:t>seating, formal paths and informal trails</w:t>
      </w:r>
      <w:r>
        <w:t xml:space="preserve"> and biodiversity enhancement</w:t>
      </w:r>
      <w:r w:rsidR="001A7FA4">
        <w:t>.</w:t>
      </w:r>
    </w:p>
    <w:p w14:paraId="7C4CC6AA" w14:textId="6F636F20" w:rsidR="005E0DAF" w:rsidRDefault="005E0DAF" w:rsidP="005E0DAF">
      <w:pPr>
        <w:pStyle w:val="BodyText"/>
      </w:pPr>
      <w:r>
        <w:t>A key component of the proposal is the delivery of two senior GAA pitches and one junior pitch, which will provide an important recreational resource for both existing and future residents of Rathcoole and the wider area. These facilities will contribute to addressing existing demand for outdoor sports infrastructure and will be supported by a pavilion building, associated parking and ancillary facilities.</w:t>
      </w:r>
    </w:p>
    <w:p w14:paraId="2C74F2B0" w14:textId="0E85EF1C" w:rsidR="005E0DAF" w:rsidRDefault="005E0DAF" w:rsidP="005E0DAF">
      <w:pPr>
        <w:pStyle w:val="BodyText"/>
      </w:pPr>
      <w:r>
        <w:lastRenderedPageBreak/>
        <w:t xml:space="preserve">The proposed development also retains and manages a substantial area of existing </w:t>
      </w:r>
      <w:r w:rsidR="00C76A34">
        <w:t xml:space="preserve">Annex I alluvial </w:t>
      </w:r>
      <w:r>
        <w:t xml:space="preserve">woodland located within the southern portion of the site. This woodland forms an important landscape and ecological asset and will be protected and enhanced through a long-term management approach. </w:t>
      </w:r>
    </w:p>
    <w:p w14:paraId="1D8F13AB" w14:textId="6A84557D" w:rsidR="005E0DAF" w:rsidRDefault="005E0DAF" w:rsidP="005E0DAF">
      <w:pPr>
        <w:pStyle w:val="BodyText"/>
      </w:pPr>
      <w:r>
        <w:t xml:space="preserve">In addition, the development incorporates an extensive network of pedestrian and cycle routes linking the residential areas, woodland, public open spaces and sports facilities. New and upgraded trails will be provided both within the </w:t>
      </w:r>
      <w:r w:rsidR="00AF77C4">
        <w:t xml:space="preserve">transitional </w:t>
      </w:r>
      <w:r>
        <w:t>woodland area and around the proposed pitches, creating a connected recreational network that encourages walking, jogging and cycling. These routes will integrate with the wider green infrastructure network and provide opportunities for active recreation for all age groups.</w:t>
      </w:r>
    </w:p>
    <w:p w14:paraId="1698EAA4" w14:textId="349D8869" w:rsidR="00105D90" w:rsidRDefault="004F6146" w:rsidP="00105D90">
      <w:pPr>
        <w:pStyle w:val="Heading4"/>
      </w:pPr>
      <w:r>
        <w:t>Health</w:t>
      </w:r>
      <w:r w:rsidR="00996F07">
        <w:t xml:space="preserve"> Facilities and Social Services</w:t>
      </w:r>
    </w:p>
    <w:p w14:paraId="7996B0C8" w14:textId="472C6585" w:rsidR="006C2E8F" w:rsidRDefault="009E5EEE" w:rsidP="006C2E8F">
      <w:pPr>
        <w:pStyle w:val="BodyText"/>
      </w:pPr>
      <w:r w:rsidRPr="009E5EEE">
        <w:t>Primary Care services are broadly defined as the health or social care services that a person can use and find in a community, outside of a hospital setting. Primary Care includes GPs, Public Health Nurses and a range of other services provided through your Local Health Office, by the HSE (Health Service Executive).</w:t>
      </w:r>
    </w:p>
    <w:p w14:paraId="17582DF3" w14:textId="058407A9" w:rsidR="00033DAA" w:rsidRPr="006C2E8F" w:rsidRDefault="00033DAA" w:rsidP="006C2E8F">
      <w:pPr>
        <w:pStyle w:val="BodyText"/>
      </w:pPr>
      <w:r>
        <w:t>General service hospitals are accessible at</w:t>
      </w:r>
      <w:r w:rsidR="00DE3A4D">
        <w:t xml:space="preserve"> Tallaght University Hospital,</w:t>
      </w:r>
      <w:r w:rsidR="00534916">
        <w:t xml:space="preserve"> Cherry Orchard Hospital or elsewhere within Dublin City.</w:t>
      </w:r>
      <w:r w:rsidR="001A59AA">
        <w:t xml:space="preserve"> Blackrock Clinic </w:t>
      </w:r>
      <w:r w:rsidR="00AD1A34">
        <w:t>is a private service c.</w:t>
      </w:r>
      <w:r w:rsidR="0015250C">
        <w:t>10km from the site.</w:t>
      </w:r>
      <w:r w:rsidR="00135C9C">
        <w:t xml:space="preserve"> A variety f further services are available c.10-12km from Rathcoole in Kill, Naas and Sallins.</w:t>
      </w:r>
    </w:p>
    <w:p w14:paraId="01A6C43F" w14:textId="501A139D" w:rsidR="00996F07" w:rsidRPr="000C3CC6" w:rsidRDefault="00996F07" w:rsidP="00996F07">
      <w:pPr>
        <w:pStyle w:val="Caption"/>
      </w:pPr>
      <w:bookmarkStart w:id="79" w:name="_Toc233123420"/>
      <w:r w:rsidRPr="000C3CC6">
        <w:t xml:space="preserve">Table </w:t>
      </w:r>
      <w:r w:rsidR="000F55B9">
        <w:t>5-</w:t>
      </w:r>
      <w:fldSimple w:instr=" SEQ Table \* ARABIC ">
        <w:r w:rsidR="00946CE0" w:rsidRPr="000C3CC6">
          <w:t>10</w:t>
        </w:r>
      </w:fldSimple>
      <w:r w:rsidRPr="000C3CC6">
        <w:t xml:space="preserve">: </w:t>
      </w:r>
      <w:r w:rsidR="009107D6" w:rsidRPr="000C3CC6">
        <w:t xml:space="preserve">Health facilities and Social </w:t>
      </w:r>
      <w:r w:rsidR="00EA35AF" w:rsidRPr="000C3CC6">
        <w:t>Services</w:t>
      </w:r>
      <w:bookmarkEnd w:id="79"/>
    </w:p>
    <w:tbl>
      <w:tblPr>
        <w:tblStyle w:val="GridTable4-Accent3"/>
        <w:tblpPr w:leftFromText="180" w:rightFromText="180" w:vertAnchor="text" w:horzAnchor="margin" w:tblpY="84"/>
        <w:tblW w:w="5000" w:type="pct"/>
        <w:tblBorders>
          <w:top w:val="none" w:sz="0" w:space="0" w:color="auto"/>
          <w:left w:val="none" w:sz="0" w:space="0" w:color="auto"/>
          <w:bottom w:val="single" w:sz="8" w:space="0" w:color="000000" w:themeColor="text1"/>
          <w:right w:val="none" w:sz="0" w:space="0" w:color="auto"/>
          <w:insideH w:val="single" w:sz="8" w:space="0" w:color="000000" w:themeColor="text1"/>
          <w:insideV w:val="none" w:sz="0" w:space="0" w:color="auto"/>
        </w:tblBorders>
        <w:shd w:val="clear" w:color="auto" w:fill="FFFFFF" w:themeFill="background1"/>
        <w:tblLook w:val="04A0" w:firstRow="1" w:lastRow="0" w:firstColumn="1" w:lastColumn="0" w:noHBand="0" w:noVBand="1"/>
      </w:tblPr>
      <w:tblGrid>
        <w:gridCol w:w="3930"/>
        <w:gridCol w:w="2701"/>
        <w:gridCol w:w="2703"/>
      </w:tblGrid>
      <w:tr w:rsidR="00532594" w:rsidRPr="00270B61" w14:paraId="74339CB4" w14:textId="77777777" w:rsidTr="00532594">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2105" w:type="pct"/>
            <w:tcBorders>
              <w:top w:val="nil"/>
              <w:left w:val="single" w:sz="12" w:space="0" w:color="FFFFFF" w:themeColor="background1"/>
              <w:bottom w:val="single" w:sz="12" w:space="0" w:color="008768" w:themeColor="accent1"/>
            </w:tcBorders>
            <w:shd w:val="clear" w:color="auto" w:fill="FFFFFF" w:themeFill="background1"/>
            <w:noWrap/>
            <w:hideMark/>
          </w:tcPr>
          <w:p w14:paraId="75C352BD" w14:textId="77777777" w:rsidR="00532594" w:rsidRPr="00270B61" w:rsidRDefault="00532594" w:rsidP="00512091">
            <w:pPr>
              <w:pStyle w:val="TextNormal"/>
              <w:rPr>
                <w:rFonts w:asciiTheme="majorHAnsi" w:hAnsiTheme="majorHAnsi" w:cstheme="majorHAnsi"/>
                <w:color w:val="008768" w:themeColor="accent1"/>
                <w:sz w:val="18"/>
                <w:szCs w:val="18"/>
                <w:lang w:val="en-GB"/>
              </w:rPr>
            </w:pPr>
            <w:r>
              <w:rPr>
                <w:rFonts w:asciiTheme="majorHAnsi" w:hAnsiTheme="majorHAnsi" w:cstheme="majorHAnsi"/>
                <w:color w:val="008768" w:themeColor="accent1"/>
                <w:sz w:val="18"/>
                <w:szCs w:val="18"/>
                <w:lang w:val="en-GB"/>
              </w:rPr>
              <w:t>Space/Facility</w:t>
            </w:r>
            <w:r w:rsidRPr="00270B61">
              <w:rPr>
                <w:rFonts w:asciiTheme="majorHAnsi" w:hAnsiTheme="majorHAnsi" w:cstheme="majorHAnsi"/>
                <w:color w:val="008768" w:themeColor="accent1"/>
                <w:sz w:val="18"/>
                <w:szCs w:val="18"/>
                <w:lang w:val="en-GB"/>
              </w:rPr>
              <w:t xml:space="preserve"> </w:t>
            </w:r>
          </w:p>
        </w:tc>
        <w:tc>
          <w:tcPr>
            <w:tcW w:w="1447" w:type="pct"/>
            <w:tcBorders>
              <w:top w:val="nil"/>
              <w:bottom w:val="single" w:sz="12" w:space="0" w:color="008768" w:themeColor="accent1"/>
            </w:tcBorders>
            <w:shd w:val="clear" w:color="auto" w:fill="FFFFFF" w:themeFill="background1"/>
          </w:tcPr>
          <w:p w14:paraId="6EB31756" w14:textId="7222DE67" w:rsidR="00532594" w:rsidRPr="00270B61" w:rsidRDefault="00532594" w:rsidP="0051209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Address </w:t>
            </w:r>
          </w:p>
        </w:tc>
        <w:tc>
          <w:tcPr>
            <w:tcW w:w="1449" w:type="pct"/>
            <w:tcBorders>
              <w:top w:val="nil"/>
              <w:bottom w:val="single" w:sz="12" w:space="0" w:color="008768" w:themeColor="accent1"/>
            </w:tcBorders>
            <w:shd w:val="clear" w:color="auto" w:fill="FFFFFF" w:themeFill="background1"/>
          </w:tcPr>
          <w:p w14:paraId="71045B57" w14:textId="35D85D4A" w:rsidR="00532594" w:rsidRPr="00270B61" w:rsidRDefault="00532594" w:rsidP="00512091">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Pr>
                <w:rFonts w:asciiTheme="majorHAnsi" w:hAnsiTheme="majorHAnsi" w:cstheme="majorHAnsi"/>
                <w:color w:val="008768" w:themeColor="accent1"/>
                <w:sz w:val="18"/>
                <w:szCs w:val="18"/>
                <w:lang w:val="en-GB"/>
              </w:rPr>
              <w:t>Facility Type</w:t>
            </w:r>
          </w:p>
        </w:tc>
      </w:tr>
      <w:tr w:rsidR="00532594" w:rsidRPr="00270B61" w14:paraId="4D8E049F" w14:textId="77777777" w:rsidTr="005325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05" w:type="pct"/>
            <w:tcBorders>
              <w:top w:val="single" w:sz="12" w:space="0" w:color="008768" w:themeColor="accent1"/>
            </w:tcBorders>
            <w:shd w:val="clear" w:color="auto" w:fill="FFFFFF" w:themeFill="background1"/>
            <w:noWrap/>
          </w:tcPr>
          <w:p w14:paraId="7B0FAA29" w14:textId="1430F6DC" w:rsidR="00532594" w:rsidRPr="00270B61" w:rsidRDefault="00532594" w:rsidP="00512091">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Health Centre</w:t>
            </w:r>
          </w:p>
        </w:tc>
        <w:tc>
          <w:tcPr>
            <w:tcW w:w="1447" w:type="pct"/>
            <w:tcBorders>
              <w:top w:val="single" w:sz="12" w:space="0" w:color="008768" w:themeColor="accent1"/>
            </w:tcBorders>
            <w:shd w:val="clear" w:color="auto" w:fill="FFFFFF" w:themeFill="background1"/>
          </w:tcPr>
          <w:p w14:paraId="35C797C8" w14:textId="3F1DA227"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BD338B">
              <w:rPr>
                <w:rFonts w:asciiTheme="majorHAnsi" w:hAnsiTheme="majorHAnsi" w:cstheme="majorHAnsi"/>
                <w:bCs/>
                <w:sz w:val="18"/>
                <w:szCs w:val="18"/>
                <w:lang w:val="en-GB"/>
              </w:rPr>
              <w:t>D24 EY68</w:t>
            </w:r>
          </w:p>
        </w:tc>
        <w:tc>
          <w:tcPr>
            <w:tcW w:w="1449" w:type="pct"/>
            <w:tcBorders>
              <w:top w:val="single" w:sz="12" w:space="0" w:color="008768" w:themeColor="accent1"/>
            </w:tcBorders>
            <w:shd w:val="clear" w:color="auto" w:fill="FFFFFF" w:themeFill="background1"/>
          </w:tcPr>
          <w:p w14:paraId="0617A5A1" w14:textId="3A08E84B"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Primary Care Centre</w:t>
            </w:r>
          </w:p>
        </w:tc>
      </w:tr>
      <w:tr w:rsidR="00532594" w:rsidRPr="00270B61" w14:paraId="316E2438" w14:textId="77777777" w:rsidTr="00532594">
        <w:trPr>
          <w:trHeight w:val="288"/>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5C5433CF" w14:textId="5C5F6DDD" w:rsidR="00532594" w:rsidRPr="00270B61" w:rsidRDefault="00532594" w:rsidP="00512091">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Medical Centre</w:t>
            </w:r>
          </w:p>
        </w:tc>
        <w:tc>
          <w:tcPr>
            <w:tcW w:w="1447" w:type="pct"/>
            <w:shd w:val="clear" w:color="auto" w:fill="FFFFFF" w:themeFill="background1"/>
          </w:tcPr>
          <w:p w14:paraId="41148D5E" w14:textId="131E82BE"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D24AK65</w:t>
            </w:r>
          </w:p>
        </w:tc>
        <w:tc>
          <w:tcPr>
            <w:tcW w:w="1449" w:type="pct"/>
            <w:shd w:val="clear" w:color="auto" w:fill="FFFFFF" w:themeFill="background1"/>
          </w:tcPr>
          <w:p w14:paraId="7986EB39" w14:textId="475CD8FD"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General Practitioner</w:t>
            </w:r>
          </w:p>
        </w:tc>
      </w:tr>
      <w:tr w:rsidR="00532594" w:rsidRPr="00270B61" w14:paraId="49A9AAD7"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697054E1" w14:textId="7CF8ACE6" w:rsidR="00532594" w:rsidRDefault="00532594" w:rsidP="00512091">
            <w:pPr>
              <w:pStyle w:val="TextNormal"/>
              <w:rPr>
                <w:rFonts w:asciiTheme="majorHAnsi" w:hAnsiTheme="majorHAnsi" w:cstheme="majorHAnsi"/>
                <w:sz w:val="18"/>
                <w:szCs w:val="18"/>
                <w:lang w:val="en-GB"/>
              </w:rPr>
            </w:pPr>
            <w:r>
              <w:rPr>
                <w:rFonts w:asciiTheme="majorHAnsi" w:hAnsiTheme="majorHAnsi" w:cstheme="majorHAnsi"/>
                <w:sz w:val="18"/>
                <w:szCs w:val="18"/>
                <w:lang w:val="en-GB"/>
              </w:rPr>
              <w:t>Saggart Medical Centre</w:t>
            </w:r>
          </w:p>
        </w:tc>
        <w:tc>
          <w:tcPr>
            <w:tcW w:w="1447" w:type="pct"/>
            <w:shd w:val="clear" w:color="auto" w:fill="FFFFFF" w:themeFill="background1"/>
          </w:tcPr>
          <w:p w14:paraId="31BC8A71" w14:textId="1D3D5513"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8306F8">
              <w:rPr>
                <w:rFonts w:asciiTheme="majorHAnsi" w:hAnsiTheme="majorHAnsi" w:cstheme="majorHAnsi"/>
                <w:bCs/>
                <w:sz w:val="18"/>
                <w:szCs w:val="18"/>
                <w:lang w:val="en-GB"/>
              </w:rPr>
              <w:t>D24 AK65</w:t>
            </w:r>
          </w:p>
        </w:tc>
        <w:tc>
          <w:tcPr>
            <w:tcW w:w="1449" w:type="pct"/>
            <w:shd w:val="clear" w:color="auto" w:fill="FFFFFF" w:themeFill="background1"/>
          </w:tcPr>
          <w:p w14:paraId="086DDE35" w14:textId="55957473"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General Practitioner</w:t>
            </w:r>
          </w:p>
        </w:tc>
      </w:tr>
      <w:tr w:rsidR="00532594" w:rsidRPr="00270B61" w14:paraId="7005F725"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356A3B6D" w14:textId="77777777" w:rsidR="00532594" w:rsidRPr="008C389D" w:rsidRDefault="00532594" w:rsidP="008C389D">
            <w:pPr>
              <w:pStyle w:val="TextNormal"/>
              <w:rPr>
                <w:rFonts w:asciiTheme="majorHAnsi" w:hAnsiTheme="majorHAnsi" w:cstheme="majorHAnsi"/>
                <w:sz w:val="18"/>
              </w:rPr>
            </w:pPr>
            <w:r w:rsidRPr="008C389D">
              <w:rPr>
                <w:rFonts w:asciiTheme="majorHAnsi" w:hAnsiTheme="majorHAnsi" w:cstheme="majorHAnsi"/>
                <w:sz w:val="18"/>
              </w:rPr>
              <w:t>Swiftbrook Medical Centre</w:t>
            </w:r>
          </w:p>
          <w:p w14:paraId="0D0BD5D2" w14:textId="0D5CBB08" w:rsidR="00532594" w:rsidRDefault="00532594" w:rsidP="00512091">
            <w:pPr>
              <w:pStyle w:val="TextNormal"/>
              <w:rPr>
                <w:rFonts w:asciiTheme="majorHAnsi" w:hAnsiTheme="majorHAnsi" w:cstheme="majorHAnsi"/>
                <w:sz w:val="18"/>
                <w:szCs w:val="18"/>
                <w:lang w:val="en-GB"/>
              </w:rPr>
            </w:pPr>
          </w:p>
        </w:tc>
        <w:tc>
          <w:tcPr>
            <w:tcW w:w="1447" w:type="pct"/>
            <w:shd w:val="clear" w:color="auto" w:fill="FFFFFF" w:themeFill="background1"/>
          </w:tcPr>
          <w:p w14:paraId="3AECFC8B" w14:textId="792B3291"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B11B87">
              <w:rPr>
                <w:rFonts w:asciiTheme="majorHAnsi" w:hAnsiTheme="majorHAnsi" w:cstheme="majorHAnsi"/>
                <w:bCs/>
                <w:sz w:val="18"/>
                <w:szCs w:val="18"/>
                <w:lang w:val="en-GB"/>
              </w:rPr>
              <w:t>D24 K5KC</w:t>
            </w:r>
          </w:p>
        </w:tc>
        <w:tc>
          <w:tcPr>
            <w:tcW w:w="1449" w:type="pct"/>
            <w:shd w:val="clear" w:color="auto" w:fill="FFFFFF" w:themeFill="background1"/>
          </w:tcPr>
          <w:p w14:paraId="3F542ED2" w14:textId="2755EE83"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General Practitioner</w:t>
            </w:r>
          </w:p>
        </w:tc>
      </w:tr>
      <w:tr w:rsidR="00532594" w:rsidRPr="00270B61" w14:paraId="33704C94"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2FE74466" w14:textId="1B3E6FFB" w:rsidR="00532594" w:rsidRDefault="00532594" w:rsidP="00512091">
            <w:pPr>
              <w:pStyle w:val="TextNormal"/>
              <w:rPr>
                <w:rFonts w:asciiTheme="majorHAnsi" w:hAnsiTheme="majorHAnsi" w:cstheme="majorHAnsi"/>
                <w:sz w:val="18"/>
                <w:szCs w:val="18"/>
                <w:lang w:val="en-GB"/>
              </w:rPr>
            </w:pPr>
            <w:r w:rsidRPr="000F7B9E">
              <w:rPr>
                <w:rFonts w:asciiTheme="majorHAnsi" w:hAnsiTheme="majorHAnsi" w:cstheme="majorHAnsi"/>
                <w:sz w:val="18"/>
                <w:szCs w:val="18"/>
                <w:lang w:val="en-GB"/>
              </w:rPr>
              <w:t>Citywest Medical, Centric Health</w:t>
            </w:r>
          </w:p>
        </w:tc>
        <w:tc>
          <w:tcPr>
            <w:tcW w:w="1447" w:type="pct"/>
            <w:shd w:val="clear" w:color="auto" w:fill="FFFFFF" w:themeFill="background1"/>
          </w:tcPr>
          <w:p w14:paraId="520ED756" w14:textId="4C4EAA36"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D24W583</w:t>
            </w:r>
          </w:p>
        </w:tc>
        <w:tc>
          <w:tcPr>
            <w:tcW w:w="1449" w:type="pct"/>
            <w:shd w:val="clear" w:color="auto" w:fill="FFFFFF" w:themeFill="background1"/>
          </w:tcPr>
          <w:p w14:paraId="18538D6D" w14:textId="6788B5C3"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General Practitioner</w:t>
            </w:r>
          </w:p>
        </w:tc>
      </w:tr>
      <w:tr w:rsidR="00532594" w:rsidRPr="00270B61" w14:paraId="02248817"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763688A1" w14:textId="7BEEC9C4" w:rsidR="00532594" w:rsidRDefault="00532594" w:rsidP="00512091">
            <w:pPr>
              <w:pStyle w:val="TextNormal"/>
              <w:rPr>
                <w:rFonts w:asciiTheme="majorHAnsi" w:hAnsiTheme="majorHAnsi" w:cstheme="majorHAnsi"/>
                <w:sz w:val="18"/>
                <w:szCs w:val="18"/>
                <w:lang w:val="en-GB"/>
              </w:rPr>
            </w:pPr>
            <w:r w:rsidRPr="00720F66">
              <w:rPr>
                <w:rFonts w:asciiTheme="majorHAnsi" w:hAnsiTheme="majorHAnsi" w:cstheme="majorHAnsi"/>
                <w:sz w:val="18"/>
                <w:szCs w:val="18"/>
                <w:lang w:val="en-GB"/>
              </w:rPr>
              <w:t>Slade Castle Family practice</w:t>
            </w:r>
          </w:p>
        </w:tc>
        <w:tc>
          <w:tcPr>
            <w:tcW w:w="1447" w:type="pct"/>
            <w:shd w:val="clear" w:color="auto" w:fill="FFFFFF" w:themeFill="background1"/>
          </w:tcPr>
          <w:p w14:paraId="461A6E9C" w14:textId="146C416C"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D24NTE2</w:t>
            </w:r>
          </w:p>
        </w:tc>
        <w:tc>
          <w:tcPr>
            <w:tcW w:w="1449" w:type="pct"/>
            <w:shd w:val="clear" w:color="auto" w:fill="FFFFFF" w:themeFill="background1"/>
          </w:tcPr>
          <w:p w14:paraId="62DD5ACD" w14:textId="00A11375"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General Practitioner</w:t>
            </w:r>
          </w:p>
        </w:tc>
      </w:tr>
      <w:tr w:rsidR="00532594" w:rsidRPr="00270B61" w14:paraId="333BE097"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4E857C5F" w14:textId="1FBE1C3B" w:rsidR="00532594" w:rsidRDefault="00532594" w:rsidP="00512091">
            <w:pPr>
              <w:pStyle w:val="TextNormal"/>
              <w:rPr>
                <w:rFonts w:asciiTheme="majorHAnsi" w:hAnsiTheme="majorHAnsi" w:cstheme="majorHAnsi"/>
                <w:sz w:val="18"/>
                <w:szCs w:val="18"/>
                <w:lang w:val="en-GB"/>
              </w:rPr>
            </w:pPr>
            <w:r w:rsidRPr="00CC6C9B">
              <w:rPr>
                <w:rFonts w:asciiTheme="majorHAnsi" w:hAnsiTheme="majorHAnsi" w:cstheme="majorHAnsi"/>
                <w:sz w:val="18"/>
                <w:szCs w:val="18"/>
                <w:lang w:val="en-GB"/>
              </w:rPr>
              <w:t>Rathcoole Dental</w:t>
            </w:r>
          </w:p>
        </w:tc>
        <w:tc>
          <w:tcPr>
            <w:tcW w:w="1447" w:type="pct"/>
            <w:shd w:val="clear" w:color="auto" w:fill="FFFFFF" w:themeFill="background1"/>
          </w:tcPr>
          <w:p w14:paraId="47C55039" w14:textId="066A3A39"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D24H027</w:t>
            </w:r>
          </w:p>
        </w:tc>
        <w:tc>
          <w:tcPr>
            <w:tcW w:w="1449" w:type="pct"/>
            <w:shd w:val="clear" w:color="auto" w:fill="FFFFFF" w:themeFill="background1"/>
          </w:tcPr>
          <w:p w14:paraId="64811AE5" w14:textId="7644B006"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Dentist</w:t>
            </w:r>
          </w:p>
        </w:tc>
      </w:tr>
      <w:tr w:rsidR="00532594" w:rsidRPr="00270B61" w14:paraId="1CA66223"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1B23E1E4" w14:textId="196BB529" w:rsidR="00532594" w:rsidRDefault="00532594" w:rsidP="00512091">
            <w:pPr>
              <w:pStyle w:val="TextNormal"/>
              <w:rPr>
                <w:rFonts w:asciiTheme="majorHAnsi" w:hAnsiTheme="majorHAnsi" w:cstheme="majorHAnsi"/>
                <w:sz w:val="18"/>
                <w:szCs w:val="18"/>
                <w:lang w:val="en-GB"/>
              </w:rPr>
            </w:pPr>
            <w:r>
              <w:rPr>
                <w:rFonts w:asciiTheme="majorHAnsi" w:hAnsiTheme="majorHAnsi" w:cstheme="majorHAnsi"/>
                <w:sz w:val="18"/>
                <w:szCs w:val="18"/>
                <w:lang w:val="en-GB"/>
              </w:rPr>
              <w:t>Truly Dental Citywest</w:t>
            </w:r>
          </w:p>
        </w:tc>
        <w:tc>
          <w:tcPr>
            <w:tcW w:w="1447" w:type="pct"/>
            <w:shd w:val="clear" w:color="auto" w:fill="FFFFFF" w:themeFill="background1"/>
          </w:tcPr>
          <w:p w14:paraId="6E29F887" w14:textId="6E73E43E"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FD098C">
              <w:rPr>
                <w:rFonts w:asciiTheme="majorHAnsi" w:hAnsiTheme="majorHAnsi" w:cstheme="majorHAnsi"/>
                <w:bCs/>
                <w:sz w:val="18"/>
                <w:szCs w:val="18"/>
                <w:lang w:val="en-GB"/>
              </w:rPr>
              <w:t>D24 HE2F</w:t>
            </w:r>
          </w:p>
        </w:tc>
        <w:tc>
          <w:tcPr>
            <w:tcW w:w="1449" w:type="pct"/>
            <w:shd w:val="clear" w:color="auto" w:fill="FFFFFF" w:themeFill="background1"/>
          </w:tcPr>
          <w:p w14:paraId="4CBFE447" w14:textId="0B9A79DA"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Dentist</w:t>
            </w:r>
          </w:p>
        </w:tc>
      </w:tr>
      <w:tr w:rsidR="00532594" w:rsidRPr="00270B61" w14:paraId="4F7D3AD0"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360FA48B" w14:textId="54845149" w:rsidR="00532594" w:rsidRDefault="00532594" w:rsidP="00512091">
            <w:pPr>
              <w:pStyle w:val="TextNormal"/>
              <w:rPr>
                <w:rFonts w:asciiTheme="majorHAnsi" w:hAnsiTheme="majorHAnsi" w:cstheme="majorHAnsi"/>
                <w:sz w:val="18"/>
                <w:szCs w:val="18"/>
                <w:lang w:val="en-GB"/>
              </w:rPr>
            </w:pPr>
            <w:r w:rsidRPr="006D7C48">
              <w:rPr>
                <w:rFonts w:asciiTheme="majorHAnsi" w:hAnsiTheme="majorHAnsi" w:cstheme="majorHAnsi"/>
                <w:sz w:val="18"/>
                <w:szCs w:val="18"/>
                <w:lang w:val="en-GB"/>
              </w:rPr>
              <w:t>Lisheen Nursing Home</w:t>
            </w:r>
          </w:p>
        </w:tc>
        <w:tc>
          <w:tcPr>
            <w:tcW w:w="1447" w:type="pct"/>
            <w:shd w:val="clear" w:color="auto" w:fill="FFFFFF" w:themeFill="background1"/>
          </w:tcPr>
          <w:p w14:paraId="6E8F4827" w14:textId="3175DCC4"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D24Y042</w:t>
            </w:r>
          </w:p>
        </w:tc>
        <w:tc>
          <w:tcPr>
            <w:tcW w:w="1449" w:type="pct"/>
            <w:shd w:val="clear" w:color="auto" w:fill="FFFFFF" w:themeFill="background1"/>
          </w:tcPr>
          <w:p w14:paraId="1F57A1F6" w14:textId="4BF943D7"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Nursing Home</w:t>
            </w:r>
          </w:p>
        </w:tc>
      </w:tr>
      <w:tr w:rsidR="00532594" w:rsidRPr="00270B61" w14:paraId="380C7B3B"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253EE4A1" w14:textId="200C7537" w:rsidR="00532594" w:rsidRDefault="00532594" w:rsidP="00512091">
            <w:pPr>
              <w:pStyle w:val="TextNormal"/>
              <w:rPr>
                <w:rFonts w:asciiTheme="majorHAnsi" w:hAnsiTheme="majorHAnsi" w:cstheme="majorHAnsi"/>
                <w:sz w:val="18"/>
                <w:szCs w:val="18"/>
                <w:lang w:val="en-GB"/>
              </w:rPr>
            </w:pPr>
            <w:r w:rsidRPr="005158F3">
              <w:rPr>
                <w:rFonts w:asciiTheme="majorHAnsi" w:hAnsiTheme="majorHAnsi" w:cstheme="majorHAnsi"/>
                <w:sz w:val="18"/>
                <w:szCs w:val="18"/>
                <w:lang w:val="en-GB"/>
              </w:rPr>
              <w:t>Millbrook Manor Nursing Home</w:t>
            </w:r>
          </w:p>
        </w:tc>
        <w:tc>
          <w:tcPr>
            <w:tcW w:w="1447" w:type="pct"/>
            <w:shd w:val="clear" w:color="auto" w:fill="FFFFFF" w:themeFill="background1"/>
          </w:tcPr>
          <w:p w14:paraId="10E1F8F7" w14:textId="141C3BE6"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713369">
              <w:rPr>
                <w:rFonts w:asciiTheme="majorHAnsi" w:hAnsiTheme="majorHAnsi" w:cstheme="majorHAnsi"/>
                <w:bCs/>
                <w:sz w:val="18"/>
                <w:szCs w:val="18"/>
                <w:lang w:val="en-GB"/>
              </w:rPr>
              <w:t>D24 A9RY</w:t>
            </w:r>
          </w:p>
        </w:tc>
        <w:tc>
          <w:tcPr>
            <w:tcW w:w="1449" w:type="pct"/>
            <w:shd w:val="clear" w:color="auto" w:fill="FFFFFF" w:themeFill="background1"/>
          </w:tcPr>
          <w:p w14:paraId="45A3B35D" w14:textId="6FDC983F" w:rsidR="00532594" w:rsidRPr="00270B61" w:rsidRDefault="00532594" w:rsidP="00512091">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E520E1">
              <w:rPr>
                <w:rFonts w:asciiTheme="majorHAnsi" w:hAnsiTheme="majorHAnsi" w:cstheme="majorHAnsi"/>
                <w:bCs/>
                <w:sz w:val="18"/>
                <w:szCs w:val="18"/>
                <w:lang w:val="en-GB"/>
              </w:rPr>
              <w:t>Nursing Home</w:t>
            </w:r>
          </w:p>
        </w:tc>
      </w:tr>
      <w:tr w:rsidR="00532594" w:rsidRPr="00270B61" w14:paraId="5A4D8130"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4118F0FE" w14:textId="55C135B6" w:rsidR="00532594" w:rsidRPr="005158F3" w:rsidRDefault="00532594" w:rsidP="00512091">
            <w:pPr>
              <w:pStyle w:val="TextNormal"/>
              <w:rPr>
                <w:rFonts w:asciiTheme="majorHAnsi" w:hAnsiTheme="majorHAnsi" w:cstheme="majorHAnsi"/>
                <w:sz w:val="18"/>
                <w:szCs w:val="18"/>
                <w:lang w:val="en-GB"/>
              </w:rPr>
            </w:pPr>
            <w:r w:rsidRPr="00E520E1">
              <w:rPr>
                <w:rFonts w:asciiTheme="majorHAnsi" w:hAnsiTheme="majorHAnsi" w:cstheme="majorHAnsi"/>
                <w:sz w:val="18"/>
                <w:szCs w:val="18"/>
                <w:lang w:val="en-GB"/>
              </w:rPr>
              <w:t>Reidy's Pharmacy</w:t>
            </w:r>
          </w:p>
        </w:tc>
        <w:tc>
          <w:tcPr>
            <w:tcW w:w="1447" w:type="pct"/>
            <w:shd w:val="clear" w:color="auto" w:fill="FFFFFF" w:themeFill="background1"/>
          </w:tcPr>
          <w:p w14:paraId="74E21E3B" w14:textId="6977E3DB" w:rsidR="00532594" w:rsidRPr="00713369"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E520E1">
              <w:rPr>
                <w:rFonts w:asciiTheme="majorHAnsi" w:hAnsiTheme="majorHAnsi" w:cstheme="majorHAnsi"/>
                <w:bCs/>
                <w:sz w:val="18"/>
                <w:szCs w:val="18"/>
                <w:lang w:val="en-GB"/>
              </w:rPr>
              <w:t>D24 Y53K</w:t>
            </w:r>
          </w:p>
        </w:tc>
        <w:tc>
          <w:tcPr>
            <w:tcW w:w="1449" w:type="pct"/>
            <w:shd w:val="clear" w:color="auto" w:fill="FFFFFF" w:themeFill="background1"/>
          </w:tcPr>
          <w:p w14:paraId="21AEB519" w14:textId="3CC76922" w:rsidR="00532594" w:rsidRPr="00270B61" w:rsidRDefault="00532594" w:rsidP="00512091">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E520E1">
              <w:rPr>
                <w:rFonts w:asciiTheme="majorHAnsi" w:hAnsiTheme="majorHAnsi" w:cstheme="majorHAnsi"/>
                <w:bCs/>
                <w:sz w:val="18"/>
                <w:szCs w:val="18"/>
                <w:lang w:val="en-GB"/>
              </w:rPr>
              <w:t>Pharmacy</w:t>
            </w:r>
          </w:p>
        </w:tc>
      </w:tr>
      <w:tr w:rsidR="00532594" w:rsidRPr="00270B61" w14:paraId="0464C7B4"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6A61FA8F" w14:textId="33E362B1" w:rsidR="00532594" w:rsidRPr="005158F3" w:rsidRDefault="00532594" w:rsidP="00F67EE7">
            <w:pPr>
              <w:pStyle w:val="TextNormal"/>
              <w:rPr>
                <w:rFonts w:asciiTheme="majorHAnsi" w:hAnsiTheme="majorHAnsi" w:cstheme="majorHAnsi"/>
                <w:sz w:val="18"/>
                <w:szCs w:val="18"/>
                <w:lang w:val="en-GB"/>
              </w:rPr>
            </w:pPr>
            <w:r w:rsidRPr="00F67EE7">
              <w:rPr>
                <w:rFonts w:asciiTheme="majorHAnsi" w:hAnsiTheme="majorHAnsi" w:cstheme="majorHAnsi"/>
                <w:sz w:val="18"/>
                <w:szCs w:val="18"/>
                <w:lang w:val="en-GB"/>
              </w:rPr>
              <w:t>Rathcoole Vital Pharmacy</w:t>
            </w:r>
          </w:p>
        </w:tc>
        <w:tc>
          <w:tcPr>
            <w:tcW w:w="1447" w:type="pct"/>
            <w:shd w:val="clear" w:color="auto" w:fill="FFFFFF" w:themeFill="background1"/>
          </w:tcPr>
          <w:p w14:paraId="4BD61DE9" w14:textId="0F480409" w:rsidR="00532594" w:rsidRPr="00713369" w:rsidRDefault="00532594" w:rsidP="00F67EE7">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F67EE7">
              <w:rPr>
                <w:rFonts w:asciiTheme="majorHAnsi" w:hAnsiTheme="majorHAnsi" w:cstheme="majorHAnsi"/>
                <w:bCs/>
                <w:sz w:val="18"/>
                <w:szCs w:val="18"/>
                <w:lang w:val="en-GB"/>
              </w:rPr>
              <w:t>D24 HH51</w:t>
            </w:r>
          </w:p>
        </w:tc>
        <w:tc>
          <w:tcPr>
            <w:tcW w:w="1449" w:type="pct"/>
            <w:shd w:val="clear" w:color="auto" w:fill="FFFFFF" w:themeFill="background1"/>
          </w:tcPr>
          <w:p w14:paraId="704644F0" w14:textId="1C19EF41" w:rsidR="00532594" w:rsidRPr="00270B61" w:rsidRDefault="00532594" w:rsidP="00F67EE7">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3308D7">
              <w:rPr>
                <w:rFonts w:asciiTheme="majorHAnsi" w:hAnsiTheme="majorHAnsi" w:cstheme="majorHAnsi"/>
                <w:bCs/>
                <w:sz w:val="18"/>
                <w:szCs w:val="18"/>
                <w:lang w:val="en-GB"/>
              </w:rPr>
              <w:t>Pharmacy</w:t>
            </w:r>
          </w:p>
        </w:tc>
      </w:tr>
      <w:tr w:rsidR="00532594" w:rsidRPr="00270B61" w14:paraId="6EA2CB57"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105" w:type="pct"/>
            <w:shd w:val="clear" w:color="auto" w:fill="FFFFFF" w:themeFill="background1"/>
            <w:noWrap/>
          </w:tcPr>
          <w:p w14:paraId="294DE7E9" w14:textId="0C591604" w:rsidR="00532594" w:rsidRPr="005158F3" w:rsidRDefault="00532594" w:rsidP="00F67EE7">
            <w:pPr>
              <w:pStyle w:val="TextNormal"/>
              <w:rPr>
                <w:rFonts w:asciiTheme="majorHAnsi" w:hAnsiTheme="majorHAnsi" w:cstheme="majorHAnsi"/>
                <w:sz w:val="18"/>
                <w:szCs w:val="18"/>
                <w:lang w:val="en-GB"/>
              </w:rPr>
            </w:pPr>
            <w:r w:rsidRPr="00C9086F">
              <w:rPr>
                <w:rFonts w:asciiTheme="majorHAnsi" w:hAnsiTheme="majorHAnsi" w:cstheme="majorHAnsi"/>
                <w:sz w:val="18"/>
                <w:szCs w:val="18"/>
                <w:lang w:val="en-GB"/>
              </w:rPr>
              <w:t>Saggart Pharmacy</w:t>
            </w:r>
          </w:p>
        </w:tc>
        <w:tc>
          <w:tcPr>
            <w:tcW w:w="1447" w:type="pct"/>
            <w:shd w:val="clear" w:color="auto" w:fill="FFFFFF" w:themeFill="background1"/>
          </w:tcPr>
          <w:p w14:paraId="2CC68CDE" w14:textId="2FBD0A07" w:rsidR="00532594" w:rsidRPr="00713369" w:rsidRDefault="00532594" w:rsidP="00F67EE7">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C9086F">
              <w:rPr>
                <w:rFonts w:asciiTheme="majorHAnsi" w:hAnsiTheme="majorHAnsi" w:cstheme="majorHAnsi"/>
                <w:bCs/>
                <w:sz w:val="18"/>
                <w:szCs w:val="18"/>
                <w:lang w:val="en-GB"/>
              </w:rPr>
              <w:t>D24 Y38C</w:t>
            </w:r>
          </w:p>
        </w:tc>
        <w:tc>
          <w:tcPr>
            <w:tcW w:w="1449" w:type="pct"/>
            <w:shd w:val="clear" w:color="auto" w:fill="FFFFFF" w:themeFill="background1"/>
          </w:tcPr>
          <w:p w14:paraId="5816F577" w14:textId="29FC5A92" w:rsidR="00532594" w:rsidRPr="00270B61" w:rsidRDefault="00532594" w:rsidP="00F67EE7">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3308D7">
              <w:rPr>
                <w:rFonts w:asciiTheme="majorHAnsi" w:hAnsiTheme="majorHAnsi" w:cstheme="majorHAnsi"/>
                <w:bCs/>
                <w:sz w:val="18"/>
                <w:szCs w:val="18"/>
                <w:lang w:val="en-GB"/>
              </w:rPr>
              <w:t>Pharmacy</w:t>
            </w:r>
          </w:p>
        </w:tc>
      </w:tr>
    </w:tbl>
    <w:p w14:paraId="4A94AB54" w14:textId="77777777" w:rsidR="00996F07" w:rsidRDefault="00996F07" w:rsidP="00996F07">
      <w:pPr>
        <w:pStyle w:val="BodyText"/>
        <w:rPr>
          <w:i/>
          <w:iCs/>
        </w:rPr>
      </w:pPr>
      <w:r>
        <w:rPr>
          <w:i/>
          <w:iCs/>
        </w:rPr>
        <w:t>Source: MacCabe Durney Barnes</w:t>
      </w:r>
    </w:p>
    <w:p w14:paraId="26E4FB8B" w14:textId="416AB0BD" w:rsidR="001F76C4" w:rsidRPr="00733E9A" w:rsidRDefault="001F76C4" w:rsidP="001F76C4">
      <w:pPr>
        <w:pStyle w:val="Caption"/>
      </w:pPr>
      <w:bookmarkStart w:id="80" w:name="_Toc233123421"/>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11</w:t>
      </w:r>
      <w:r>
        <w:fldChar w:fldCharType="end"/>
      </w:r>
      <w:r w:rsidRPr="00733E9A">
        <w:t xml:space="preserve">: </w:t>
      </w:r>
      <w:r w:rsidR="00196AB1">
        <w:t>Health</w:t>
      </w:r>
      <w:r>
        <w:t xml:space="preserve"> - Permitted and Pending Planning Applications</w:t>
      </w:r>
      <w:bookmarkEnd w:id="80"/>
      <w:r>
        <w:t xml:space="preserve"> </w:t>
      </w:r>
    </w:p>
    <w:tbl>
      <w:tblPr>
        <w:tblStyle w:val="AECOMtable"/>
        <w:tblW w:w="5000" w:type="pct"/>
        <w:tblLook w:val="04A0" w:firstRow="1" w:lastRow="0" w:firstColumn="1" w:lastColumn="0" w:noHBand="0" w:noVBand="1"/>
      </w:tblPr>
      <w:tblGrid>
        <w:gridCol w:w="1871"/>
        <w:gridCol w:w="1871"/>
        <w:gridCol w:w="937"/>
        <w:gridCol w:w="3685"/>
        <w:gridCol w:w="990"/>
      </w:tblGrid>
      <w:tr w:rsidR="001F76C4" w:rsidRPr="00270B61" w14:paraId="0578265B" w14:textId="77777777" w:rsidTr="00196AB1">
        <w:trPr>
          <w:cnfStyle w:val="100000000000" w:firstRow="1" w:lastRow="0" w:firstColumn="0" w:lastColumn="0" w:oddVBand="0" w:evenVBand="0" w:oddHBand="0" w:evenHBand="0" w:firstRowFirstColumn="0" w:firstRowLastColumn="0" w:lastRowFirstColumn="0" w:lastRowLastColumn="0"/>
          <w:tblHeader/>
        </w:trPr>
        <w:tc>
          <w:tcPr>
            <w:tcW w:w="1000" w:type="pct"/>
          </w:tcPr>
          <w:p w14:paraId="3992C8BB" w14:textId="77777777" w:rsidR="001F76C4" w:rsidRPr="00270B61" w:rsidRDefault="001F76C4">
            <w:pPr>
              <w:pStyle w:val="Tabletext"/>
              <w:jc w:val="left"/>
              <w:rPr>
                <w:rFonts w:cstheme="majorHAnsi"/>
              </w:rPr>
            </w:pPr>
            <w:r>
              <w:rPr>
                <w:rFonts w:cstheme="majorHAnsi"/>
              </w:rPr>
              <w:t>Reference Number</w:t>
            </w:r>
          </w:p>
        </w:tc>
        <w:tc>
          <w:tcPr>
            <w:tcW w:w="1000" w:type="pct"/>
          </w:tcPr>
          <w:p w14:paraId="4F2B817A" w14:textId="77777777" w:rsidR="001F76C4" w:rsidRPr="00270B61" w:rsidRDefault="001F76C4">
            <w:pPr>
              <w:pStyle w:val="Tabletext"/>
              <w:jc w:val="left"/>
              <w:rPr>
                <w:rFonts w:cstheme="majorHAnsi"/>
              </w:rPr>
            </w:pPr>
            <w:r w:rsidRPr="00270B61">
              <w:rPr>
                <w:rFonts w:cstheme="majorHAnsi"/>
              </w:rPr>
              <w:t>Address</w:t>
            </w:r>
          </w:p>
        </w:tc>
        <w:tc>
          <w:tcPr>
            <w:tcW w:w="501" w:type="pct"/>
          </w:tcPr>
          <w:p w14:paraId="53131377" w14:textId="77777777" w:rsidR="001F76C4" w:rsidRPr="00270B61" w:rsidRDefault="001F76C4">
            <w:pPr>
              <w:pStyle w:val="Tabletext"/>
              <w:jc w:val="left"/>
              <w:rPr>
                <w:rFonts w:cstheme="majorHAnsi"/>
              </w:rPr>
            </w:pPr>
            <w:r>
              <w:rPr>
                <w:rFonts w:cstheme="majorHAnsi"/>
              </w:rPr>
              <w:t>Status</w:t>
            </w:r>
          </w:p>
        </w:tc>
        <w:tc>
          <w:tcPr>
            <w:tcW w:w="1970" w:type="pct"/>
          </w:tcPr>
          <w:p w14:paraId="1DDE9685" w14:textId="77777777" w:rsidR="001F76C4" w:rsidRPr="00270B61" w:rsidRDefault="001F76C4">
            <w:pPr>
              <w:pStyle w:val="Tabletext"/>
              <w:jc w:val="left"/>
              <w:rPr>
                <w:rFonts w:cstheme="majorHAnsi"/>
              </w:rPr>
            </w:pPr>
            <w:r>
              <w:rPr>
                <w:rFonts w:cstheme="majorHAnsi"/>
              </w:rPr>
              <w:t>Description</w:t>
            </w:r>
          </w:p>
        </w:tc>
        <w:tc>
          <w:tcPr>
            <w:tcW w:w="529" w:type="pct"/>
          </w:tcPr>
          <w:p w14:paraId="7F41416E" w14:textId="77777777" w:rsidR="001F76C4" w:rsidRPr="00270B61" w:rsidRDefault="001F76C4">
            <w:pPr>
              <w:pStyle w:val="Tabletext"/>
              <w:jc w:val="left"/>
              <w:rPr>
                <w:rFonts w:cstheme="majorHAnsi"/>
              </w:rPr>
            </w:pPr>
            <w:r w:rsidRPr="00270B61">
              <w:rPr>
                <w:rFonts w:cstheme="majorHAnsi"/>
              </w:rPr>
              <w:t>Distance from Site (km)</w:t>
            </w:r>
          </w:p>
        </w:tc>
      </w:tr>
      <w:tr w:rsidR="001F76C4" w:rsidRPr="00270B61" w14:paraId="4EAB8536" w14:textId="77777777" w:rsidTr="00196AB1">
        <w:trPr>
          <w:trHeight w:val="225"/>
        </w:trPr>
        <w:tc>
          <w:tcPr>
            <w:tcW w:w="1000" w:type="pct"/>
            <w:tcBorders>
              <w:top w:val="single" w:sz="12" w:space="0" w:color="008768" w:themeColor="accent1"/>
              <w:bottom w:val="single" w:sz="4" w:space="0" w:color="000000" w:themeColor="text1"/>
            </w:tcBorders>
          </w:tcPr>
          <w:p w14:paraId="1572AB74" w14:textId="3571CB2A" w:rsidR="006815BE" w:rsidRPr="006815BE" w:rsidRDefault="006815BE" w:rsidP="006815BE">
            <w:pPr>
              <w:pStyle w:val="Tabletext"/>
              <w:jc w:val="left"/>
              <w:rPr>
                <w:rFonts w:asciiTheme="majorHAnsi" w:hAnsiTheme="majorHAnsi" w:cstheme="majorHAnsi"/>
                <w:b/>
                <w:bCs/>
              </w:rPr>
            </w:pPr>
            <w:r w:rsidRPr="006815BE">
              <w:rPr>
                <w:rFonts w:asciiTheme="majorHAnsi" w:hAnsiTheme="majorHAnsi" w:cstheme="majorHAnsi"/>
                <w:b/>
                <w:bCs/>
              </w:rPr>
              <w:t>SDCC Ref. SD24A/0187W</w:t>
            </w:r>
          </w:p>
          <w:p w14:paraId="3475FD7B" w14:textId="221AD6BE" w:rsidR="001F76C4" w:rsidRPr="00727808" w:rsidRDefault="006815BE" w:rsidP="006815BE">
            <w:pPr>
              <w:pStyle w:val="Tabletext"/>
              <w:spacing w:after="0"/>
              <w:jc w:val="left"/>
              <w:rPr>
                <w:rFonts w:asciiTheme="majorHAnsi" w:hAnsiTheme="majorHAnsi" w:cstheme="majorHAnsi"/>
                <w:b/>
                <w:bCs/>
              </w:rPr>
            </w:pPr>
            <w:r w:rsidRPr="006815BE">
              <w:rPr>
                <w:rFonts w:asciiTheme="majorHAnsi" w:hAnsiTheme="majorHAnsi" w:cstheme="majorHAnsi"/>
                <w:b/>
                <w:bCs/>
              </w:rPr>
              <w:t>ACP Ref. 321950</w:t>
            </w:r>
          </w:p>
        </w:tc>
        <w:tc>
          <w:tcPr>
            <w:tcW w:w="1000" w:type="pct"/>
            <w:tcBorders>
              <w:top w:val="single" w:sz="12" w:space="0" w:color="008768" w:themeColor="accent1"/>
              <w:bottom w:val="single" w:sz="4" w:space="0" w:color="000000" w:themeColor="text1"/>
            </w:tcBorders>
          </w:tcPr>
          <w:p w14:paraId="2D8A1726" w14:textId="45CDAB4C" w:rsidR="001F76C4" w:rsidRPr="00270B61" w:rsidRDefault="00B66AA8">
            <w:pPr>
              <w:pStyle w:val="Tabletext"/>
              <w:jc w:val="left"/>
              <w:rPr>
                <w:rFonts w:asciiTheme="majorHAnsi" w:hAnsiTheme="majorHAnsi" w:cstheme="majorHAnsi"/>
              </w:rPr>
            </w:pPr>
            <w:r w:rsidRPr="00B66AA8">
              <w:rPr>
                <w:rFonts w:asciiTheme="majorHAnsi" w:hAnsiTheme="majorHAnsi" w:cstheme="majorHAnsi"/>
              </w:rPr>
              <w:t>Lands at Citywest Campus, Garters Lane, Saggart, Co. Dublin.</w:t>
            </w:r>
          </w:p>
        </w:tc>
        <w:tc>
          <w:tcPr>
            <w:tcW w:w="501" w:type="pct"/>
            <w:tcBorders>
              <w:top w:val="single" w:sz="12" w:space="0" w:color="008768" w:themeColor="accent1"/>
              <w:bottom w:val="single" w:sz="4" w:space="0" w:color="000000" w:themeColor="text1"/>
            </w:tcBorders>
          </w:tcPr>
          <w:p w14:paraId="25A6E0E0" w14:textId="2B08F27D" w:rsidR="001F76C4" w:rsidRPr="00270B61" w:rsidRDefault="001F76C4">
            <w:pPr>
              <w:pStyle w:val="Tabletext"/>
              <w:jc w:val="left"/>
              <w:rPr>
                <w:rFonts w:asciiTheme="majorHAnsi" w:hAnsiTheme="majorHAnsi" w:cstheme="majorHAnsi"/>
              </w:rPr>
            </w:pPr>
            <w:r>
              <w:rPr>
                <w:rFonts w:asciiTheme="majorHAnsi" w:hAnsiTheme="majorHAnsi" w:cstheme="majorHAnsi"/>
              </w:rPr>
              <w:t xml:space="preserve">Granted </w:t>
            </w:r>
            <w:r w:rsidR="006815BE">
              <w:rPr>
                <w:rFonts w:asciiTheme="majorHAnsi" w:hAnsiTheme="majorHAnsi" w:cstheme="majorHAnsi"/>
              </w:rPr>
              <w:t>2025</w:t>
            </w:r>
          </w:p>
        </w:tc>
        <w:tc>
          <w:tcPr>
            <w:tcW w:w="1970" w:type="pct"/>
            <w:tcBorders>
              <w:top w:val="single" w:sz="12" w:space="0" w:color="008768" w:themeColor="accent1"/>
              <w:bottom w:val="single" w:sz="4" w:space="0" w:color="000000" w:themeColor="text1"/>
            </w:tcBorders>
          </w:tcPr>
          <w:p w14:paraId="0E0DC393" w14:textId="7AD081F6" w:rsidR="001F76C4" w:rsidRPr="00270B61" w:rsidRDefault="00B66AA8">
            <w:pPr>
              <w:pStyle w:val="Tabletext"/>
              <w:jc w:val="left"/>
              <w:rPr>
                <w:rFonts w:asciiTheme="majorHAnsi" w:hAnsiTheme="majorHAnsi" w:cstheme="majorHAnsi"/>
              </w:rPr>
            </w:pPr>
            <w:r w:rsidRPr="00B66AA8">
              <w:rPr>
                <w:rFonts w:asciiTheme="majorHAnsi" w:hAnsiTheme="majorHAnsi" w:cstheme="majorHAnsi"/>
              </w:rPr>
              <w:t>Primary Care Centre building which will provide HSE Services such as general primary care, mental health, disability and older person services. SuDS drainage, PV panels at roof level, signage, landscaping, boundary treatment and all associated site works and services.</w:t>
            </w:r>
          </w:p>
        </w:tc>
        <w:tc>
          <w:tcPr>
            <w:tcW w:w="529" w:type="pct"/>
            <w:tcBorders>
              <w:top w:val="single" w:sz="12" w:space="0" w:color="008768" w:themeColor="accent1"/>
              <w:bottom w:val="single" w:sz="4" w:space="0" w:color="000000" w:themeColor="text1"/>
            </w:tcBorders>
          </w:tcPr>
          <w:p w14:paraId="41149BD8" w14:textId="329BD724" w:rsidR="001F76C4" w:rsidRPr="00270B61" w:rsidRDefault="00B66AA8">
            <w:pPr>
              <w:pStyle w:val="Tabletext"/>
              <w:jc w:val="left"/>
              <w:rPr>
                <w:rFonts w:asciiTheme="majorHAnsi" w:hAnsiTheme="majorHAnsi" w:cstheme="majorHAnsi"/>
              </w:rPr>
            </w:pPr>
            <w:r w:rsidRPr="00B66AA8">
              <w:rPr>
                <w:rFonts w:asciiTheme="majorHAnsi" w:hAnsiTheme="majorHAnsi" w:cstheme="majorHAnsi"/>
              </w:rPr>
              <w:t>1.1km</w:t>
            </w:r>
          </w:p>
        </w:tc>
      </w:tr>
    </w:tbl>
    <w:p w14:paraId="5A380A6E" w14:textId="31B322C7" w:rsidR="001F76C4" w:rsidRPr="00F409E8" w:rsidRDefault="0072618C" w:rsidP="00996F07">
      <w:pPr>
        <w:pStyle w:val="BodyText"/>
        <w:rPr>
          <w:i/>
          <w:iCs/>
          <w:sz w:val="18"/>
        </w:rPr>
      </w:pPr>
      <w:r w:rsidRPr="00F409E8">
        <w:rPr>
          <w:i/>
          <w:iCs/>
          <w:sz w:val="18"/>
        </w:rPr>
        <w:t>Source: SDCC &amp; ACP</w:t>
      </w:r>
    </w:p>
    <w:p w14:paraId="4C25E188" w14:textId="3056767D" w:rsidR="00996F07" w:rsidRDefault="00755784" w:rsidP="00755784">
      <w:pPr>
        <w:pStyle w:val="Heading4"/>
      </w:pPr>
      <w:r>
        <w:t>Community Facilities</w:t>
      </w:r>
    </w:p>
    <w:p w14:paraId="4DC08215" w14:textId="6316C6CC" w:rsidR="00755784" w:rsidRDefault="004511E7" w:rsidP="00755784">
      <w:pPr>
        <w:pStyle w:val="BodyText"/>
      </w:pPr>
      <w:r w:rsidRPr="004511E7">
        <w:t xml:space="preserve">Social and Community facilities are varied in nature and can include general civic services and services targeted to specific section of the community. There is a dedicated </w:t>
      </w:r>
      <w:r w:rsidR="004433A6">
        <w:t>Community</w:t>
      </w:r>
      <w:r w:rsidRPr="004511E7">
        <w:t xml:space="preserve"> Centre in </w:t>
      </w:r>
      <w:r w:rsidR="004433A6">
        <w:t>Rathcoole</w:t>
      </w:r>
      <w:r w:rsidRPr="004511E7">
        <w:t xml:space="preserve">, operated by </w:t>
      </w:r>
      <w:r w:rsidR="000D29D1">
        <w:t>Rathcoole Community Council</w:t>
      </w:r>
      <w:r w:rsidR="00C120D8">
        <w:t xml:space="preserve">. The Council offers a community centre and community employment scheme with the aim of supporting social, educational and recreational development and </w:t>
      </w:r>
      <w:r w:rsidR="00C120D8">
        <w:lastRenderedPageBreak/>
        <w:t>supporting community cohesion.</w:t>
      </w:r>
      <w:r w:rsidR="0086126D">
        <w:t xml:space="preserve"> A variety of services are available in the centre inclusive of</w:t>
      </w:r>
      <w:r w:rsidR="00A67B9D">
        <w:t xml:space="preserve"> meeting rooms, gym and sports hall</w:t>
      </w:r>
      <w:r w:rsidR="005006CA">
        <w:t>. Activities ranging from fitness, martial arts and dance classes, bridge clubs, mens clubs</w:t>
      </w:r>
      <w:r w:rsidR="00507724">
        <w:t xml:space="preserve"> and pre-school services are available within the centre.</w:t>
      </w:r>
    </w:p>
    <w:p w14:paraId="26B61F9B" w14:textId="41487056" w:rsidR="007B197F" w:rsidRDefault="007B197F" w:rsidP="00755784">
      <w:pPr>
        <w:pStyle w:val="BodyText"/>
      </w:pPr>
      <w:r>
        <w:t xml:space="preserve">While there is no official library facility in Rathcoole, South Dublin County Council operate a mobile library service within Broadfield Meadows, Tootenhill, Rathcoole </w:t>
      </w:r>
      <w:r w:rsidR="001E270E">
        <w:t>every Monday evening between 6pm and 7pm.</w:t>
      </w:r>
    </w:p>
    <w:p w14:paraId="37AC9B78" w14:textId="63EC9C34" w:rsidR="001D1963" w:rsidRDefault="001D1963" w:rsidP="001D1963">
      <w:pPr>
        <w:pStyle w:val="Caption"/>
      </w:pPr>
      <w:bookmarkStart w:id="81" w:name="_Toc233123422"/>
      <w:r>
        <w:t xml:space="preserve">Table </w:t>
      </w:r>
      <w:r w:rsidR="000F55B9">
        <w:t>5-</w:t>
      </w:r>
      <w:r>
        <w:fldChar w:fldCharType="begin"/>
      </w:r>
      <w:r>
        <w:instrText>SEQ Table \* ARABIC</w:instrText>
      </w:r>
      <w:r>
        <w:fldChar w:fldCharType="separate"/>
      </w:r>
      <w:r w:rsidR="00946CE0">
        <w:rPr>
          <w:noProof/>
        </w:rPr>
        <w:t>12</w:t>
      </w:r>
      <w:r>
        <w:fldChar w:fldCharType="end"/>
      </w:r>
      <w:r>
        <w:t>: Community Facilities</w:t>
      </w:r>
      <w:bookmarkEnd w:id="81"/>
    </w:p>
    <w:tbl>
      <w:tblPr>
        <w:tblStyle w:val="GridTable4-Accent3"/>
        <w:tblpPr w:leftFromText="180" w:rightFromText="180" w:vertAnchor="text" w:horzAnchor="margin" w:tblpY="84"/>
        <w:tblW w:w="5000" w:type="pct"/>
        <w:tblBorders>
          <w:top w:val="none" w:sz="0" w:space="0" w:color="auto"/>
          <w:left w:val="none" w:sz="0" w:space="0" w:color="auto"/>
          <w:bottom w:val="single" w:sz="8" w:space="0" w:color="000000" w:themeColor="text1"/>
          <w:right w:val="none" w:sz="0" w:space="0" w:color="auto"/>
          <w:insideH w:val="single" w:sz="8" w:space="0" w:color="000000" w:themeColor="text1"/>
          <w:insideV w:val="none" w:sz="0" w:space="0" w:color="auto"/>
        </w:tblBorders>
        <w:shd w:val="clear" w:color="auto" w:fill="FFFFFF" w:themeFill="background1"/>
        <w:tblLook w:val="04A0" w:firstRow="1" w:lastRow="0" w:firstColumn="1" w:lastColumn="0" w:noHBand="0" w:noVBand="1"/>
      </w:tblPr>
      <w:tblGrid>
        <w:gridCol w:w="5600"/>
        <w:gridCol w:w="3734"/>
      </w:tblGrid>
      <w:tr w:rsidR="00532594" w:rsidRPr="00270B61" w14:paraId="01B147DC" w14:textId="77777777" w:rsidTr="00532594">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3000" w:type="pct"/>
            <w:tcBorders>
              <w:top w:val="nil"/>
              <w:left w:val="single" w:sz="12" w:space="0" w:color="FFFFFF" w:themeColor="background1"/>
              <w:bottom w:val="single" w:sz="12" w:space="0" w:color="008768" w:themeColor="accent1"/>
            </w:tcBorders>
            <w:shd w:val="clear" w:color="auto" w:fill="FFFFFF" w:themeFill="background1"/>
            <w:noWrap/>
            <w:hideMark/>
          </w:tcPr>
          <w:p w14:paraId="73D51179" w14:textId="77777777" w:rsidR="00532594" w:rsidRPr="00270B61" w:rsidRDefault="00532594">
            <w:pPr>
              <w:pStyle w:val="TextNormal"/>
              <w:rPr>
                <w:rFonts w:asciiTheme="majorHAnsi" w:hAnsiTheme="majorHAnsi" w:cstheme="majorHAnsi"/>
                <w:color w:val="008768" w:themeColor="accent1"/>
                <w:sz w:val="18"/>
                <w:szCs w:val="18"/>
                <w:lang w:val="en-GB"/>
              </w:rPr>
            </w:pPr>
            <w:r>
              <w:rPr>
                <w:rFonts w:asciiTheme="majorHAnsi" w:hAnsiTheme="majorHAnsi" w:cstheme="majorHAnsi"/>
                <w:color w:val="008768" w:themeColor="accent1"/>
                <w:sz w:val="18"/>
                <w:szCs w:val="18"/>
                <w:lang w:val="en-GB"/>
              </w:rPr>
              <w:t>Space/Facility</w:t>
            </w:r>
            <w:r w:rsidRPr="00270B61">
              <w:rPr>
                <w:rFonts w:asciiTheme="majorHAnsi" w:hAnsiTheme="majorHAnsi" w:cstheme="majorHAnsi"/>
                <w:color w:val="008768" w:themeColor="accent1"/>
                <w:sz w:val="18"/>
                <w:szCs w:val="18"/>
                <w:lang w:val="en-GB"/>
              </w:rPr>
              <w:t xml:space="preserve"> </w:t>
            </w:r>
          </w:p>
        </w:tc>
        <w:tc>
          <w:tcPr>
            <w:tcW w:w="2000" w:type="pct"/>
            <w:tcBorders>
              <w:top w:val="nil"/>
              <w:bottom w:val="single" w:sz="12" w:space="0" w:color="008768" w:themeColor="accent1"/>
            </w:tcBorders>
            <w:shd w:val="clear" w:color="auto" w:fill="FFFFFF" w:themeFill="background1"/>
          </w:tcPr>
          <w:p w14:paraId="500C48B7" w14:textId="77777777" w:rsidR="00532594" w:rsidRPr="00270B61" w:rsidRDefault="00532594">
            <w:pPr>
              <w:pStyle w:val="TextNormal"/>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8768" w:themeColor="accent1"/>
                <w:sz w:val="18"/>
                <w:szCs w:val="18"/>
                <w:lang w:val="en-GB"/>
              </w:rPr>
            </w:pPr>
            <w:r w:rsidRPr="00270B61">
              <w:rPr>
                <w:rFonts w:asciiTheme="majorHAnsi" w:hAnsiTheme="majorHAnsi" w:cstheme="majorHAnsi"/>
                <w:color w:val="008768" w:themeColor="accent1"/>
                <w:sz w:val="18"/>
                <w:szCs w:val="18"/>
                <w:lang w:val="en-GB"/>
              </w:rPr>
              <w:t xml:space="preserve">Address </w:t>
            </w:r>
          </w:p>
        </w:tc>
      </w:tr>
      <w:tr w:rsidR="00532594" w:rsidRPr="00270B61" w14:paraId="643DC0DC" w14:textId="77777777" w:rsidTr="0053259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000" w:type="pct"/>
            <w:tcBorders>
              <w:top w:val="single" w:sz="12" w:space="0" w:color="008768" w:themeColor="accent1"/>
            </w:tcBorders>
            <w:shd w:val="clear" w:color="auto" w:fill="FFFFFF" w:themeFill="background1"/>
            <w:noWrap/>
          </w:tcPr>
          <w:p w14:paraId="091E7BA5" w14:textId="0202F5E2" w:rsidR="00532594" w:rsidRPr="00270B61" w:rsidRDefault="00532594">
            <w:pPr>
              <w:pStyle w:val="TextNormal"/>
              <w:rPr>
                <w:rFonts w:asciiTheme="majorHAnsi" w:hAnsiTheme="majorHAnsi" w:cstheme="majorHAnsi"/>
                <w:sz w:val="18"/>
                <w:szCs w:val="18"/>
                <w:lang w:val="en-GB"/>
              </w:rPr>
            </w:pPr>
            <w:r>
              <w:rPr>
                <w:rFonts w:asciiTheme="majorHAnsi" w:hAnsiTheme="majorHAnsi" w:cstheme="majorHAnsi"/>
                <w:sz w:val="18"/>
                <w:szCs w:val="18"/>
                <w:lang w:val="en-GB"/>
              </w:rPr>
              <w:t>Rathcoole Community Centre</w:t>
            </w:r>
          </w:p>
        </w:tc>
        <w:tc>
          <w:tcPr>
            <w:tcW w:w="2000" w:type="pct"/>
            <w:tcBorders>
              <w:top w:val="single" w:sz="12" w:space="0" w:color="008768" w:themeColor="accent1"/>
            </w:tcBorders>
            <w:shd w:val="clear" w:color="auto" w:fill="FFFFFF" w:themeFill="background1"/>
          </w:tcPr>
          <w:p w14:paraId="717A2FAC" w14:textId="06265119" w:rsidR="00532594" w:rsidRPr="00270B61" w:rsidRDefault="00532594">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C26A5D">
              <w:rPr>
                <w:rFonts w:asciiTheme="majorHAnsi" w:hAnsiTheme="majorHAnsi" w:cstheme="majorHAnsi"/>
                <w:bCs/>
                <w:sz w:val="18"/>
                <w:szCs w:val="18"/>
                <w:lang w:val="en-GB"/>
              </w:rPr>
              <w:t>D24 DX57</w:t>
            </w:r>
          </w:p>
        </w:tc>
      </w:tr>
      <w:tr w:rsidR="00532594" w:rsidRPr="00270B61" w14:paraId="7A1902B1" w14:textId="77777777" w:rsidTr="00532594">
        <w:trPr>
          <w:trHeight w:val="288"/>
        </w:trPr>
        <w:tc>
          <w:tcPr>
            <w:cnfStyle w:val="001000000000" w:firstRow="0" w:lastRow="0" w:firstColumn="1" w:lastColumn="0" w:oddVBand="0" w:evenVBand="0" w:oddHBand="0" w:evenHBand="0" w:firstRowFirstColumn="0" w:firstRowLastColumn="0" w:lastRowFirstColumn="0" w:lastRowLastColumn="0"/>
            <w:tcW w:w="3000" w:type="pct"/>
            <w:shd w:val="clear" w:color="auto" w:fill="FFFFFF" w:themeFill="background1"/>
            <w:noWrap/>
          </w:tcPr>
          <w:p w14:paraId="301CB50E" w14:textId="0006138D" w:rsidR="00532594" w:rsidRPr="00270B61" w:rsidRDefault="00532594">
            <w:pPr>
              <w:pStyle w:val="TextNormal"/>
              <w:rPr>
                <w:rFonts w:asciiTheme="majorHAnsi" w:hAnsiTheme="majorHAnsi" w:cstheme="majorHAnsi"/>
                <w:sz w:val="18"/>
                <w:szCs w:val="18"/>
                <w:lang w:val="en-GB"/>
              </w:rPr>
            </w:pPr>
            <w:r w:rsidRPr="008A627B">
              <w:rPr>
                <w:rFonts w:asciiTheme="majorHAnsi" w:hAnsiTheme="majorHAnsi" w:cstheme="majorHAnsi"/>
                <w:sz w:val="18"/>
                <w:szCs w:val="18"/>
                <w:lang w:val="en-GB"/>
              </w:rPr>
              <w:t>Saggart Schoolhouse Community Centre</w:t>
            </w:r>
          </w:p>
        </w:tc>
        <w:tc>
          <w:tcPr>
            <w:tcW w:w="2000" w:type="pct"/>
            <w:shd w:val="clear" w:color="auto" w:fill="FFFFFF" w:themeFill="background1"/>
          </w:tcPr>
          <w:p w14:paraId="585A9A99" w14:textId="0FF1E19A" w:rsidR="00532594" w:rsidRPr="00270B61" w:rsidRDefault="00532594">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D24V04D</w:t>
            </w:r>
          </w:p>
        </w:tc>
      </w:tr>
      <w:tr w:rsidR="00532594" w:rsidRPr="00270B61" w14:paraId="2D317BC0"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3000" w:type="pct"/>
            <w:shd w:val="clear" w:color="auto" w:fill="FFFFFF" w:themeFill="background1"/>
            <w:noWrap/>
          </w:tcPr>
          <w:p w14:paraId="2C89339E" w14:textId="077B5C05" w:rsidR="00532594" w:rsidRDefault="00532594">
            <w:pPr>
              <w:pStyle w:val="TextNormal"/>
              <w:rPr>
                <w:rFonts w:asciiTheme="majorHAnsi" w:hAnsiTheme="majorHAnsi" w:cstheme="majorHAnsi"/>
                <w:sz w:val="18"/>
                <w:szCs w:val="18"/>
                <w:lang w:val="en-GB"/>
              </w:rPr>
            </w:pPr>
            <w:r w:rsidRPr="00355B06">
              <w:rPr>
                <w:rFonts w:asciiTheme="majorHAnsi" w:hAnsiTheme="majorHAnsi" w:cstheme="majorHAnsi"/>
                <w:sz w:val="18"/>
                <w:szCs w:val="18"/>
                <w:lang w:val="en-GB"/>
              </w:rPr>
              <w:t>Saggart Village Heritage and Arts Centre</w:t>
            </w:r>
          </w:p>
        </w:tc>
        <w:tc>
          <w:tcPr>
            <w:tcW w:w="2000" w:type="pct"/>
            <w:shd w:val="clear" w:color="auto" w:fill="FFFFFF" w:themeFill="background1"/>
          </w:tcPr>
          <w:p w14:paraId="268DFCDB" w14:textId="1282F0E7" w:rsidR="00532594" w:rsidRPr="00270B61" w:rsidRDefault="00532594">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sidRPr="00355B06">
              <w:rPr>
                <w:rFonts w:asciiTheme="majorHAnsi" w:hAnsiTheme="majorHAnsi" w:cstheme="majorHAnsi"/>
                <w:bCs/>
                <w:sz w:val="18"/>
                <w:szCs w:val="18"/>
                <w:lang w:val="en-GB"/>
              </w:rPr>
              <w:t>D24 DX43</w:t>
            </w:r>
          </w:p>
        </w:tc>
      </w:tr>
      <w:tr w:rsidR="00532594" w:rsidRPr="00270B61" w14:paraId="53393F44"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3000" w:type="pct"/>
            <w:shd w:val="clear" w:color="auto" w:fill="FFFFFF" w:themeFill="background1"/>
            <w:noWrap/>
          </w:tcPr>
          <w:p w14:paraId="5B430DF6" w14:textId="1D5629AD" w:rsidR="00532594" w:rsidRPr="00355B06" w:rsidRDefault="00532594" w:rsidP="000D3075">
            <w:pPr>
              <w:pStyle w:val="TextNormal"/>
              <w:rPr>
                <w:rFonts w:asciiTheme="majorHAnsi" w:hAnsiTheme="majorHAnsi" w:cstheme="majorHAnsi"/>
                <w:sz w:val="18"/>
                <w:szCs w:val="18"/>
                <w:lang w:val="en-GB"/>
              </w:rPr>
            </w:pPr>
            <w:r>
              <w:rPr>
                <w:rFonts w:asciiTheme="majorHAnsi" w:hAnsiTheme="majorHAnsi" w:cstheme="majorHAnsi"/>
                <w:sz w:val="18"/>
                <w:szCs w:val="18"/>
                <w:lang w:val="en-GB"/>
              </w:rPr>
              <w:t>St. Finian’s Community Hall</w:t>
            </w:r>
          </w:p>
        </w:tc>
        <w:tc>
          <w:tcPr>
            <w:tcW w:w="2000" w:type="pct"/>
            <w:shd w:val="clear" w:color="auto" w:fill="FFFFFF" w:themeFill="background1"/>
          </w:tcPr>
          <w:p w14:paraId="367B87A9" w14:textId="2304BE7C" w:rsidR="00532594" w:rsidRPr="00355B06" w:rsidRDefault="00532594">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sidRPr="00E31539">
              <w:rPr>
                <w:rFonts w:asciiTheme="majorHAnsi" w:hAnsiTheme="majorHAnsi" w:cstheme="majorHAnsi"/>
                <w:bCs/>
                <w:sz w:val="18"/>
                <w:szCs w:val="18"/>
                <w:lang w:val="en-GB"/>
              </w:rPr>
              <w:t>D22 Y5T7</w:t>
            </w:r>
          </w:p>
        </w:tc>
      </w:tr>
      <w:tr w:rsidR="00532594" w:rsidRPr="00270B61" w14:paraId="4CF3FDD7" w14:textId="77777777" w:rsidTr="0053259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3000" w:type="pct"/>
            <w:shd w:val="clear" w:color="auto" w:fill="FFFFFF" w:themeFill="background1"/>
            <w:noWrap/>
          </w:tcPr>
          <w:p w14:paraId="563CE41A" w14:textId="10393C1F" w:rsidR="00532594" w:rsidRPr="00355B06" w:rsidRDefault="00532594">
            <w:pPr>
              <w:pStyle w:val="TextNormal"/>
              <w:rPr>
                <w:rFonts w:asciiTheme="majorHAnsi" w:hAnsiTheme="majorHAnsi" w:cstheme="majorHAnsi"/>
                <w:sz w:val="18"/>
                <w:szCs w:val="18"/>
                <w:lang w:val="en-GB"/>
              </w:rPr>
            </w:pPr>
            <w:r w:rsidRPr="00F539EB">
              <w:rPr>
                <w:rFonts w:asciiTheme="majorHAnsi" w:hAnsiTheme="majorHAnsi" w:cstheme="majorHAnsi"/>
                <w:sz w:val="18"/>
                <w:szCs w:val="18"/>
                <w:lang w:val="en-GB"/>
              </w:rPr>
              <w:t>South Dublin County Council Mobile Library</w:t>
            </w:r>
          </w:p>
        </w:tc>
        <w:tc>
          <w:tcPr>
            <w:tcW w:w="2000" w:type="pct"/>
            <w:shd w:val="clear" w:color="auto" w:fill="FFFFFF" w:themeFill="background1"/>
          </w:tcPr>
          <w:p w14:paraId="79078F76" w14:textId="6944873B" w:rsidR="00532594" w:rsidRPr="00355B06" w:rsidRDefault="00532594">
            <w:pPr>
              <w:pStyle w:val="TextNormal"/>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D24C780</w:t>
            </w:r>
          </w:p>
        </w:tc>
      </w:tr>
      <w:tr w:rsidR="00532594" w:rsidRPr="00270B61" w14:paraId="57A749DD" w14:textId="77777777" w:rsidTr="00532594">
        <w:trPr>
          <w:trHeight w:val="316"/>
        </w:trPr>
        <w:tc>
          <w:tcPr>
            <w:cnfStyle w:val="001000000000" w:firstRow="0" w:lastRow="0" w:firstColumn="1" w:lastColumn="0" w:oddVBand="0" w:evenVBand="0" w:oddHBand="0" w:evenHBand="0" w:firstRowFirstColumn="0" w:firstRowLastColumn="0" w:lastRowFirstColumn="0" w:lastRowLastColumn="0"/>
            <w:tcW w:w="3000" w:type="pct"/>
            <w:shd w:val="clear" w:color="auto" w:fill="FFFFFF" w:themeFill="background1"/>
            <w:noWrap/>
          </w:tcPr>
          <w:p w14:paraId="475E098E" w14:textId="34909D5D" w:rsidR="00532594" w:rsidRPr="00355B06" w:rsidRDefault="00532594">
            <w:pPr>
              <w:pStyle w:val="TextNormal"/>
              <w:rPr>
                <w:rFonts w:asciiTheme="majorHAnsi" w:hAnsiTheme="majorHAnsi" w:cstheme="majorHAnsi"/>
                <w:sz w:val="18"/>
                <w:szCs w:val="18"/>
                <w:lang w:val="en-GB"/>
              </w:rPr>
            </w:pPr>
            <w:r>
              <w:rPr>
                <w:rFonts w:asciiTheme="majorHAnsi" w:hAnsiTheme="majorHAnsi" w:cstheme="majorHAnsi"/>
                <w:sz w:val="18"/>
                <w:szCs w:val="18"/>
                <w:lang w:val="en-GB"/>
              </w:rPr>
              <w:t>Scout Hall – Scouting Ireland 73rd</w:t>
            </w:r>
          </w:p>
        </w:tc>
        <w:tc>
          <w:tcPr>
            <w:tcW w:w="2000" w:type="pct"/>
            <w:shd w:val="clear" w:color="auto" w:fill="FFFFFF" w:themeFill="background1"/>
          </w:tcPr>
          <w:p w14:paraId="7DA16E5D" w14:textId="122F5DD1" w:rsidR="00532594" w:rsidRPr="00355B06" w:rsidRDefault="00532594">
            <w:pPr>
              <w:pStyle w:val="TextNormal"/>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GB"/>
              </w:rPr>
            </w:pPr>
            <w:r>
              <w:rPr>
                <w:rFonts w:asciiTheme="majorHAnsi" w:hAnsiTheme="majorHAnsi" w:cstheme="majorHAnsi"/>
                <w:bCs/>
                <w:sz w:val="18"/>
                <w:szCs w:val="18"/>
                <w:lang w:val="en-GB"/>
              </w:rPr>
              <w:t>D24XR83</w:t>
            </w:r>
          </w:p>
        </w:tc>
      </w:tr>
    </w:tbl>
    <w:p w14:paraId="5CEC8F05" w14:textId="1A63D676" w:rsidR="00930E73" w:rsidRPr="0072618C" w:rsidRDefault="0072618C" w:rsidP="00755784">
      <w:pPr>
        <w:pStyle w:val="BodyText"/>
        <w:rPr>
          <w:i/>
          <w:iCs/>
        </w:rPr>
      </w:pPr>
      <w:r>
        <w:rPr>
          <w:i/>
          <w:iCs/>
        </w:rPr>
        <w:t>Source: MacCabe Durney Barnes</w:t>
      </w:r>
    </w:p>
    <w:p w14:paraId="52C88071" w14:textId="74169931" w:rsidR="00EA22D2" w:rsidRPr="00EA22D2" w:rsidRDefault="00EA22D2" w:rsidP="00EA22D2">
      <w:pPr>
        <w:pStyle w:val="BodyText"/>
        <w:rPr>
          <w:lang w:val="en-IE"/>
        </w:rPr>
      </w:pPr>
      <w:r>
        <w:rPr>
          <w:lang w:val="en-IE"/>
        </w:rPr>
        <w:t>Further to the above, SDCC</w:t>
      </w:r>
      <w:r w:rsidRPr="00EA22D2">
        <w:rPr>
          <w:lang w:val="en-IE"/>
        </w:rPr>
        <w:t xml:space="preserve"> is investing in a number of projects in the Citywest area in relation to recreation and amenity. Three local recreation and amenity projects are included in the SDCC Capital Programme 2026 – 2028:</w:t>
      </w:r>
    </w:p>
    <w:p w14:paraId="70F45FF7" w14:textId="77777777" w:rsidR="00EA22D2" w:rsidRPr="00EA22D2" w:rsidRDefault="00EA22D2" w:rsidP="00752B26">
      <w:pPr>
        <w:pStyle w:val="ListBullet"/>
        <w:rPr>
          <w:lang w:val="en-IE"/>
        </w:rPr>
      </w:pPr>
      <w:r w:rsidRPr="00EA22D2">
        <w:rPr>
          <w:lang w:val="en-IE"/>
        </w:rPr>
        <w:t>Citywest Community Centre</w:t>
      </w:r>
    </w:p>
    <w:p w14:paraId="6A127CAA" w14:textId="77777777" w:rsidR="00EA22D2" w:rsidRPr="00EA22D2" w:rsidRDefault="00EA22D2" w:rsidP="00752B26">
      <w:pPr>
        <w:pStyle w:val="ListBullet"/>
        <w:rPr>
          <w:lang w:val="en-IE"/>
        </w:rPr>
      </w:pPr>
      <w:r w:rsidRPr="00EA22D2">
        <w:rPr>
          <w:lang w:val="en-IE"/>
        </w:rPr>
        <w:t>Citywest Youth facility fit-out</w:t>
      </w:r>
    </w:p>
    <w:p w14:paraId="6245825D" w14:textId="77777777" w:rsidR="00EA22D2" w:rsidRPr="00EA22D2" w:rsidRDefault="00EA22D2" w:rsidP="00752B26">
      <w:pPr>
        <w:pStyle w:val="ListBullet"/>
        <w:rPr>
          <w:lang w:val="en-IE"/>
        </w:rPr>
      </w:pPr>
      <w:r w:rsidRPr="00EA22D2">
        <w:rPr>
          <w:lang w:val="en-IE"/>
        </w:rPr>
        <w:t>Citywest Library</w:t>
      </w:r>
    </w:p>
    <w:p w14:paraId="20509531" w14:textId="720D4F97" w:rsidR="00EA22D2" w:rsidRPr="00752B26" w:rsidRDefault="00EA22D2" w:rsidP="00755784">
      <w:pPr>
        <w:pStyle w:val="BodyText"/>
        <w:rPr>
          <w:lang w:val="en-IE"/>
        </w:rPr>
      </w:pPr>
      <w:r w:rsidRPr="00EA22D2">
        <w:rPr>
          <w:lang w:val="en-IE"/>
        </w:rPr>
        <w:t>These projects are allocated €6,865,000 expenditure in 2026 and €14,907,000 over the course of the capital programme.</w:t>
      </w:r>
    </w:p>
    <w:p w14:paraId="788F1E36" w14:textId="48343EFA" w:rsidR="00DD27CE" w:rsidRDefault="00485857" w:rsidP="00485857">
      <w:pPr>
        <w:pStyle w:val="Heading4"/>
      </w:pPr>
      <w:r>
        <w:t>Arts and Cultural Facilities</w:t>
      </w:r>
    </w:p>
    <w:p w14:paraId="7139CEE2" w14:textId="23281F63" w:rsidR="00F2252A" w:rsidRDefault="00D2601A" w:rsidP="00F2252A">
      <w:pPr>
        <w:pStyle w:val="BodyText"/>
      </w:pPr>
      <w:r>
        <w:t>T</w:t>
      </w:r>
      <w:r w:rsidR="00F2252A">
        <w:t>he level of dedicated arts and cultural infrastructure</w:t>
      </w:r>
      <w:r>
        <w:t xml:space="preserve"> in Rathcoole </w:t>
      </w:r>
      <w:r w:rsidR="00F2252A">
        <w:t xml:space="preserve"> is modest when compared to larger settlements such as Tallaght, </w:t>
      </w:r>
      <w:r>
        <w:t>Naas, or Dublin City</w:t>
      </w:r>
      <w:r w:rsidR="00F2252A">
        <w:t>. The settlement does not contain a dedicated arts centre, theatre</w:t>
      </w:r>
      <w:r w:rsidR="001617D1">
        <w:t xml:space="preserve"> or</w:t>
      </w:r>
      <w:r w:rsidR="00F2252A">
        <w:t xml:space="preserve"> gallery. Instead, cultural activity is generally centred around </w:t>
      </w:r>
      <w:r w:rsidR="00B74575">
        <w:t>the community centre</w:t>
      </w:r>
      <w:r w:rsidR="00F2252A">
        <w:t xml:space="preserve">, </w:t>
      </w:r>
      <w:r w:rsidR="00B74575">
        <w:t xml:space="preserve">local </w:t>
      </w:r>
      <w:r w:rsidR="00F2252A">
        <w:t>schools, heritage assets and events organised through community groups</w:t>
      </w:r>
      <w:r w:rsidR="00B74575">
        <w:t xml:space="preserve"> and in the surrounding area</w:t>
      </w:r>
      <w:r w:rsidR="00F2252A">
        <w:t>.</w:t>
      </w:r>
    </w:p>
    <w:p w14:paraId="3133780F" w14:textId="383878AF" w:rsidR="00F2252A" w:rsidRDefault="00F2252A" w:rsidP="00F2252A">
      <w:pPr>
        <w:pStyle w:val="BodyText"/>
      </w:pPr>
      <w:r>
        <w:t xml:space="preserve">The principal facility within the </w:t>
      </w:r>
      <w:r w:rsidR="0012456A">
        <w:t>town</w:t>
      </w:r>
      <w:r>
        <w:t xml:space="preserve"> is the </w:t>
      </w:r>
      <w:r w:rsidR="0012456A">
        <w:t>Rathcoole Community Centre</w:t>
      </w:r>
      <w:r>
        <w:t>, which accommodates a range of local events</w:t>
      </w:r>
      <w:r w:rsidR="0012456A">
        <w:t xml:space="preserve"> and</w:t>
      </w:r>
      <w:r>
        <w:t xml:space="preserve"> activities throughout the year. Rathcoole also contains a number of heritage assets and historic buildings which contribute to the cultural identity of the village, including the historic village core and associated architectural heritage. These facilities and assets provide opportunities for community interaction and local cultural activities.</w:t>
      </w:r>
    </w:p>
    <w:p w14:paraId="31DEE435" w14:textId="77777777" w:rsidR="00C03EE3" w:rsidRDefault="00C03EE3" w:rsidP="00C03EE3">
      <w:pPr>
        <w:pStyle w:val="BodyText"/>
      </w:pPr>
      <w:r>
        <w:t>The Rathcoole Community Council is currently working with South Dublin County Council on proposals to restore the former Rathcoole Courthouse, which is presently used as a community hall, and convert it into a heritage museum. The project seeks to preserve and showcase the history of Rathcoole and its hinterland, reflecting the settlement's historic role as an administrative centre within the wider area.</w:t>
      </w:r>
    </w:p>
    <w:p w14:paraId="688684A3" w14:textId="570BF6E8" w:rsidR="00F2252A" w:rsidRDefault="00F2252A" w:rsidP="002E5AC9">
      <w:pPr>
        <w:pStyle w:val="BodyText"/>
      </w:pPr>
      <w:r>
        <w:t xml:space="preserve">While dedicated arts infrastructure within Rathcoole is limited, residents benefit from access to the wider network of cultural facilities located </w:t>
      </w:r>
      <w:r w:rsidR="00B2723C">
        <w:t>in larger towns and settlements including Naas, Tallaght and Dublin City along with smaller offerings in villages such as Kilteel</w:t>
      </w:r>
      <w:r w:rsidR="002E5AC9">
        <w:t xml:space="preserve">, which hosts an annual art exhibition and various events in its community hall. </w:t>
      </w:r>
      <w:r w:rsidR="00DB2D08">
        <w:t xml:space="preserve">Cinemas and </w:t>
      </w:r>
      <w:r w:rsidR="00EC0C55">
        <w:t xml:space="preserve">theatres are accessible in Naas and Tallaght. </w:t>
      </w:r>
      <w:r>
        <w:t>South Dublin County Council actively supports arts and cultural participation through its Arts Office, public art initiatives, community arts programmes, grants, events and youth arts programmes. As a result, cultural needs are generally met through a combination of local community facilities and larger arts and cultural venues located elsewhere within the county.</w:t>
      </w:r>
    </w:p>
    <w:p w14:paraId="3EEA21E1" w14:textId="6E62D2EF" w:rsidR="00FA4DF2" w:rsidRDefault="00FA4DF2" w:rsidP="00FA4DF2">
      <w:pPr>
        <w:pStyle w:val="Heading4"/>
      </w:pPr>
      <w:r>
        <w:t xml:space="preserve">Religious and Worship </w:t>
      </w:r>
      <w:r w:rsidR="008106FC">
        <w:t>Facilities</w:t>
      </w:r>
    </w:p>
    <w:p w14:paraId="381B3637" w14:textId="1C76CA92" w:rsidR="006C29A9" w:rsidRDefault="006C29A9" w:rsidP="006C29A9">
      <w:pPr>
        <w:pStyle w:val="BodyText"/>
      </w:pPr>
      <w:r>
        <w:t>The Church of the Holy Family and the Church of Ireland Church in Rathcoole provide the principal places of worship within the settlement. These facilities serve the local community and contribute to the social and community infrastructure of the area.</w:t>
      </w:r>
    </w:p>
    <w:p w14:paraId="783E8301" w14:textId="4771FFFB" w:rsidR="006C29A9" w:rsidRDefault="006C29A9" w:rsidP="006C29A9">
      <w:pPr>
        <w:pStyle w:val="BodyText"/>
      </w:pPr>
      <w:r>
        <w:lastRenderedPageBreak/>
        <w:t>The religious infrastructure within Rathcoole is relatively limited and there do not appear to be dedicated places of worship serving other faith groups within the settlement. However, residents have access to a wide range of religious and faith-based facilities throughout the greater Dublin Area.These facilities are generally concentrated within the wider Dublin metropolitan area and are accessible from Rathcoole via the regional road network and public transport services.</w:t>
      </w:r>
    </w:p>
    <w:p w14:paraId="4E4F3668" w14:textId="697B1DFE" w:rsidR="00622B20" w:rsidRDefault="00F06D36" w:rsidP="00622B20">
      <w:pPr>
        <w:pStyle w:val="Heading4"/>
      </w:pPr>
      <w:r>
        <w:t>Retail</w:t>
      </w:r>
    </w:p>
    <w:p w14:paraId="241FEE52" w14:textId="53F1C2C9" w:rsidR="00F06D36" w:rsidRDefault="00F06D36" w:rsidP="00F06D36">
      <w:pPr>
        <w:pStyle w:val="BodyText"/>
      </w:pPr>
      <w:r>
        <w:t>Rathcoole has a number of retail and commercial services relative to its size. Retail provision is concentrated within the village centre along Main Street, which is the principal retail and commercial core of the settlement. The village centre contains a mix of convenience retail, service and commercial uses which serve the day-to-day needs of local residents and the surrounding catchment area.</w:t>
      </w:r>
    </w:p>
    <w:p w14:paraId="780686F8" w14:textId="40945C63" w:rsidR="00F06D36" w:rsidRDefault="00F06D36" w:rsidP="00F06D36">
      <w:pPr>
        <w:pStyle w:val="BodyText"/>
      </w:pPr>
      <w:r>
        <w:t xml:space="preserve">Convenience retail provision includes a number of established retailers and supermarket operators, including Tesco and Centra, together with a range of smaller convenience stores and neighbourhood services. Additional retail and service provision is available within Rathcoole Shopping Centre, which </w:t>
      </w:r>
      <w:r w:rsidR="00941876">
        <w:t>hosts</w:t>
      </w:r>
      <w:r>
        <w:t xml:space="preserve"> local businesses and convenience retail units. The village centre also supports hair and beauty salons, </w:t>
      </w:r>
      <w:r w:rsidR="00CA08B9">
        <w:t>Paddy Powers</w:t>
      </w:r>
      <w:r>
        <w:t>, cafés, restaurants</w:t>
      </w:r>
      <w:r w:rsidR="00AD3736">
        <w:t xml:space="preserve"> and takeaways</w:t>
      </w:r>
      <w:r>
        <w:t xml:space="preserve">, </w:t>
      </w:r>
      <w:r w:rsidR="00AD3736">
        <w:t>pubs and a Bank of Ireland</w:t>
      </w:r>
      <w:r>
        <w:t>.</w:t>
      </w:r>
    </w:p>
    <w:p w14:paraId="4CCFE120" w14:textId="52A20518" w:rsidR="00F06D36" w:rsidRDefault="00B13899" w:rsidP="00F06D36">
      <w:pPr>
        <w:pStyle w:val="BodyText"/>
      </w:pPr>
      <w:r>
        <w:t>Avoca Rathcoole</w:t>
      </w:r>
      <w:r w:rsidR="00E472BA">
        <w:t xml:space="preserve"> is situated to the northeast of the town</w:t>
      </w:r>
      <w:r w:rsidR="002F12BA">
        <w:t xml:space="preserve"> adjacent the N7. </w:t>
      </w:r>
      <w:r w:rsidR="002F12BA" w:rsidRPr="002F12BA">
        <w:t xml:space="preserve">Avoca provides a range of retail, food and hospitality services including a </w:t>
      </w:r>
      <w:r w:rsidR="002F12BA">
        <w:t>clothing a goods</w:t>
      </w:r>
      <w:r w:rsidR="002F12BA" w:rsidRPr="002F12BA">
        <w:t xml:space="preserve"> store, food market, café and restaurant facilities. The destination attracts visitors from across South Dublin and the wider Dublin Region and represents a significant retail and employment asset within the local area.</w:t>
      </w:r>
    </w:p>
    <w:p w14:paraId="5DFC7126" w14:textId="26999F6F" w:rsidR="00F06D36" w:rsidRDefault="00F06D36" w:rsidP="00F06D36">
      <w:pPr>
        <w:pStyle w:val="BodyText"/>
      </w:pPr>
      <w:r>
        <w:t xml:space="preserve">For </w:t>
      </w:r>
      <w:r w:rsidR="00F46294">
        <w:t>additional</w:t>
      </w:r>
      <w:r>
        <w:t xml:space="preserve"> shopping and larger retail facilities, residents have access to a number of major retail destinations within the wider area, including Citywest Shopping Centre and The Square Shopping Centre in Tallaght. Additional retail, leisure and commercial opportunities are available throughout the wider Dublin metropolitan area, including Liffey Valley Shopping Centre and Dublin City Centre.</w:t>
      </w:r>
    </w:p>
    <w:p w14:paraId="40311029" w14:textId="1E080C62" w:rsidR="00F06D36" w:rsidRPr="00F06D36" w:rsidRDefault="00F06D36" w:rsidP="00F06D36">
      <w:pPr>
        <w:pStyle w:val="BodyText"/>
      </w:pPr>
      <w:r>
        <w:t>Given the established retail offer within Rathcoole and the accessibility of larger retail centres nearby, it is considered that the settlement is well positioned to accommodate future population growth while continuing to provide an appropriate range of retail and commercial services for residents.</w:t>
      </w:r>
    </w:p>
    <w:p w14:paraId="2FAADABD" w14:textId="79CAB530" w:rsidR="003A5ACA" w:rsidRDefault="004A7A11" w:rsidP="004B509F">
      <w:pPr>
        <w:pStyle w:val="Heading2"/>
      </w:pPr>
      <w:bookmarkStart w:id="82" w:name="_Toc233122768"/>
      <w:r>
        <w:t>Potential Impacts</w:t>
      </w:r>
      <w:bookmarkEnd w:id="82"/>
    </w:p>
    <w:p w14:paraId="1A64C8E6" w14:textId="4A2EC011" w:rsidR="00906DB7" w:rsidRDefault="00906DB7" w:rsidP="00906DB7">
      <w:pPr>
        <w:pStyle w:val="BodyText"/>
      </w:pPr>
      <w:r>
        <w:t xml:space="preserve">This section provides assessment of all the potential direct and indirect significant effects impacts of the </w:t>
      </w:r>
      <w:r w:rsidR="00C2653D">
        <w:t>proposed development</w:t>
      </w:r>
      <w:r>
        <w:t xml:space="preserve"> on population and human health. In accordance with the EPA guidelines, the assessment of impacts on population and human health refer to the assessment of those factors under which human health effects might occur, this is also as addressed elsewhere in this EIAR e.g. under the environmental factors of air, water, soil etc.</w:t>
      </w:r>
    </w:p>
    <w:p w14:paraId="5459FEF6" w14:textId="65612808" w:rsidR="00906DB7" w:rsidRPr="00906DB7" w:rsidRDefault="00906DB7" w:rsidP="00906DB7">
      <w:pPr>
        <w:pStyle w:val="BodyText"/>
      </w:pPr>
      <w:r>
        <w:t>The analysis comprises a study of the key assessment themes as well as consideration of the construction phase, with a conclusion reached in relation to the proposed development on the baseline characteristics as described above. The characteristics of this impact assessment are defined below, as per the Guidelines on Information to be contained in Environmental Impact Assessment Reports (EPA. 20</w:t>
      </w:r>
      <w:r w:rsidR="00361FDB">
        <w:t>22</w:t>
      </w:r>
      <w:r>
        <w:t>) and European Commission, Environmental Impact Assessment of Projects Guidance on the preparation of the Environmental Impact Assessment (2017)</w:t>
      </w:r>
      <w:r w:rsidR="00361FDB">
        <w:t>.</w:t>
      </w:r>
    </w:p>
    <w:p w14:paraId="6DBC9318" w14:textId="039631D2" w:rsidR="004252AD" w:rsidRDefault="004252AD" w:rsidP="003013D2">
      <w:pPr>
        <w:pStyle w:val="Heading3"/>
      </w:pPr>
      <w:bookmarkStart w:id="83" w:name="_Toc233122769"/>
      <w:r>
        <w:t>Human Health</w:t>
      </w:r>
    </w:p>
    <w:p w14:paraId="34A6DF37" w14:textId="70171973" w:rsidR="004252AD" w:rsidRDefault="003A2FB5" w:rsidP="003A2FB5">
      <w:pPr>
        <w:pStyle w:val="Heading4"/>
      </w:pPr>
      <w:r>
        <w:t>Construction Phase</w:t>
      </w:r>
    </w:p>
    <w:p w14:paraId="631FB0B9" w14:textId="6C4E35A7" w:rsidR="003774B9" w:rsidRDefault="003774B9" w:rsidP="003774B9">
      <w:pPr>
        <w:pStyle w:val="BodyText"/>
      </w:pPr>
      <w:r>
        <w:t xml:space="preserve">Various elements associated with the construction phase of the proposed development have the potential to impact local ambient air quality, however the potential construction phase impacts shall be mitigated as detailed in </w:t>
      </w:r>
      <w:r w:rsidR="009975D4">
        <w:t>Chapter 9</w:t>
      </w:r>
      <w:r>
        <w:t xml:space="preserve"> </w:t>
      </w:r>
      <w:r w:rsidR="001B5C2B">
        <w:t xml:space="preserve">- </w:t>
      </w:r>
      <w:r>
        <w:t>Air Quality and Climate. The proposed construction works associated with the development proposed in this planning application is expected to take c</w:t>
      </w:r>
      <w:r w:rsidR="00AE1C15">
        <w:t xml:space="preserve">. </w:t>
      </w:r>
      <w:r w:rsidR="00A33A44">
        <w:t>two</w:t>
      </w:r>
      <w:r>
        <w:t xml:space="preserve"> years to complete. </w:t>
      </w:r>
    </w:p>
    <w:p w14:paraId="51CBA151" w14:textId="77777777" w:rsidR="003774B9" w:rsidRDefault="003774B9" w:rsidP="003774B9">
      <w:pPr>
        <w:pStyle w:val="BodyText"/>
      </w:pPr>
      <w:r>
        <w:t xml:space="preserve">Potential air quality impacts during Construction can occur as a result of the following areas: </w:t>
      </w:r>
    </w:p>
    <w:p w14:paraId="0BF880C9" w14:textId="27D44F13" w:rsidR="003774B9" w:rsidRDefault="003774B9" w:rsidP="000C3CC6">
      <w:pPr>
        <w:pStyle w:val="ListBullet"/>
      </w:pPr>
      <w:r>
        <w:t xml:space="preserve">Dust emissions associated with excavations </w:t>
      </w:r>
    </w:p>
    <w:p w14:paraId="5771691F" w14:textId="51E981CD" w:rsidR="003774B9" w:rsidRDefault="003774B9" w:rsidP="000C3CC6">
      <w:pPr>
        <w:pStyle w:val="ListBullet"/>
      </w:pPr>
      <w:r>
        <w:t xml:space="preserve">Construction transport emissions </w:t>
      </w:r>
    </w:p>
    <w:p w14:paraId="34DABCC1" w14:textId="1C513B05" w:rsidR="003774B9" w:rsidRDefault="003774B9" w:rsidP="000C3CC6">
      <w:pPr>
        <w:pStyle w:val="ListBullet"/>
      </w:pPr>
      <w:r>
        <w:t xml:space="preserve">Aspergillus emissions from excavation and earthmoving activity  </w:t>
      </w:r>
    </w:p>
    <w:p w14:paraId="46880092" w14:textId="77777777" w:rsidR="003774B9" w:rsidRDefault="003774B9" w:rsidP="003774B9">
      <w:pPr>
        <w:pStyle w:val="BodyText"/>
      </w:pPr>
      <w:r>
        <w:lastRenderedPageBreak/>
        <w:t>The potential air quality impacts during Construction are summarised as follows,</w:t>
      </w:r>
    </w:p>
    <w:p w14:paraId="6A8AAD50" w14:textId="5BE7863C" w:rsidR="003774B9" w:rsidRDefault="003774B9" w:rsidP="000C3CC6">
      <w:pPr>
        <w:pStyle w:val="ListBullet"/>
      </w:pPr>
      <w:r>
        <w:t>The setting up of the site shall involve the construction of site security hoarding and site compounds, site offices, materials and waste storage areas and staff welfare facilities. These temporary activities will have a minimal potential to generate fugitive dust emissions or combustion gas emissions.</w:t>
      </w:r>
    </w:p>
    <w:p w14:paraId="6527D2D1" w14:textId="68BE7C21" w:rsidR="003774B9" w:rsidRDefault="003774B9" w:rsidP="000C3CC6">
      <w:pPr>
        <w:pStyle w:val="ListBullet"/>
      </w:pPr>
      <w:r>
        <w:t>Site clearance</w:t>
      </w:r>
      <w:r w:rsidR="00A33A44">
        <w:t xml:space="preserve"> </w:t>
      </w:r>
      <w:r>
        <w:t>and ground excavation works will be undertaken in separate phases and these activities have the potential to generate fugitive windblown dust emissions rising from the operation of mechanical plant such as excavators and tipper trucks and the movement of these vehicles on exposed surfaces at the site.</w:t>
      </w:r>
    </w:p>
    <w:p w14:paraId="43CF8653" w14:textId="694B2458" w:rsidR="003774B9" w:rsidRDefault="003774B9" w:rsidP="000C3CC6">
      <w:pPr>
        <w:pStyle w:val="ListBullet"/>
      </w:pPr>
      <w:r>
        <w:t xml:space="preserve">With regard to the volume of waste material (sub soils) generated during site clearance, there will be a requirement for HGV trucks to remove the material from the site. </w:t>
      </w:r>
    </w:p>
    <w:p w14:paraId="0B60F54C" w14:textId="21059C28" w:rsidR="003774B9" w:rsidRDefault="003774B9" w:rsidP="000C3CC6">
      <w:pPr>
        <w:pStyle w:val="ListBullet"/>
      </w:pPr>
      <w:r>
        <w:t xml:space="preserve">The movements of construction vehicles on the site shall also generate windblown dust emissions. </w:t>
      </w:r>
    </w:p>
    <w:p w14:paraId="21AF219A" w14:textId="22FE22A3" w:rsidR="003774B9" w:rsidRDefault="003774B9" w:rsidP="000C3CC6">
      <w:pPr>
        <w:pStyle w:val="ListBullet"/>
      </w:pPr>
      <w:r>
        <w:t>During the construction phase CO2 will be released into the atmosphere as a result of the movement of construction vehicles and the use of construction plant including generators and cranes.</w:t>
      </w:r>
    </w:p>
    <w:p w14:paraId="56A8E53D" w14:textId="7371A7C7" w:rsidR="003774B9" w:rsidRDefault="003774B9" w:rsidP="000C3CC6">
      <w:pPr>
        <w:pStyle w:val="ListBullet"/>
      </w:pPr>
      <w:r>
        <w:t>Construction equipment including generators and compressors will also give rise to diesel and petrol engine exhaust emissions.</w:t>
      </w:r>
    </w:p>
    <w:p w14:paraId="5724BA4A" w14:textId="7042FCFF" w:rsidR="00C36A16" w:rsidRDefault="00C36A16" w:rsidP="000C3CC6">
      <w:pPr>
        <w:pStyle w:val="ListBullet"/>
      </w:pPr>
      <w:r w:rsidRPr="00C36A16">
        <w:t>Dust emissions from the construction phase of the proposed development have the potential to impact human health through the release of PM</w:t>
      </w:r>
      <w:r w:rsidRPr="00C36A16">
        <w:rPr>
          <w:rFonts w:ascii="Cambria Math" w:hAnsi="Cambria Math" w:cs="Cambria Math"/>
        </w:rPr>
        <w:t>₁₀</w:t>
      </w:r>
      <w:r w:rsidRPr="00C36A16">
        <w:t xml:space="preserve"> and PM</w:t>
      </w:r>
      <w:r w:rsidRPr="00C36A16">
        <w:rPr>
          <w:rFonts w:ascii="Cambria Math" w:hAnsi="Cambria Math" w:cs="Cambria Math"/>
        </w:rPr>
        <w:t>₂</w:t>
      </w:r>
      <w:r w:rsidRPr="00C36A16">
        <w:t>.</w:t>
      </w:r>
      <w:r w:rsidRPr="00C36A16">
        <w:rPr>
          <w:rFonts w:ascii="Cambria Math" w:hAnsi="Cambria Math" w:cs="Cambria Math"/>
        </w:rPr>
        <w:t>₅</w:t>
      </w:r>
      <w:r w:rsidRPr="00C36A16">
        <w:t xml:space="preserve"> emissions. As set out in Chapter 9 </w:t>
      </w:r>
      <w:r>
        <w:t xml:space="preserve">- </w:t>
      </w:r>
      <w:r w:rsidRPr="00C36A16">
        <w:t>Air Quality, the construction dust assessment considered human receptors within 250m of the site boundary and within 50m of the routes used by construction vehicles. While residential properties on Greenogue Drive, Mullally's Lane, Coolamber Road, Coolamber Drive and Beechwood Lawns are located in proximity to the site, the sensitivity of the area to human health effects is low</w:t>
      </w:r>
      <w:r w:rsidR="00F30A50">
        <w:t>.</w:t>
      </w:r>
      <w:r w:rsidRPr="00C36A16">
        <w:t xml:space="preserve"> The risk of human health impacts was assessed as low during earthworks and construction works and negligible during trackout. With the implementation of the dust control measures set out in Chapter 9, residual effects on human health as a result of construction dust and PM</w:t>
      </w:r>
      <w:r w:rsidRPr="00C36A16">
        <w:rPr>
          <w:rFonts w:ascii="Cambria Math" w:hAnsi="Cambria Math" w:cs="Cambria Math"/>
        </w:rPr>
        <w:t>₁₀</w:t>
      </w:r>
      <w:r w:rsidRPr="00C36A16">
        <w:t xml:space="preserve"> emissions will be negligible and not significant.</w:t>
      </w:r>
    </w:p>
    <w:p w14:paraId="002D2CE0" w14:textId="7BFF5338" w:rsidR="003774B9" w:rsidRDefault="003774B9" w:rsidP="003774B9">
      <w:pPr>
        <w:pStyle w:val="BodyText"/>
      </w:pPr>
      <w:r>
        <w:t xml:space="preserve">In relation to human health the overall impact in terms of noise and vibration can be summarised as follows. Review of the predicted noise levels at these locations are </w:t>
      </w:r>
      <w:r w:rsidR="00272D18" w:rsidRPr="000C3CC6">
        <w:rPr>
          <w:highlight w:val="yellow"/>
        </w:rPr>
        <w:t>[</w:t>
      </w:r>
      <w:r w:rsidR="00884492" w:rsidRPr="00884492">
        <w:rPr>
          <w:b/>
          <w:bCs/>
          <w:color w:val="FF0000"/>
          <w:highlight w:val="yellow"/>
        </w:rPr>
        <w:t xml:space="preserve">HOLD - </w:t>
      </w:r>
      <w:r w:rsidR="00272D18" w:rsidRPr="00884492">
        <w:rPr>
          <w:b/>
          <w:bCs/>
          <w:color w:val="FF0000"/>
          <w:highlight w:val="yellow"/>
        </w:rPr>
        <w:t>insert information from Chapter 13 Noise and Vibration</w:t>
      </w:r>
      <w:r w:rsidR="006579B6">
        <w:rPr>
          <w:b/>
          <w:bCs/>
          <w:color w:val="FF0000"/>
          <w:highlight w:val="yellow"/>
        </w:rPr>
        <w:t xml:space="preserve">. </w:t>
      </w:r>
      <w:r w:rsidR="006579B6">
        <w:rPr>
          <w:b/>
          <w:bCs/>
          <w:color w:val="FF0000"/>
        </w:rPr>
        <w:t>A</w:t>
      </w:r>
      <w:r w:rsidR="006579B6" w:rsidRPr="006579B6">
        <w:rPr>
          <w:b/>
          <w:bCs/>
          <w:color w:val="FF0000"/>
        </w:rPr>
        <w:t>bove the criteria at which a significant impact is deemed to occur (65dB LAeq,T) and therefore, in the absence of noise mitigation, a negative,  significant and short-term impact is likely. At greater distances (property greater than 100m for the proposed site) predicted construction noise levels are lower for site preparation, demolition, general construction, and road works/Landscaping, therefore any impact is expected to be negative, moderate, and short-term. It is predicted that the mitigation measures proposed will ensure that the noise impacts are kept to a minimum.</w:t>
      </w:r>
      <w:r w:rsidR="00272D18" w:rsidRPr="006579B6">
        <w:rPr>
          <w:b/>
          <w:bCs/>
          <w:color w:val="FF0000"/>
        </w:rPr>
        <w:t>].</w:t>
      </w:r>
    </w:p>
    <w:p w14:paraId="329E605C" w14:textId="49A016BB" w:rsidR="00B25FEA" w:rsidRDefault="00B25FEA" w:rsidP="00B25FEA">
      <w:pPr>
        <w:pStyle w:val="Heading4"/>
      </w:pPr>
      <w:r>
        <w:t>Operational Phase</w:t>
      </w:r>
    </w:p>
    <w:p w14:paraId="76489F80" w14:textId="77777777" w:rsidR="00B25FEA" w:rsidRDefault="00B25FEA" w:rsidP="00B25FEA">
      <w:r>
        <w:t xml:space="preserve">The only predicted air quality impacts associated with operation of the development are emissions to atmosphere from traffic associated with the development. </w:t>
      </w:r>
    </w:p>
    <w:p w14:paraId="6244380B" w14:textId="77777777" w:rsidR="00B25FEA" w:rsidRDefault="00B25FEA" w:rsidP="00B25FEA"/>
    <w:p w14:paraId="4370E409" w14:textId="4C34966C" w:rsidR="00B25FEA" w:rsidRDefault="003338AE" w:rsidP="00B25FEA">
      <w:r w:rsidRPr="003338AE">
        <w:t xml:space="preserve">The only predicted air quality impacts associated with the operation of the development are emissions to atmosphere from traffic associated with the development. As set out in Chapter 9 </w:t>
      </w:r>
      <w:r>
        <w:t xml:space="preserve">- </w:t>
      </w:r>
      <w:r w:rsidRPr="003338AE">
        <w:t>Air Quality, annual mean NO</w:t>
      </w:r>
      <w:r w:rsidRPr="003338AE">
        <w:rPr>
          <w:rFonts w:ascii="Cambria Math" w:hAnsi="Cambria Math" w:cs="Cambria Math"/>
        </w:rPr>
        <w:t>₂</w:t>
      </w:r>
      <w:r w:rsidRPr="003338AE">
        <w:t>, PM</w:t>
      </w:r>
      <w:r w:rsidRPr="003338AE">
        <w:rPr>
          <w:rFonts w:ascii="Cambria Math" w:hAnsi="Cambria Math" w:cs="Cambria Math"/>
        </w:rPr>
        <w:t>₁₀</w:t>
      </w:r>
      <w:r w:rsidRPr="003338AE">
        <w:t xml:space="preserve"> and PM</w:t>
      </w:r>
      <w:r w:rsidRPr="003338AE">
        <w:rPr>
          <w:rFonts w:ascii="Cambria Math" w:hAnsi="Cambria Math" w:cs="Cambria Math"/>
        </w:rPr>
        <w:t>₂</w:t>
      </w:r>
      <w:r w:rsidRPr="003338AE">
        <w:t>.</w:t>
      </w:r>
      <w:r w:rsidRPr="003338AE">
        <w:rPr>
          <w:rFonts w:ascii="Cambria Math" w:hAnsi="Cambria Math" w:cs="Cambria Math"/>
        </w:rPr>
        <w:t>₅</w:t>
      </w:r>
      <w:r w:rsidRPr="003338AE">
        <w:t xml:space="preserve"> concentrations were predicted at worst-case sensitive receptors for the 2029 opening year. All receptors are predicted to experience concentrations below the relevant air quality limit values, with the largest predicted change in any pollutant concentration being 0.2 </w:t>
      </w:r>
      <w:r w:rsidRPr="003338AE">
        <w:rPr>
          <w:rFonts w:ascii="Arial" w:hAnsi="Arial" w:cs="Arial"/>
        </w:rPr>
        <w:t>µ</w:t>
      </w:r>
      <w:r w:rsidRPr="003338AE">
        <w:t>g/m</w:t>
      </w:r>
      <w:r w:rsidRPr="003338AE">
        <w:rPr>
          <w:rFonts w:ascii="Arial" w:hAnsi="Arial" w:cs="Arial"/>
        </w:rPr>
        <w:t>³</w:t>
      </w:r>
      <w:r w:rsidRPr="003338AE">
        <w:t xml:space="preserve"> (annual mean PM</w:t>
      </w:r>
      <w:r w:rsidRPr="003338AE">
        <w:rPr>
          <w:rFonts w:ascii="Cambria Math" w:hAnsi="Cambria Math" w:cs="Cambria Math"/>
        </w:rPr>
        <w:t>₁₀</w:t>
      </w:r>
      <w:r w:rsidRPr="003338AE">
        <w:t xml:space="preserve">). A worst-case receptor located on the site boundary is also predicted to experience concentrations well below the limit values, confirming that the proposed development does not introduce future residents to an area of poor air quality. The effects of the proposed development on local air quality, and </w:t>
      </w:r>
      <w:r w:rsidR="00DA7EBA">
        <w:t>therefore</w:t>
      </w:r>
      <w:r w:rsidRPr="003338AE">
        <w:t xml:space="preserve"> on human health, are considered to be neutral and not significant, and no operational phase mitigation is required.</w:t>
      </w:r>
    </w:p>
    <w:p w14:paraId="6647A9E6" w14:textId="77777777" w:rsidR="003338AE" w:rsidRDefault="003338AE" w:rsidP="00B25FEA"/>
    <w:p w14:paraId="56A79FA8" w14:textId="77777777" w:rsidR="00B25FEA" w:rsidRDefault="00B25FEA" w:rsidP="00B25FEA">
      <w:r>
        <w:t>The operational phase of the development has the potential to generate additional traffic on the roads in the vicinity of the local area. These additional vehicle movements have been considered in combination with those that will be generated by neighbouring developments. This is detailed in the traffic assessment for the operational phase of the potential impact section. The cumulative impact of the proposed development in combination with neighbouring developments has been determined as imperceptible and long term.</w:t>
      </w:r>
    </w:p>
    <w:p w14:paraId="3CB52BA8" w14:textId="77777777" w:rsidR="00B25FEA" w:rsidRDefault="00B25FEA" w:rsidP="00B25FEA"/>
    <w:p w14:paraId="17E6781D" w14:textId="6D9D314E" w:rsidR="00B25FEA" w:rsidRPr="00B25FEA" w:rsidRDefault="00B25FEA" w:rsidP="000C3CC6">
      <w:r>
        <w:lastRenderedPageBreak/>
        <w:t xml:space="preserve">In summary there is the potential for effects on human health once operational. As set out in further detail within </w:t>
      </w:r>
      <w:r w:rsidR="009975D4">
        <w:t>Chapter 9</w:t>
      </w:r>
      <w:r>
        <w:t xml:space="preserve"> this is considered to be </w:t>
      </w:r>
      <w:r w:rsidR="00F71DE9">
        <w:t>neutral and not significant</w:t>
      </w:r>
      <w:r>
        <w:t xml:space="preserve"> in terms of Air Quality and </w:t>
      </w:r>
      <w:r w:rsidRPr="000C3CC6">
        <w:rPr>
          <w:highlight w:val="yellow"/>
        </w:rPr>
        <w:t>i</w:t>
      </w:r>
      <w:r w:rsidR="00F71DE9" w:rsidRPr="000C3CC6">
        <w:rPr>
          <w:highlight w:val="yellow"/>
        </w:rPr>
        <w:t>[insert conclusion]</w:t>
      </w:r>
      <w:r>
        <w:t xml:space="preserve"> in terms of climate impacts. In regard to noise, while a long term effect is possible as a result of an increase in traffic is considered to be a imperceptible and long term.</w:t>
      </w:r>
    </w:p>
    <w:p w14:paraId="44AF4A23" w14:textId="39578B86" w:rsidR="00D0350C" w:rsidRDefault="00D0350C" w:rsidP="003013D2">
      <w:pPr>
        <w:pStyle w:val="Heading3"/>
      </w:pPr>
      <w:r>
        <w:t>Population</w:t>
      </w:r>
    </w:p>
    <w:p w14:paraId="6A3533D9" w14:textId="0D00E047" w:rsidR="00D0350C" w:rsidRDefault="005C013C" w:rsidP="005C013C">
      <w:pPr>
        <w:pStyle w:val="Heading4"/>
      </w:pPr>
      <w:r>
        <w:t>Construction Phase</w:t>
      </w:r>
    </w:p>
    <w:p w14:paraId="16B56619" w14:textId="01486EB0" w:rsidR="005C013C" w:rsidRDefault="00981269" w:rsidP="005C013C">
      <w:pPr>
        <w:pStyle w:val="BodyText"/>
      </w:pPr>
      <w:r w:rsidRPr="00981269">
        <w:t>The construction phase will generate increased employment and capital spend on materials and services, which will benefit the local economy. The effect on Population will be moderate, positive and short-term.</w:t>
      </w:r>
    </w:p>
    <w:p w14:paraId="2EE4E1BF" w14:textId="08DBA426" w:rsidR="00981269" w:rsidRDefault="00981269" w:rsidP="00981269">
      <w:pPr>
        <w:pStyle w:val="Heading4"/>
      </w:pPr>
      <w:r>
        <w:t>Operational Phase</w:t>
      </w:r>
    </w:p>
    <w:p w14:paraId="3D035838" w14:textId="74C44630" w:rsidR="00987E0D" w:rsidRDefault="00987E0D" w:rsidP="00987E0D">
      <w:r>
        <w:t>The proposed development will comprise 130 no. units. The average household size recorded by the Census 2022 was 2.9</w:t>
      </w:r>
      <w:r w:rsidR="006B50EB">
        <w:t>6</w:t>
      </w:r>
      <w:r>
        <w:t xml:space="preserve"> persons per household for the Rathcoole Study area. This generates an indicative population of c. </w:t>
      </w:r>
      <w:r w:rsidR="00E30236">
        <w:t>38</w:t>
      </w:r>
      <w:r w:rsidR="003F6D88">
        <w:t>5</w:t>
      </w:r>
      <w:r>
        <w:t xml:space="preserve"> persons when applied to the proposed scheme.  </w:t>
      </w:r>
    </w:p>
    <w:p w14:paraId="152DD4DF" w14:textId="77777777" w:rsidR="006B50EB" w:rsidRDefault="006B50EB" w:rsidP="00987E0D"/>
    <w:p w14:paraId="445C34D6" w14:textId="77777777" w:rsidR="00987E0D" w:rsidRDefault="00987E0D" w:rsidP="00987E0D">
      <w:r>
        <w:t xml:space="preserve">In line with the Guidelines on Design Standards for New Apartments (2022), which states. </w:t>
      </w:r>
    </w:p>
    <w:p w14:paraId="6713F5E2" w14:textId="77777777" w:rsidR="00B062B2" w:rsidRDefault="00B062B2" w:rsidP="00987E0D"/>
    <w:p w14:paraId="2063BD14" w14:textId="77777777" w:rsidR="00987E0D" w:rsidRPr="000C3CC6" w:rsidRDefault="00987E0D" w:rsidP="000C3CC6">
      <w:pPr>
        <w:ind w:left="284"/>
        <w:rPr>
          <w:i/>
          <w:iCs/>
        </w:rPr>
      </w:pPr>
      <w:r w:rsidRPr="000C3CC6">
        <w:rPr>
          <w:i/>
          <w:iCs/>
        </w:rPr>
        <w:t xml:space="preserve">“one bedroom or studio units should not general be considered to contribute to a requirement for any childcare provision and subject to location, this may apply in part or whole, to units with two or more bedrooms.” </w:t>
      </w:r>
    </w:p>
    <w:p w14:paraId="2D5958BF" w14:textId="7590E303" w:rsidR="00987E0D" w:rsidRPr="002C4904" w:rsidRDefault="00987E0D" w:rsidP="00987E0D">
      <w:r w:rsidRPr="002C4904">
        <w:t xml:space="preserve">Therefore, all the one-bedroom units </w:t>
      </w:r>
      <w:r w:rsidR="00112D1B" w:rsidRPr="002C4904">
        <w:t xml:space="preserve">and age friendly </w:t>
      </w:r>
      <w:r w:rsidRPr="002C4904">
        <w:t>within the proposed scheme have been deducted in the estimation of families with children expected to be residing within the development. Hence, it is assumed that 9</w:t>
      </w:r>
      <w:r w:rsidR="00112D1B" w:rsidRPr="002C4904">
        <w:t>4</w:t>
      </w:r>
      <w:r w:rsidRPr="002C4904">
        <w:t xml:space="preserve"> no. two, three and four bedroom units are proposed, which can reasonably accommodate families. </w:t>
      </w:r>
    </w:p>
    <w:p w14:paraId="24D935C3" w14:textId="77777777" w:rsidR="00112D1B" w:rsidRPr="00F53BF6" w:rsidRDefault="00112D1B" w:rsidP="00987E0D"/>
    <w:p w14:paraId="5CA677FD" w14:textId="77777777" w:rsidR="00950F65" w:rsidRPr="00D53BBB" w:rsidRDefault="001B795D" w:rsidP="00987E0D">
      <w:r w:rsidRPr="00F53BF6">
        <w:t>Taking the average household size of 2.96 persons within the Study Area, the 94 no. appropriate two bedroom and larger units proposed could generate an indicative population of c.2</w:t>
      </w:r>
      <w:r w:rsidR="00CB5778" w:rsidRPr="00F53BF6">
        <w:t>78</w:t>
      </w:r>
      <w:r w:rsidRPr="00F53BF6">
        <w:t xml:space="preserve"> no. persons. On </w:t>
      </w:r>
      <w:r w:rsidR="00BF3B19" w:rsidRPr="00F53BF6">
        <w:t xml:space="preserve">basis of Plate 5-3, </w:t>
      </w:r>
      <w:r w:rsidRPr="00F53BF6">
        <w:t>31.</w:t>
      </w:r>
      <w:r w:rsidR="00BF3B19" w:rsidRPr="00F53BF6">
        <w:t xml:space="preserve">5 </w:t>
      </w:r>
      <w:r w:rsidRPr="00F53BF6">
        <w:t xml:space="preserve">% is aged between 0 and 19 years, which would translate to c.88 no. persons within this </w:t>
      </w:r>
      <w:r w:rsidRPr="00D53BBB">
        <w:t xml:space="preserve">development. </w:t>
      </w:r>
    </w:p>
    <w:p w14:paraId="429B28BF" w14:textId="77777777" w:rsidR="00950F65" w:rsidRPr="00D53BBB" w:rsidRDefault="00950F65" w:rsidP="00987E0D"/>
    <w:p w14:paraId="577A4F6D" w14:textId="3905E074" w:rsidR="00987E0D" w:rsidRPr="00D53BBB" w:rsidRDefault="00987E0D" w:rsidP="00987E0D">
      <w:r w:rsidRPr="00D53BBB">
        <w:t xml:space="preserve">An examination of the total number of children of primary and post primary age groups that are expected to reside within the development has been undertaken. This is determined on the basis of the total proportion of children under this age cohort residing within the study area as per the Census 2022. </w:t>
      </w:r>
      <w:r w:rsidR="00FB23D9" w:rsidRPr="000C3CC6">
        <w:t>On this basis, of the indicative c.88 no. children, an estimated 25 no. would constitute pre-school aged children (0–4 years), 39 no. would constitute primary school aged children (5–12 years) and 24 no. would constitute post-primary school aged children (13–19 years). This has been estimated on the basis of the age cohorts and their subsequent composition within the study area.</w:t>
      </w:r>
    </w:p>
    <w:p w14:paraId="1408DDF7" w14:textId="77777777" w:rsidR="00232719" w:rsidRPr="00D53BBB" w:rsidRDefault="00232719" w:rsidP="00987E0D"/>
    <w:p w14:paraId="77E5D94D" w14:textId="44B7EFBD" w:rsidR="00987E0D" w:rsidRPr="00D53BBB" w:rsidRDefault="00987E0D" w:rsidP="000C3CC6">
      <w:r w:rsidRPr="00D53BBB">
        <w:t xml:space="preserve">The SIA has demonstrated that sufficient capacity exists within the existing services and amenities to cater for the demand generated from the proposed development. It is considered that there is sufficient capacity in the study area to cater for the demand generated by the proposed development. In terms of Population, any impact on of social infrastructure in </w:t>
      </w:r>
      <w:r w:rsidR="006E17B6" w:rsidRPr="00D53BBB">
        <w:t>Rathcoole</w:t>
      </w:r>
      <w:r w:rsidRPr="00D53BBB">
        <w:t xml:space="preserve"> would be imperceptible and there would be a neutral to slight positive long-term impact on the Population in terms of addressing education (pre-school) and community needs.</w:t>
      </w:r>
    </w:p>
    <w:p w14:paraId="57B6F512" w14:textId="57FDB20E" w:rsidR="00D953D4" w:rsidRPr="00D53BBB" w:rsidRDefault="00D953D4" w:rsidP="003013D2">
      <w:pPr>
        <w:pStyle w:val="Heading3"/>
      </w:pPr>
      <w:r w:rsidRPr="00D53BBB">
        <w:t>Social Patterns</w:t>
      </w:r>
    </w:p>
    <w:p w14:paraId="0400A892" w14:textId="27F38BDE" w:rsidR="00D953D4" w:rsidRDefault="00D953D4" w:rsidP="00D953D4">
      <w:pPr>
        <w:pStyle w:val="Heading4"/>
      </w:pPr>
      <w:r>
        <w:t>Construction Phase</w:t>
      </w:r>
    </w:p>
    <w:p w14:paraId="5B2E5E65" w14:textId="77777777" w:rsidR="00E80C67" w:rsidRDefault="00E80C67" w:rsidP="00E80C67">
      <w:pPr>
        <w:pStyle w:val="BodyText"/>
      </w:pPr>
      <w:r>
        <w:t>The construction phase of the project is unlikely to have any significant impact on social patterns within the surrounding area. Some temporary additional local populations may arise out of construction activities. However, these impacts are imperceptible, temporary in nature and therefore not considered significant.</w:t>
      </w:r>
    </w:p>
    <w:p w14:paraId="1CE838A3" w14:textId="76BF54C3" w:rsidR="00E80C67" w:rsidRDefault="00E80C67" w:rsidP="00E80C67">
      <w:pPr>
        <w:pStyle w:val="BodyText"/>
      </w:pPr>
      <w:r>
        <w:t xml:space="preserve">It is acknowledged that the construction phase of the project may have some short-term negative impacts on local residents. Such impacts are likely to be associated with construction traffic and possible nuisances associated with construction access requirements. These impacts are dealt with separately and assessed elsewhere in in the EIAR </w:t>
      </w:r>
      <w:r w:rsidR="009975D4">
        <w:t>Chapter 9</w:t>
      </w:r>
      <w:r>
        <w:t xml:space="preserve"> - Air Quality and Climate and Chapter 13 - Noise and Vibration and also in </w:t>
      </w:r>
      <w:r w:rsidR="000E290E">
        <w:t>Chapter 1</w:t>
      </w:r>
      <w:r w:rsidR="00AB0F1B">
        <w:t>4</w:t>
      </w:r>
      <w:r w:rsidR="000E290E">
        <w:t xml:space="preserve"> – Material Assets (Transport)</w:t>
      </w:r>
      <w:r>
        <w:t>.</w:t>
      </w:r>
      <w:r w:rsidR="00125336">
        <w:t xml:space="preserve"> </w:t>
      </w:r>
      <w:r w:rsidR="00125336" w:rsidRPr="00125336">
        <w:rPr>
          <w:b/>
          <w:bCs/>
          <w:color w:val="FF0000"/>
        </w:rPr>
        <w:t>[HOLD, waiting for those chapters]</w:t>
      </w:r>
    </w:p>
    <w:p w14:paraId="61D2A279" w14:textId="13D186EE" w:rsidR="00E80C67" w:rsidRDefault="00E80C67" w:rsidP="00E80C67">
      <w:pPr>
        <w:pStyle w:val="BodyText"/>
      </w:pPr>
      <w:r>
        <w:t xml:space="preserve">Such impacts will be short term and in the longer term, it is considered that the completed scheme will have beneficial impacts for local businesses, residents and the wider community. Any disturbance is predicted to be commensurate with the normal disturbance associated with the construction industry where a site is </w:t>
      </w:r>
      <w:r>
        <w:lastRenderedPageBreak/>
        <w:t>efficiently, sensitively, and properly managed having regard to neighbouring activities. The construction methods employed and the hours of work proposed will be designed to minimise potential impacts to nearby residents. A Construction and Environmental Management Plan is submitted with this planning application. In addition please also see Chapter 2 for detail of construction stage.</w:t>
      </w:r>
    </w:p>
    <w:p w14:paraId="780B264C" w14:textId="09FCB6D6" w:rsidR="00BC70B1" w:rsidRDefault="00BC70B1" w:rsidP="00BC70B1">
      <w:pPr>
        <w:pStyle w:val="Heading4"/>
      </w:pPr>
      <w:r>
        <w:t>Operational Phase</w:t>
      </w:r>
    </w:p>
    <w:p w14:paraId="036820B4" w14:textId="2D2804E8" w:rsidR="007D1FEA" w:rsidRDefault="007D1FEA" w:rsidP="007D1FEA">
      <w:pPr>
        <w:pStyle w:val="BodyText"/>
      </w:pPr>
      <w:r>
        <w:t>The addition of new residents will improve the vibrancy and vitality of the area and will help to support existing community and social infrastructure to further supporting the Town Centre and commercial businesses. As set out within the SIA submitted as a standalone report with the application, there is a good range of existing community and social infrastructure within a 2km radius of the subject site, which the project will be able to avail of. purpose of the SIA is to determine if the Rathcoole area is well served by community related facilities to support the future residents of the proposed development</w:t>
      </w:r>
    </w:p>
    <w:p w14:paraId="4CBB3B08" w14:textId="3C97B28C" w:rsidR="007D1FEA" w:rsidRDefault="007D1FEA" w:rsidP="007D1FEA">
      <w:pPr>
        <w:pStyle w:val="BodyText"/>
      </w:pPr>
      <w:r>
        <w:t xml:space="preserve">The SIA also assesses the potential demand created by the proposed development. The total number of primary school pupils enrolled in the schools currently amounts to </w:t>
      </w:r>
      <w:r w:rsidR="0084722C">
        <w:t>2,</w:t>
      </w:r>
      <w:r w:rsidR="007D5FEB">
        <w:t>533</w:t>
      </w:r>
      <w:r>
        <w:t xml:space="preserve">, with the total number of secondary school pupils amounting to </w:t>
      </w:r>
      <w:r w:rsidR="008E04FA">
        <w:t>2,66</w:t>
      </w:r>
      <w:r w:rsidR="003F68E6">
        <w:t>7</w:t>
      </w:r>
      <w:r>
        <w:t xml:space="preserve">. </w:t>
      </w:r>
      <w:r w:rsidR="005901FC">
        <w:t xml:space="preserve">Planning permission for a new 20 classroom primary school has been approved </w:t>
      </w:r>
      <w:r w:rsidR="00B21DBF">
        <w:t>adjacent</w:t>
      </w:r>
      <w:r w:rsidR="005901FC">
        <w:t xml:space="preserve"> the site</w:t>
      </w:r>
      <w:r w:rsidR="00D13D49">
        <w:t>.</w:t>
      </w:r>
      <w:r w:rsidR="00B21DBF">
        <w:t xml:space="preserve"> </w:t>
      </w:r>
      <w:r w:rsidR="00B73C6C">
        <w:t>The indicative number of primary school aged children generated by the proposed development is 39 and the indicative number of secondary school aged children generated by the proposed development is 24.</w:t>
      </w:r>
      <w:r w:rsidR="000A34B1">
        <w:t xml:space="preserve"> </w:t>
      </w:r>
      <w:r w:rsidR="000A34B1" w:rsidRPr="000A34B1">
        <w:t>Considering the remaining available capacity within accessible primary schools</w:t>
      </w:r>
      <w:r w:rsidR="000A34B1">
        <w:t>,</w:t>
      </w:r>
      <w:r w:rsidR="000A34B1" w:rsidRPr="000A34B1">
        <w:t xml:space="preserve"> Coláiste Pobail Fóla</w:t>
      </w:r>
      <w:r w:rsidR="000A34B1">
        <w:t xml:space="preserve"> and pipeline facilities within the surrounding area</w:t>
      </w:r>
      <w:r w:rsidR="000A34B1" w:rsidRPr="000A34B1">
        <w:t xml:space="preserve">, along with the projected national decrease in secondary school enrolments from 2025 onwards, there is adequate school capacity in Rathcoole to accommodate the demand generated by the proposed development. </w:t>
      </w:r>
    </w:p>
    <w:p w14:paraId="45D4911A" w14:textId="179CB905" w:rsidR="007D1FEA" w:rsidRDefault="007D1FEA" w:rsidP="007D1FEA">
      <w:pPr>
        <w:pStyle w:val="BodyText"/>
      </w:pPr>
      <w:r>
        <w:t xml:space="preserve">It is considered that </w:t>
      </w:r>
      <w:r w:rsidR="003F405A">
        <w:t>Rathcoole</w:t>
      </w:r>
      <w:r>
        <w:t xml:space="preserve"> is accessible to a range leisure facilities including; football/ </w:t>
      </w:r>
      <w:r w:rsidR="00F80EFA">
        <w:t>hurling</w:t>
      </w:r>
      <w:r>
        <w:t xml:space="preserve"> / GAA clubs</w:t>
      </w:r>
      <w:r w:rsidR="008367C5">
        <w:t>, gyms</w:t>
      </w:r>
      <w:r w:rsidR="00A20B0C">
        <w:t xml:space="preserve"> and playground along with </w:t>
      </w:r>
      <w:r>
        <w:t xml:space="preserve">a number of education facilities and a quantum of community facilities located throughout the town centre. As such, the facilities that </w:t>
      </w:r>
      <w:r w:rsidR="00A20B0C">
        <w:t xml:space="preserve">Rathcoole offers are of high quality </w:t>
      </w:r>
      <w:r>
        <w:t>and</w:t>
      </w:r>
      <w:r w:rsidR="00A20B0C">
        <w:t xml:space="preserve">, in combination with the significant sporting provision </w:t>
      </w:r>
      <w:r w:rsidR="00A544B1">
        <w:t>of the proposed development,</w:t>
      </w:r>
      <w:r>
        <w:t xml:space="preserve"> will be able to support the future residents of </w:t>
      </w:r>
      <w:r w:rsidR="00A20B0C">
        <w:t>the town</w:t>
      </w:r>
      <w:r>
        <w:t>. The proposed development will</w:t>
      </w:r>
      <w:r w:rsidR="00A544B1">
        <w:t xml:space="preserve"> additionally</w:t>
      </w:r>
      <w:r>
        <w:t xml:space="preserve"> include high quality public open space including </w:t>
      </w:r>
      <w:r w:rsidR="00A544B1">
        <w:t>calisthenics area, seating areas and</w:t>
      </w:r>
      <w:r>
        <w:t xml:space="preserve"> playground. </w:t>
      </w:r>
    </w:p>
    <w:p w14:paraId="6C1BCA01" w14:textId="4D6AEDE8" w:rsidR="00D7036F" w:rsidRPr="000C3CC6" w:rsidRDefault="008A552F" w:rsidP="007D1FEA">
      <w:pPr>
        <w:pStyle w:val="BodyText"/>
        <w:rPr>
          <w:lang w:val="en-IE"/>
        </w:rPr>
      </w:pPr>
      <w:r>
        <w:rPr>
          <w:lang w:val="en-IE"/>
        </w:rPr>
        <w:t>Considering t</w:t>
      </w:r>
      <w:r w:rsidR="000965A7">
        <w:rPr>
          <w:lang w:val="en-IE"/>
        </w:rPr>
        <w:t>he scale,</w:t>
      </w:r>
      <w:r w:rsidR="000965A7" w:rsidRPr="000965A7">
        <w:rPr>
          <w:lang w:val="en-IE"/>
        </w:rPr>
        <w:t xml:space="preserve"> unit and tenure mix </w:t>
      </w:r>
      <w:r w:rsidR="000965A7">
        <w:rPr>
          <w:lang w:val="en-IE"/>
        </w:rPr>
        <w:t>of the proposed development, associated</w:t>
      </w:r>
      <w:r w:rsidR="000965A7" w:rsidRPr="000965A7">
        <w:rPr>
          <w:lang w:val="en-IE"/>
        </w:rPr>
        <w:t xml:space="preserve"> demand of c.</w:t>
      </w:r>
      <w:r w:rsidR="00AB4586">
        <w:rPr>
          <w:lang w:val="en-IE"/>
        </w:rPr>
        <w:t>8</w:t>
      </w:r>
      <w:r w:rsidR="000965A7" w:rsidRPr="000965A7">
        <w:rPr>
          <w:lang w:val="en-IE"/>
        </w:rPr>
        <w:t xml:space="preserve"> no. crèche places derived from recorded childcare participation in the area, and existing and permitted provision within Rathcoole, Saggart and Citywest, it is </w:t>
      </w:r>
      <w:r>
        <w:rPr>
          <w:lang w:val="en-IE"/>
        </w:rPr>
        <w:t>concluded</w:t>
      </w:r>
      <w:r w:rsidR="000965A7" w:rsidRPr="000965A7">
        <w:rPr>
          <w:lang w:val="en-IE"/>
        </w:rPr>
        <w:t xml:space="preserve"> that the childcare needs arising from the proposed development can be accommodated within the established and permitted network of facilities without the provision of a dedicated facility on site.</w:t>
      </w:r>
    </w:p>
    <w:p w14:paraId="5BEA9BAD" w14:textId="1AC1E027" w:rsidR="007D1FEA" w:rsidRDefault="00D7036F" w:rsidP="007D1FEA">
      <w:pPr>
        <w:pStyle w:val="BodyText"/>
      </w:pPr>
      <w:r>
        <w:t>O</w:t>
      </w:r>
      <w:r w:rsidR="007D1FEA">
        <w:t>nce operational, the scheme will give rise to much needed additional residential accommodation. Residents will spend a portion of their income locally which would not happen without the project. The project will provide job</w:t>
      </w:r>
      <w:r w:rsidR="008316A8">
        <w:t>s</w:t>
      </w:r>
      <w:r w:rsidR="007D1FEA">
        <w:t xml:space="preserve"> to those </w:t>
      </w:r>
      <w:r w:rsidR="008316A8">
        <w:t>involved in the development of the project</w:t>
      </w:r>
      <w:r w:rsidR="007D1FEA">
        <w:t xml:space="preserve"> during the construction phase.</w:t>
      </w:r>
    </w:p>
    <w:p w14:paraId="73569CA3" w14:textId="5263281E" w:rsidR="00BC70B1" w:rsidRPr="00BC70B1" w:rsidRDefault="007D1FEA" w:rsidP="000C3CC6">
      <w:pPr>
        <w:pStyle w:val="BodyText"/>
      </w:pPr>
      <w:r>
        <w:t>Having regard to the fact that the area within which the development is situated benefits from a good level of social and community infrastructure, and noting the elements of the project which will improve and strengthen this infrastructure, it is concluded that the project will precipitate a moderate, positive, long term impact on social patterns in the operational phase.</w:t>
      </w:r>
    </w:p>
    <w:p w14:paraId="615A6FED" w14:textId="6361E798" w:rsidR="0072788B" w:rsidRDefault="0072788B" w:rsidP="003013D2">
      <w:pPr>
        <w:pStyle w:val="Heading3"/>
      </w:pPr>
      <w:r>
        <w:t>Land Use and Settlement Patterns</w:t>
      </w:r>
    </w:p>
    <w:p w14:paraId="397C43D0" w14:textId="5CC95437" w:rsidR="0072788B" w:rsidRDefault="00A33E39" w:rsidP="0072788B">
      <w:pPr>
        <w:pStyle w:val="Heading4"/>
      </w:pPr>
      <w:r>
        <w:t>Construction Phase</w:t>
      </w:r>
    </w:p>
    <w:p w14:paraId="4416861F" w14:textId="131ADAB3" w:rsidR="00365491" w:rsidRDefault="00456B84" w:rsidP="00A33E39">
      <w:r w:rsidRPr="00456B84">
        <w:t xml:space="preserve">The construction phase of the project will primarily consist of site clearance, excavation and earthworks, the construction of the proposed 130 no. residential units, the junior and two senior GAA pitches and pavilion, the new access road from Mullally's Lane Roundabout, drainage and SuDS infrastructure, and associated landscaping works. The construction phase is envisaged to span approximately two years, from June 2027 to May 2029, with handover expected to be completed in 2030. During this period the existing greenfield lands will be given over to construction activity, including site compounds, material staging areas and temporary hoarding, and the construction phase has the potential to impact adversely and result in the temporary degradation of the local visual environment on a short-term basis. The visual impacts precipitated by the project are assessed in greater detail in Chapter </w:t>
      </w:r>
      <w:r>
        <w:t>1</w:t>
      </w:r>
      <w:r w:rsidR="00C11747">
        <w:t xml:space="preserve">8 </w:t>
      </w:r>
      <w:r w:rsidRPr="00456B84">
        <w:t>of the EIAR 'Landscape and Visual'.</w:t>
      </w:r>
    </w:p>
    <w:p w14:paraId="05F0672A" w14:textId="77777777" w:rsidR="00456B84" w:rsidRDefault="00456B84" w:rsidP="00A33E39"/>
    <w:p w14:paraId="0DFF6F3B" w14:textId="77777777" w:rsidR="009A535C" w:rsidRPr="009A535C" w:rsidRDefault="009A535C" w:rsidP="000C3CC6">
      <w:r w:rsidRPr="009A535C">
        <w:t xml:space="preserve">The site presently comprises an undeveloped greenfield area to the southeast of Rathcoole Village, characterised by open grassland, scrub, hedgerows and immature woodland, bounded by Rathcoole Park to the northwest, existing residential estates to the north, and agricultural lands to the southwest and south. </w:t>
      </w:r>
      <w:r w:rsidRPr="009A535C">
        <w:lastRenderedPageBreak/>
        <w:t>The temporary change in the character of these lands during the construction period will be experienced principally by the established residential communities adjoining the northern site boundary and by users of Rathcoole Park. Construction working hours will be restricted (Monday to Friday 07:00–19:00, Saturday 08:00–17:00, with no activity on Sundays or public holidays), and construction activity will be managed in accordance with the outline Construction and Environmental Management Plan and outline Construction Traffic Management Plan submitted with the application, mitigating impacts on the amenity of the existing settlement.</w:t>
      </w:r>
    </w:p>
    <w:p w14:paraId="1B5AF1D8" w14:textId="77777777" w:rsidR="009A535C" w:rsidRPr="009A535C" w:rsidRDefault="009A535C" w:rsidP="000C3CC6"/>
    <w:p w14:paraId="111D91D2" w14:textId="77777777" w:rsidR="009A535C" w:rsidRPr="000C3CC6" w:rsidRDefault="009A535C" w:rsidP="000C3CC6">
      <w:pPr>
        <w:rPr>
          <w:rFonts w:asciiTheme="majorHAnsi" w:eastAsiaTheme="majorEastAsia" w:hAnsiTheme="majorHAnsi" w:cstheme="majorBidi"/>
          <w:b/>
          <w:bCs/>
          <w:iCs/>
          <w:color w:val="008768" w:themeColor="accent1"/>
          <w:sz w:val="24"/>
        </w:rPr>
      </w:pPr>
      <w:r w:rsidRPr="009A535C">
        <w:t>The construction phase may result in a marginally increased population in the wider area due to increased construction employment, and will generate positive, albeit temporary, economic effects through direct construction employment and expenditure in the local economy of Rathcoole and its environs. This impact would be short-term in nature and imperceptible in terms of land use and settlement patterns.</w:t>
      </w:r>
    </w:p>
    <w:p w14:paraId="2FC7CE89" w14:textId="74F5B494" w:rsidR="00C2719F" w:rsidRDefault="00C2719F" w:rsidP="009A535C">
      <w:pPr>
        <w:pStyle w:val="Heading4"/>
      </w:pPr>
      <w:r>
        <w:t>Operational Phase</w:t>
      </w:r>
    </w:p>
    <w:p w14:paraId="1F28DF69" w14:textId="209D0912" w:rsidR="00B45852" w:rsidRDefault="00B45852" w:rsidP="00B45852">
      <w:r>
        <w:t xml:space="preserve">The operational phase of the project will result in the permanent change of use of the lands from </w:t>
      </w:r>
      <w:r w:rsidR="008964A0">
        <w:t xml:space="preserve">generally </w:t>
      </w:r>
      <w:r>
        <w:t>undeveloped greenfield</w:t>
      </w:r>
      <w:r w:rsidR="008964A0">
        <w:t xml:space="preserve"> and informal pitch</w:t>
      </w:r>
      <w:r>
        <w:t xml:space="preserve"> to residential and recreational uses in accordance with the </w:t>
      </w:r>
      <w:r w:rsidR="00097A5D">
        <w:t xml:space="preserve">policies and objectives </w:t>
      </w:r>
      <w:r>
        <w:t>of the South Dublin County Development Plan 2022–2028</w:t>
      </w:r>
      <w:r w:rsidR="00097A5D">
        <w:t>.</w:t>
      </w:r>
      <w:r>
        <w:t>The project will accord with national and local planning policy objectives which seek to deliver compact growth at suitable locations, providing a plan-led urban extension to Rathcoole as a designated Self-Sustaining Growth Town within the Dublin Metropolitan Area</w:t>
      </w:r>
      <w:r w:rsidR="002D0143">
        <w:t>.</w:t>
      </w:r>
    </w:p>
    <w:p w14:paraId="7E0F84F9" w14:textId="5F6E13FE" w:rsidR="00B45852" w:rsidRDefault="00B45852" w:rsidP="00B45852">
      <w:r>
        <w:t>The project will respond to the housing need and demand in the area of the project and the wider region. The provision of age-friendly accommodation will facilitate older members of the existing community to remain living in Rathcoole, supporting the maintenance of established social networks. The scheme also benefits from a high level of quality communal and public open space, with approximately 17,911 sqm of public open space incorporating formal and informal play areas, 1,040 sqm of communal open space, and the junior and two senior GAA pitches and pavilion, which will serve both the new and existing communities and consolidate the recreational amenity network extending through Rathcoole Park.</w:t>
      </w:r>
    </w:p>
    <w:p w14:paraId="346D4FC0" w14:textId="77777777" w:rsidR="00B45852" w:rsidRDefault="00B45852" w:rsidP="00B45852"/>
    <w:p w14:paraId="60994600" w14:textId="565997CC" w:rsidR="00B45852" w:rsidRDefault="00B45852" w:rsidP="00B45852">
      <w:r>
        <w:t xml:space="preserve">Chapter </w:t>
      </w:r>
      <w:r w:rsidR="00773737">
        <w:t>13 of this EI</w:t>
      </w:r>
      <w:r w:rsidR="00A70FD8">
        <w:t>A</w:t>
      </w:r>
      <w:r w:rsidR="00773737">
        <w:t>R</w:t>
      </w:r>
      <w:r>
        <w:t xml:space="preserve"> assesses the Landscape and Visual Impact. In summary, during the operational phase of the development, visual impacts are likely to be long term in duration. It should be noted that the character of the impact of changes to the visual environment on human health (positive, negative or neutral) will depend on how well a development is received by the public, and on the general contribution of the development to the built environment. In this instance, the proposed development comprises a coherently designed residential neighbourhood on lands zoned for that purpose, arranged around a network of green </w:t>
      </w:r>
      <w:r w:rsidR="00B537E0">
        <w:t>spaces</w:t>
      </w:r>
      <w:r>
        <w:t>, active frontages and pedestrian connections to Rathcoole Park and the retained riparian corridors of the Camac River, Coolmine Stream and Crockshane Stream, and is likely to be perceived by many as making a positive contribution to the built environment at the southeastern edge of the village.</w:t>
      </w:r>
    </w:p>
    <w:p w14:paraId="049BC0FB" w14:textId="77777777" w:rsidR="00A70FD8" w:rsidRDefault="00A70FD8" w:rsidP="00B45852"/>
    <w:p w14:paraId="731F5240" w14:textId="10BACB50" w:rsidR="00B45852" w:rsidRDefault="00A70FD8" w:rsidP="000C3CC6">
      <w:pPr>
        <w:pStyle w:val="BodyText"/>
      </w:pPr>
      <w:r w:rsidRPr="00FD7E15">
        <w:t>The proposed development will result in the loss of a portion of the existing natural and semi-natural environment currently present within the site, including areas of grassland and woodland habitat. As a consequence, there will be a reduction in the extent of natural areas currently available for informal recreation and nature appreciation. This may result in a localised adverse effect for some existing users</w:t>
      </w:r>
      <w:r>
        <w:t>.</w:t>
      </w:r>
      <w:r w:rsidRPr="0099765C">
        <w:t xml:space="preserve"> However, the proposed development has been designed to retain, protect and enhance substantial areas of woodland and green infrastructure throughout the site. </w:t>
      </w:r>
      <w:r w:rsidRPr="001B17F0">
        <w:t>While a localised reduction in natural habitat will occur, this is offset to a significant degree by the provision of enhanced recreational opportunities, improved public accessibility and long-term ecological management measures.</w:t>
      </w:r>
    </w:p>
    <w:p w14:paraId="1A4144CC" w14:textId="43FCCBD3" w:rsidR="00B45852" w:rsidRPr="00B45852" w:rsidRDefault="00B45852" w:rsidP="000C3CC6">
      <w:r>
        <w:t>The adequate provision of high-quality mixed housing to serve the existing and future population of the county and the wider South Dublin area is an important contributor to the establishment and maintenance of good human/public health. The high-quality design of the project, including individual units which meet the relevant standards for houses, duplex</w:t>
      </w:r>
      <w:r w:rsidR="00030250">
        <w:t xml:space="preserve"> units</w:t>
      </w:r>
      <w:r>
        <w:t xml:space="preserve"> and apartments, will contribute to a positive impact on the wellbeing of future residents. The operational phase will generate an indicative additional population of c.38</w:t>
      </w:r>
      <w:r w:rsidR="00061422">
        <w:t>5</w:t>
      </w:r>
      <w:r>
        <w:t xml:space="preserve"> no. persons, and this population can be accommodated by existing and committed social and community infrastructure, including capacity within the local school network and the surrounding childcare network. The location of the development, adjoining the established residential edge of Rathcoole Village and its social and community infrastructure, together with the delivery of new recreational facilities as part of the project, will result in a direct, positive, permanent and moderate impact on land use, settlement patterns and the wellbeing of future residents.</w:t>
      </w:r>
    </w:p>
    <w:p w14:paraId="5BBD973C" w14:textId="6AD8D840" w:rsidR="0012619B" w:rsidRDefault="0012619B" w:rsidP="003013D2">
      <w:pPr>
        <w:pStyle w:val="Heading3"/>
      </w:pPr>
      <w:r>
        <w:lastRenderedPageBreak/>
        <w:t>Employment and Economic Activity</w:t>
      </w:r>
    </w:p>
    <w:p w14:paraId="7A048BEC" w14:textId="21241274" w:rsidR="0012619B" w:rsidRDefault="0012619B" w:rsidP="0012619B">
      <w:pPr>
        <w:pStyle w:val="Heading4"/>
      </w:pPr>
      <w:r>
        <w:t>Construction Phase</w:t>
      </w:r>
    </w:p>
    <w:p w14:paraId="7C860BF0" w14:textId="77777777" w:rsidR="001C6D2B" w:rsidRDefault="001C6D2B" w:rsidP="001C6D2B">
      <w:r>
        <w:t>The construction phase of the project is likely to result in a positive net improvement in economic activity in the area of the project site particularly in the construction sector and in associated secondary building services industries. The construction sector (including associated services) was documented as one of the most adversely impacted sectors of the Irish economy following the economic downturn in 2008 and Covid-19 downturn in 2020-21.</w:t>
      </w:r>
    </w:p>
    <w:p w14:paraId="05DC8728" w14:textId="77777777" w:rsidR="001C6D2B" w:rsidRDefault="001C6D2B" w:rsidP="001C6D2B"/>
    <w:p w14:paraId="32547BD6" w14:textId="1D82A1A3" w:rsidR="001C6D2B" w:rsidRDefault="001C6D2B" w:rsidP="001C6D2B">
      <w:r>
        <w:t>The construction of 130 residential units, 3no. pitches and all associated infrastructure will precipitate a positive impact on construction-related employment for the duration of the construction phase. The construction phase will also have secondary and indirect ‘spin-off’ impacts on ancillary support services in the area of the site, such as retail services, together with wider benefits in the building supply services, professional and technical professions etc. These beneficial impacts on economic activity will be largely temporary but will contribute to the overall future viability of the construction sector and related services and professions over the construction period.</w:t>
      </w:r>
    </w:p>
    <w:p w14:paraId="18B64268" w14:textId="77777777" w:rsidR="009F3AD9" w:rsidRDefault="009F3AD9" w:rsidP="001C6D2B"/>
    <w:p w14:paraId="105E51F3" w14:textId="7D85FA0D" w:rsidR="001C6D2B" w:rsidRDefault="001C6D2B" w:rsidP="001C6D2B">
      <w:r>
        <w:t xml:space="preserve">The project could have a slight, short term, negative economic impact on the surrounding area during the construction phase due to traffic and associated nuisance, dust and noise. These issues and appropriate mitigation measures are addressed in Chapters </w:t>
      </w:r>
      <w:r w:rsidR="00B81041">
        <w:t>11 -</w:t>
      </w:r>
      <w:r>
        <w:t xml:space="preserve"> Air Quality</w:t>
      </w:r>
      <w:r w:rsidR="00B81041">
        <w:t>,</w:t>
      </w:r>
      <w:r>
        <w:t xml:space="preserve"> </w:t>
      </w:r>
      <w:r w:rsidR="00B81041">
        <w:t>13</w:t>
      </w:r>
      <w:r>
        <w:t xml:space="preserve"> - Noise and Vibration, </w:t>
      </w:r>
      <w:r w:rsidR="007A73F6">
        <w:t xml:space="preserve">16 – Waste and </w:t>
      </w:r>
      <w:r w:rsidR="00B81041">
        <w:t xml:space="preserve">17 – Material Assets </w:t>
      </w:r>
      <w:r w:rsidR="007A73F6">
        <w:t>(</w:t>
      </w:r>
      <w:r>
        <w:t>Tra</w:t>
      </w:r>
      <w:r w:rsidR="007A73F6">
        <w:t>nsport)</w:t>
      </w:r>
      <w:r>
        <w:t>, of the EIAR, the Traffic and Transport Assessment</w:t>
      </w:r>
      <w:r w:rsidR="00CF721F">
        <w:t xml:space="preserve"> and</w:t>
      </w:r>
      <w:r>
        <w:t xml:space="preserve"> Construction and Environmental Management Plan. </w:t>
      </w:r>
      <w:r w:rsidR="00CF721F">
        <w:t>A detailed</w:t>
      </w:r>
      <w:r>
        <w:t xml:space="preserve"> Construction Management Plan </w:t>
      </w:r>
      <w:r w:rsidR="00CF721F">
        <w:t>will be provided prior to the commencement of works on site</w:t>
      </w:r>
      <w:r>
        <w:t>.</w:t>
      </w:r>
    </w:p>
    <w:p w14:paraId="79DD565B" w14:textId="1C4F670F" w:rsidR="00F21AED" w:rsidRDefault="00F21AED" w:rsidP="00F21AED">
      <w:pPr>
        <w:pStyle w:val="Heading4"/>
      </w:pPr>
      <w:r>
        <w:t>Operational Phase</w:t>
      </w:r>
    </w:p>
    <w:p w14:paraId="1B5048F3" w14:textId="4E06E6DA" w:rsidR="00815FDD" w:rsidRDefault="00815FDD" w:rsidP="00815FDD">
      <w:r>
        <w:t>The operational phase of the development will result in the delivery of additional housing to support planned and projected population growth which will support a wide range of additional local businesses, services, transport infrastructure and employment opportunities. Rathcoole Town Centre will benefit from the increased local populace and allow for improved local generation of job opportunities.</w:t>
      </w:r>
      <w:r w:rsidR="001602A3">
        <w:t xml:space="preserve"> An increase in visitors to the town will also be generated as a result of the proposed pitches.</w:t>
      </w:r>
      <w:r>
        <w:t xml:space="preserve"> </w:t>
      </w:r>
    </w:p>
    <w:p w14:paraId="34C4F731" w14:textId="45BF44BF" w:rsidR="00815FDD" w:rsidRDefault="00815FDD" w:rsidP="00815FDD">
      <w:r>
        <w:t xml:space="preserve">The project will help to meet established housing need and demand within </w:t>
      </w:r>
      <w:r w:rsidR="002327F1">
        <w:t>Dublin COunty</w:t>
      </w:r>
      <w:r>
        <w:t xml:space="preserve">, at a location which will encourage </w:t>
      </w:r>
      <w:r w:rsidR="002327F1">
        <w:t xml:space="preserve">the use of </w:t>
      </w:r>
      <w:r>
        <w:t xml:space="preserve">public transport and active transit modes due to its proximity to </w:t>
      </w:r>
      <w:r w:rsidR="002327F1">
        <w:t xml:space="preserve">existing and proposed </w:t>
      </w:r>
      <w:r>
        <w:t>public transport provision, and a range of existing uses, facilities and amenities.</w:t>
      </w:r>
    </w:p>
    <w:p w14:paraId="3EF3DDBB" w14:textId="77777777" w:rsidR="002327F1" w:rsidRDefault="002327F1" w:rsidP="00815FDD"/>
    <w:p w14:paraId="2A362BCD" w14:textId="2B53F650" w:rsidR="006B2CD7" w:rsidRDefault="002327F1" w:rsidP="00815FDD">
      <w:r>
        <w:t>The proposed tenure is that of social and affordable housing,</w:t>
      </w:r>
      <w:r w:rsidR="00815FDD">
        <w:t xml:space="preserve"> which will provide for an enhanced mix of tenures</w:t>
      </w:r>
      <w:r>
        <w:t xml:space="preserve"> within Rathcoole town</w:t>
      </w:r>
      <w:r w:rsidR="00815FDD">
        <w:t>, and add to the existing social housing stock. The overall benefit to the economic activity of the surrounding area resulting from the development can be considered moderate, long term, and positive.</w:t>
      </w:r>
    </w:p>
    <w:p w14:paraId="68DC6A4E" w14:textId="74BEE2FD" w:rsidR="006B2CD7" w:rsidRDefault="006B2CD7" w:rsidP="006B2CD7">
      <w:pPr>
        <w:pStyle w:val="Heading3"/>
      </w:pPr>
      <w:r>
        <w:t>Water</w:t>
      </w:r>
    </w:p>
    <w:p w14:paraId="43C62F54" w14:textId="00488E53" w:rsidR="006B2CD7" w:rsidRDefault="0061776B" w:rsidP="006B2CD7">
      <w:pPr>
        <w:pStyle w:val="Heading4"/>
      </w:pPr>
      <w:r>
        <w:t>Construction Phase</w:t>
      </w:r>
    </w:p>
    <w:p w14:paraId="59CE1289" w14:textId="12DC4690" w:rsidR="00AF63AA" w:rsidRDefault="00AF63AA" w:rsidP="00AF63AA">
      <w:r>
        <w:t xml:space="preserve">Provision of water infrastructure for the proposed development would involve construction activities within the subject lands and connections to the </w:t>
      </w:r>
      <w:r w:rsidR="00E465E8">
        <w:t>Ringsend</w:t>
      </w:r>
      <w:r>
        <w:t xml:space="preserve"> wastewater treatment plant. The potential impact on the local public water supply network would be short term and imperceptible. Therefore, the impact on human health and population in this regard is considered to be imperceptible.</w:t>
      </w:r>
    </w:p>
    <w:p w14:paraId="232F888B" w14:textId="77777777" w:rsidR="00E465E8" w:rsidRDefault="00E465E8" w:rsidP="00AF63AA"/>
    <w:p w14:paraId="51A9FEDD" w14:textId="3E1134F7" w:rsidR="00AF63AA" w:rsidRDefault="00AF63AA" w:rsidP="00AF63AA">
      <w:r>
        <w:t xml:space="preserve">During the course of the construction phase of the proposed development, there is potential, in the absence of mitigation, for surface water runoff to suffer from increased levels of silt or other pollutants, particularly towards the </w:t>
      </w:r>
      <w:r w:rsidR="00435C6E">
        <w:t>surrounding Camac River, Crockshane (Slade) Stream and Coolmine Stream</w:t>
      </w:r>
      <w:r>
        <w:t xml:space="preserve"> in addition to potential pollution from spillages, wheel washing and water from trucks on site. The Construction and Environmental Management Plan, and the </w:t>
      </w:r>
      <w:r w:rsidR="00DA3ABC">
        <w:t>Construction</w:t>
      </w:r>
      <w:r>
        <w:t xml:space="preserve"> and Waste Management Plan, set out how all materials will be managed, stored and disposed of in an appropriate manner, mitigating the potential negative effects as outlined.</w:t>
      </w:r>
    </w:p>
    <w:p w14:paraId="0A9A5683" w14:textId="77777777" w:rsidR="00DA3ABC" w:rsidRDefault="00DA3ABC" w:rsidP="00AF63AA"/>
    <w:p w14:paraId="27EB4B4D" w14:textId="1F9893BA" w:rsidR="0061776B" w:rsidRDefault="00AF63AA" w:rsidP="00AF63AA">
      <w:r>
        <w:t xml:space="preserve">Potential impact on water is addressed in Chapter </w:t>
      </w:r>
      <w:r w:rsidR="008851BC">
        <w:t>10 - Wa</w:t>
      </w:r>
      <w:r>
        <w:t xml:space="preserve">ter and a number of mitigation measures are outlined in that chapter of this Environmental Impact Assessment Report. These mitigation measures will serve to minimise potential adverse impacts of the construction phase to the water environment including the River </w:t>
      </w:r>
      <w:r w:rsidR="00535AD0">
        <w:t>Camac, Coolmine and Crockshane Streams</w:t>
      </w:r>
      <w:r>
        <w:t xml:space="preserve">, thereby minimising any associated risk to human </w:t>
      </w:r>
      <w:r>
        <w:lastRenderedPageBreak/>
        <w:t>health from water contamination. Therefore, the impact of construction of the proposed development in relation to water is likely to be short-term and imperceptible with respect to human health.</w:t>
      </w:r>
    </w:p>
    <w:p w14:paraId="5766178F" w14:textId="31C11DED" w:rsidR="008851BC" w:rsidRDefault="008851BC" w:rsidP="008851BC">
      <w:pPr>
        <w:pStyle w:val="Heading4"/>
      </w:pPr>
      <w:r>
        <w:t>Operational Phase</w:t>
      </w:r>
    </w:p>
    <w:p w14:paraId="5CF84F17" w14:textId="224D28F7" w:rsidR="0042403E" w:rsidRDefault="0042403E" w:rsidP="0042403E">
      <w:r>
        <w:t>SuDS will be implemented in accordance with the recommendations of the GDSDS and South Dublin County Council requirements. In addition, the requirements of ‘The Planning System and Flood Risk Management Guidelines for Planning Authorities’ will be adhered to.</w:t>
      </w:r>
    </w:p>
    <w:p w14:paraId="42FAB13B" w14:textId="77777777" w:rsidR="0042403E" w:rsidRDefault="0042403E" w:rsidP="0042403E"/>
    <w:p w14:paraId="275C6EA5" w14:textId="0438C82A" w:rsidR="0042403E" w:rsidRPr="0042403E" w:rsidRDefault="0042403E" w:rsidP="000C3CC6">
      <w:r>
        <w:t>In the absence of SuDS measures, surface water run-off discharge rates from the development sites may be increased because of increase in impermeable surfaces, however the implementation of S</w:t>
      </w:r>
      <w:r w:rsidR="00610177">
        <w:t>uDS</w:t>
      </w:r>
      <w:r>
        <w:t xml:space="preserve"> features proposed for the subject site will ensure that any such increased runoff is attenuated on site with discharge being controlled.</w:t>
      </w:r>
      <w:r w:rsidR="005A51F3">
        <w:t xml:space="preserve"> </w:t>
      </w:r>
      <w:r>
        <w:t xml:space="preserve">Further details on the mitigation measures are set out in Chapter </w:t>
      </w:r>
      <w:r w:rsidR="005A51F3">
        <w:t xml:space="preserve">10 – Water </w:t>
      </w:r>
      <w:r>
        <w:t>of this EIAR. Therefore, the potential impact on population and human health in this regard is considered to be insignificant.</w:t>
      </w:r>
    </w:p>
    <w:p w14:paraId="654AA5F2" w14:textId="19FFB7BD" w:rsidR="00AD3B61" w:rsidRDefault="00AD3B61" w:rsidP="003013D2">
      <w:pPr>
        <w:pStyle w:val="Heading3"/>
      </w:pPr>
      <w:r>
        <w:t>Health and Safety</w:t>
      </w:r>
    </w:p>
    <w:p w14:paraId="28694647" w14:textId="78E568DE" w:rsidR="00AD3B61" w:rsidRDefault="00AD3B61" w:rsidP="00AD3B61">
      <w:pPr>
        <w:pStyle w:val="Heading4"/>
      </w:pPr>
      <w:r>
        <w:t>Operational Phase</w:t>
      </w:r>
    </w:p>
    <w:p w14:paraId="37C09428" w14:textId="77777777" w:rsidR="008B5A6C" w:rsidRDefault="008B5A6C" w:rsidP="008B5A6C">
      <w:r>
        <w:t>The construction phase of the proposed development may give rise to short-term impacts associated with construction traffic, dust, noise and littering. Secondary impacts may include resulting increased traffic arising from hauling building materials to and from the proposed development site which are likely to affect population and human health distant from the proposed development site, including adjacent to aggregate sources.</w:t>
      </w:r>
    </w:p>
    <w:p w14:paraId="131EE55C" w14:textId="77777777" w:rsidR="008B5A6C" w:rsidRDefault="008B5A6C" w:rsidP="008B5A6C"/>
    <w:p w14:paraId="5246ADA5" w14:textId="6A1ECBA7" w:rsidR="00AD3B61" w:rsidRDefault="008B5A6C" w:rsidP="008B5A6C">
      <w:r>
        <w:t>Construction impacts are likely to be short term and are dealt with separately in the relevant chapters of this EIAR document and will be subject to control through a Construction and Environmental Management Plan, and a Resource and Waste Management Plan. The construction methods employed and the hours of work proposed will be designed to minimise potential impacts. The development will comply with all Health &amp; Safety Regulations during the construction of the project. Where possible, potential risks will be omitted from the design so that the impact on the construction phase will be reduced.</w:t>
      </w:r>
    </w:p>
    <w:p w14:paraId="7C494944" w14:textId="67ADFF79" w:rsidR="00C90041" w:rsidRDefault="00C90041" w:rsidP="00C90041">
      <w:pPr>
        <w:pStyle w:val="Heading4"/>
      </w:pPr>
      <w:r>
        <w:t>Operational Phase</w:t>
      </w:r>
    </w:p>
    <w:p w14:paraId="42C942F6" w14:textId="51E5B6DC" w:rsidR="00EB216B" w:rsidRDefault="00EB216B" w:rsidP="00EB216B">
      <w:r>
        <w:t>No significant health and safety effects are envisaged during the operational phase of the project. The operational stage of the development is unlikely to precipitate any significant impacts in terms of health and safety. The design of the project has been formulated to provide for a safe environment for future residents and visitors alike. The paths, roadways and public areas have all been designed in accordance with best practice and the applicable guidelines including Design Manual Urban Roads Streets. A Road Safety Audit has also been carried out and submitted with the application</w:t>
      </w:r>
      <w:r w:rsidR="00475A0B">
        <w:t xml:space="preserve"> </w:t>
      </w:r>
      <w:r>
        <w:t>which promotes a high standard of health and safety for all occupants and visitors.</w:t>
      </w:r>
    </w:p>
    <w:p w14:paraId="37CAE248" w14:textId="77777777" w:rsidR="00EB216B" w:rsidRDefault="00EB216B" w:rsidP="00EB216B"/>
    <w:p w14:paraId="30ED92F3" w14:textId="3E1AB4A7" w:rsidR="00EB216B" w:rsidRPr="00EB216B" w:rsidRDefault="00EB216B" w:rsidP="000C3CC6">
      <w:r>
        <w:t>The project will not result in any significant impacts on human health and safety once completed and operational. The proposed development therefore is unlikely to result in negative impacts in relation to population and human health in this regard and the resulting impact will be negligible.</w:t>
      </w:r>
    </w:p>
    <w:p w14:paraId="3AED1111" w14:textId="58FD803B" w:rsidR="00F9195E" w:rsidRDefault="00F9195E" w:rsidP="00F9195E">
      <w:pPr>
        <w:pStyle w:val="Heading3"/>
      </w:pPr>
      <w:bookmarkStart w:id="84" w:name="_Toc233122771"/>
      <w:bookmarkEnd w:id="83"/>
      <w:r>
        <w:t>Indirect, Secondary &amp; Transboundary Effects</w:t>
      </w:r>
      <w:bookmarkEnd w:id="84"/>
    </w:p>
    <w:p w14:paraId="779C31AC" w14:textId="7739113C" w:rsidR="002061D3" w:rsidRDefault="002061D3" w:rsidP="002061D3">
      <w:pPr>
        <w:pStyle w:val="BodyText"/>
      </w:pPr>
      <w:r>
        <w:t xml:space="preserve">The proposed development will result in indirect effects through the accommodation of additional population within Rathcoole and the associated increase in demand for local services. As identified within the baseline assessment, </w:t>
      </w:r>
      <w:r w:rsidR="00EC1A90">
        <w:t>significant</w:t>
      </w:r>
      <w:r>
        <w:t xml:space="preserve"> population growth is anticipated </w:t>
      </w:r>
      <w:r w:rsidR="00EC1A90">
        <w:t>in Rathcoole</w:t>
      </w:r>
      <w:r>
        <w:t>. The proposed development will contribute to the population required to support the continued vitality and viability of existing retail, commercial, educational, recreational and community facilities within the settlement.</w:t>
      </w:r>
    </w:p>
    <w:p w14:paraId="036D8D4F" w14:textId="76D1EBBA" w:rsidR="002061D3" w:rsidRDefault="002061D3" w:rsidP="002061D3">
      <w:pPr>
        <w:pStyle w:val="BodyText"/>
      </w:pPr>
      <w:r>
        <w:t>Potential secondary effects m</w:t>
      </w:r>
      <w:r w:rsidR="00EC1A90">
        <w:t>ight</w:t>
      </w:r>
      <w:r>
        <w:t xml:space="preserve"> arise through future investment in community facilities, recreational infrastructure and local services facilitated by population growth within Rathcoole. However, any such development would be subject to separate.</w:t>
      </w:r>
    </w:p>
    <w:p w14:paraId="38398C32" w14:textId="1CD2B850" w:rsidR="002061D3" w:rsidRPr="002061D3" w:rsidRDefault="002061D3" w:rsidP="002061D3">
      <w:pPr>
        <w:pStyle w:val="BodyText"/>
      </w:pPr>
      <w:r>
        <w:t>Having regard to the nature, scale and location of the proposed development, no transboundary effects on population and human health are anticipated.</w:t>
      </w:r>
    </w:p>
    <w:p w14:paraId="3597B848" w14:textId="537454E9" w:rsidR="004745EA" w:rsidRDefault="004745EA" w:rsidP="004B509F">
      <w:pPr>
        <w:pStyle w:val="Heading2"/>
      </w:pPr>
      <w:bookmarkStart w:id="85" w:name="_Toc233122772"/>
      <w:r>
        <w:lastRenderedPageBreak/>
        <w:t>Mitigation Measures</w:t>
      </w:r>
      <w:bookmarkEnd w:id="85"/>
    </w:p>
    <w:p w14:paraId="3AE46542" w14:textId="02BEF0C3" w:rsidR="00942DBB" w:rsidRDefault="00942DBB" w:rsidP="00942DBB">
      <w:pPr>
        <w:pStyle w:val="BodyText"/>
      </w:pPr>
      <w:r>
        <w:t xml:space="preserve">Mitigation measures relating to those factors under which human </w:t>
      </w:r>
      <w:r w:rsidRPr="005E1CC0">
        <w:t xml:space="preserve">health effects might occur have been addressed elsewhere in this EIAR, under the environmental factors of </w:t>
      </w:r>
      <w:r w:rsidR="00DB3946" w:rsidRPr="005E1CC0">
        <w:t>Material Assets (Transport)</w:t>
      </w:r>
      <w:r w:rsidRPr="005E1CC0">
        <w:t xml:space="preserve">, </w:t>
      </w:r>
      <w:r w:rsidR="009643B4" w:rsidRPr="005E1CC0">
        <w:t>Air Quality</w:t>
      </w:r>
      <w:r w:rsidR="005A6B59" w:rsidRPr="005E1CC0">
        <w:t>,</w:t>
      </w:r>
      <w:r w:rsidR="009643B4" w:rsidRPr="005E1CC0">
        <w:t xml:space="preserve"> Climate</w:t>
      </w:r>
      <w:r w:rsidRPr="005E1CC0">
        <w:t xml:space="preserve">, </w:t>
      </w:r>
      <w:r w:rsidR="005A6B59" w:rsidRPr="005E1CC0">
        <w:t>N</w:t>
      </w:r>
      <w:r w:rsidRPr="005E1CC0">
        <w:t xml:space="preserve">oise and </w:t>
      </w:r>
      <w:r w:rsidR="005A6B59" w:rsidRPr="005E1CC0">
        <w:t>V</w:t>
      </w:r>
      <w:r w:rsidRPr="005E1CC0">
        <w:t xml:space="preserve">ibration, </w:t>
      </w:r>
      <w:r w:rsidR="005A6B59" w:rsidRPr="005E1CC0">
        <w:t>L</w:t>
      </w:r>
      <w:r w:rsidR="0029038D" w:rsidRPr="005E1CC0">
        <w:t>andscape</w:t>
      </w:r>
      <w:r w:rsidRPr="005E1CC0">
        <w:t xml:space="preserve"> and </w:t>
      </w:r>
      <w:r w:rsidR="005A6B59" w:rsidRPr="005E1CC0">
        <w:t>V</w:t>
      </w:r>
      <w:r w:rsidRPr="005E1CC0">
        <w:t xml:space="preserve">isual and </w:t>
      </w:r>
      <w:r w:rsidR="005A6B59" w:rsidRPr="005E1CC0">
        <w:t>M</w:t>
      </w:r>
      <w:r w:rsidRPr="005E1CC0">
        <w:t xml:space="preserve">aterial </w:t>
      </w:r>
      <w:r w:rsidR="005A6B59" w:rsidRPr="005E1CC0">
        <w:t>A</w:t>
      </w:r>
      <w:r w:rsidRPr="005E1CC0">
        <w:t>ssets</w:t>
      </w:r>
      <w:r w:rsidR="005A6B59" w:rsidRPr="005E1CC0">
        <w:t xml:space="preserve"> (U</w:t>
      </w:r>
      <w:r w:rsidRPr="005E1CC0">
        <w:t>tilities</w:t>
      </w:r>
      <w:r w:rsidR="00644C99" w:rsidRPr="005E1CC0">
        <w:t>).</w:t>
      </w:r>
    </w:p>
    <w:p w14:paraId="04210D2A" w14:textId="5C8C0F0A" w:rsidR="004745EA" w:rsidRDefault="00942DBB" w:rsidP="00942DBB">
      <w:pPr>
        <w:pStyle w:val="BodyText"/>
      </w:pPr>
      <w:r>
        <w:t>Avoidance, remedial and mitigation measures describe any corrective or mitigative measures that are either practicable or reasonable, having regard to the potential likely and significant environmental impacts. A</w:t>
      </w:r>
      <w:r w:rsidR="0029038D">
        <w:t>n</w:t>
      </w:r>
      <w:r>
        <w:t xml:space="preserve"> </w:t>
      </w:r>
      <w:r w:rsidR="0029038D">
        <w:t>o</w:t>
      </w:r>
      <w:r>
        <w:t xml:space="preserve">CEMP prepared by AECOM on behalf of the applicant </w:t>
      </w:r>
      <w:r w:rsidR="0029038D">
        <w:t>SDCC</w:t>
      </w:r>
      <w:r>
        <w:t>, is included with the application material</w:t>
      </w:r>
      <w:r w:rsidR="004745EA">
        <w:t>.</w:t>
      </w:r>
    </w:p>
    <w:p w14:paraId="0894B40C" w14:textId="0DC41275" w:rsidR="00DC7936" w:rsidRDefault="00DC7936" w:rsidP="00DC7936">
      <w:pPr>
        <w:pStyle w:val="Heading3"/>
      </w:pPr>
      <w:bookmarkStart w:id="86" w:name="_Toc233122773"/>
      <w:r>
        <w:t>Construction Phase</w:t>
      </w:r>
      <w:bookmarkEnd w:id="86"/>
    </w:p>
    <w:p w14:paraId="31F18017" w14:textId="77777777" w:rsidR="00EE1B27" w:rsidRDefault="00EE1B27" w:rsidP="00EE1B27">
      <w:pPr>
        <w:pStyle w:val="BodyText"/>
      </w:pPr>
      <w:r>
        <w:t xml:space="preserve">A range of construction related remedial and mitigation measures are proposed throughout this EIAR document with reference to the various environmental topics examined and the inter-relationships between each topic. These remedial and mitigation measures are likely to result in any significant and likely adverse environmental impacts on population and during the construction phases being avoided. </w:t>
      </w:r>
    </w:p>
    <w:p w14:paraId="18CBC24F" w14:textId="7DD1684E" w:rsidR="00EE1B27" w:rsidRDefault="00EE1B27" w:rsidP="00EE1B27">
      <w:pPr>
        <w:pStyle w:val="BodyText"/>
      </w:pPr>
      <w:r>
        <w:t>In order to protect the amenities enjoyed by nearby residents, premises and employees a Construction Environmental Management Plan (including traffic management) shall be submitted by the contractor and implemented during the construction phase.  This will mitigate potential local disturbance or severance to local populations that may arise from construction activity.</w:t>
      </w:r>
    </w:p>
    <w:p w14:paraId="2691BFB3" w14:textId="42065D68" w:rsidR="00EE1B27" w:rsidRPr="00EE1B27" w:rsidRDefault="00EE1B27" w:rsidP="00EE1B27">
      <w:pPr>
        <w:pStyle w:val="BodyText"/>
      </w:pPr>
      <w:r>
        <w:t xml:space="preserve">With reference to </w:t>
      </w:r>
      <w:r w:rsidRPr="00E3122F">
        <w:t>the construction phase of the proposed development, the objective of the Construction Waste Management Plan</w:t>
      </w:r>
      <w:r w:rsidR="00E3122F">
        <w:t xml:space="preserve"> as</w:t>
      </w:r>
      <w:r w:rsidRPr="00E3122F">
        <w:t xml:space="preserve"> </w:t>
      </w:r>
      <w:r w:rsidR="00F95879" w:rsidRPr="00E3122F">
        <w:t>integrated</w:t>
      </w:r>
      <w:r w:rsidR="00F95879">
        <w:t xml:space="preserve"> into </w:t>
      </w:r>
      <w:r w:rsidR="00E3122F">
        <w:t>the Material Asets (Waste) Chapter</w:t>
      </w:r>
      <w:r w:rsidR="003F307A">
        <w:t xml:space="preserve"> 16</w:t>
      </w:r>
      <w:r w:rsidR="00E3122F">
        <w:t xml:space="preserve"> of this EIAR </w:t>
      </w:r>
      <w:r>
        <w:t xml:space="preserve">is to ensure that waste generated during the proposed construction and operation phases will be managed and disposed of in a way that ensures the provisions of the Waste Management Acts 1996 - 2013 are complied with.  </w:t>
      </w:r>
    </w:p>
    <w:p w14:paraId="7D52B99C" w14:textId="0DB14985" w:rsidR="00DC7936" w:rsidRDefault="00DC7936" w:rsidP="00DC7936">
      <w:pPr>
        <w:pStyle w:val="Heading3"/>
      </w:pPr>
      <w:bookmarkStart w:id="87" w:name="_Toc233122774"/>
      <w:r>
        <w:t>Operational Phase</w:t>
      </w:r>
      <w:bookmarkEnd w:id="87"/>
    </w:p>
    <w:p w14:paraId="64BC13A6" w14:textId="75CC29BE" w:rsidR="00E117A8" w:rsidRDefault="00E117A8" w:rsidP="00E117A8">
      <w:pPr>
        <w:pStyle w:val="BodyText"/>
      </w:pPr>
      <w:r>
        <w:t xml:space="preserve">The operational phase is considered to have likely </w:t>
      </w:r>
      <w:r w:rsidR="00F86669">
        <w:t>moderate</w:t>
      </w:r>
      <w:r>
        <w:t xml:space="preserve"> positive impacts on human beings in relation to the provision of additional residential units, open space, community facilities, active open space (sports pitches) to cater for the demands of a growing population in accordance with the residential and open space zoning objectives pertaining to the site.</w:t>
      </w:r>
    </w:p>
    <w:p w14:paraId="642AB0BC" w14:textId="1E4AA112" w:rsidR="00E117A8" w:rsidRDefault="00E117A8" w:rsidP="00E117A8">
      <w:pPr>
        <w:pStyle w:val="BodyText"/>
      </w:pPr>
      <w:r>
        <w:t>During the operational phase of the development the design of the scheme has undergone a Road Safety Audit and has had regard to Design Manual for Urban Roads and Streets (DMURS) during its design. This will promote a pedestrian friendly environment, promoting sustainable development and reducing the influence of cars. This has the potential to reduce accidents within the proposed development.</w:t>
      </w:r>
    </w:p>
    <w:p w14:paraId="4F309DDE" w14:textId="0E3BFBC0" w:rsidR="00137A22" w:rsidRPr="00E117A8" w:rsidRDefault="00137A22" w:rsidP="00E117A8">
      <w:pPr>
        <w:pStyle w:val="BodyText"/>
      </w:pPr>
      <w:r w:rsidRPr="00137A22">
        <w:t xml:space="preserve">The </w:t>
      </w:r>
      <w:r>
        <w:t>operation of</w:t>
      </w:r>
      <w:r w:rsidR="003D46CB">
        <w:t xml:space="preserve"> </w:t>
      </w:r>
      <w:r w:rsidRPr="00137A22">
        <w:t>proposed development will result in the loss of a portion of the existing natural and semi-natural environment within the site. To minimise the effects of this change, substantial areas of woodland will be retained and protected as part of the development. A Woodland Management Plan will be implemented to ensure the long-term protection, maintenance and enhancement of these areas and to maintain their recreational, landscape and ecological value.</w:t>
      </w:r>
    </w:p>
    <w:p w14:paraId="39CE87FD" w14:textId="164C4BA5" w:rsidR="004745EA" w:rsidRDefault="004745EA" w:rsidP="004B509F">
      <w:pPr>
        <w:pStyle w:val="Heading2"/>
      </w:pPr>
      <w:bookmarkStart w:id="88" w:name="_Toc233122775"/>
      <w:r>
        <w:t>Residual Impacts</w:t>
      </w:r>
      <w:bookmarkEnd w:id="88"/>
    </w:p>
    <w:p w14:paraId="7A775D24" w14:textId="7D68DCBE" w:rsidR="00005303" w:rsidRDefault="00005303" w:rsidP="00005303">
      <w:r>
        <w:t>Following implementation of the mitigation measures outlined in relevant sections of this EIAR, the residual impact on population and human health is considered to be positive moderate longterm in delivering the residential population for Rath</w:t>
      </w:r>
      <w:r w:rsidR="00EA7D9C">
        <w:t>coole Town</w:t>
      </w:r>
      <w:r>
        <w:t xml:space="preserve"> consistent </w:t>
      </w:r>
      <w:r w:rsidR="00556327">
        <w:t>with</w:t>
      </w:r>
      <w:r>
        <w:t xml:space="preserve"> </w:t>
      </w:r>
      <w:r w:rsidR="00EA7D9C">
        <w:t>SDCC’s</w:t>
      </w:r>
      <w:r>
        <w:t xml:space="preserve"> development objectives in the </w:t>
      </w:r>
      <w:r w:rsidR="00556327">
        <w:t xml:space="preserve">SDCCDP 2022-2028. </w:t>
      </w:r>
    </w:p>
    <w:p w14:paraId="5023CA0A" w14:textId="77777777" w:rsidR="00556327" w:rsidRDefault="00556327" w:rsidP="00005303"/>
    <w:p w14:paraId="503D2F8E" w14:textId="77777777" w:rsidR="00005303" w:rsidRDefault="00005303" w:rsidP="00005303">
      <w:pPr>
        <w:rPr>
          <w:lang w:eastAsia="en-IE"/>
        </w:rPr>
      </w:pPr>
      <w:r w:rsidRPr="001F418B">
        <w:rPr>
          <w:lang w:eastAsia="en-IE"/>
        </w:rPr>
        <w:t xml:space="preserve">The proposed mitigation measures will avoid, prevent, or reduce impacts on the human environment during the construction and operational phases of the proposed development. Residual impacts are those which remain following the implementation of the proposed mitigation measures, however no significant adverse residual impacts have been identified. </w:t>
      </w:r>
    </w:p>
    <w:p w14:paraId="329A48F8" w14:textId="77777777" w:rsidR="00EF2D71" w:rsidRPr="001F418B" w:rsidRDefault="00EF2D71" w:rsidP="00005303">
      <w:pPr>
        <w:rPr>
          <w:lang w:eastAsia="en-IE"/>
        </w:rPr>
      </w:pPr>
    </w:p>
    <w:p w14:paraId="56562FA1" w14:textId="49BF2B1F" w:rsidR="00005303" w:rsidRPr="001F418B" w:rsidRDefault="00005303" w:rsidP="00005303">
      <w:r w:rsidRPr="001F418B">
        <w:rPr>
          <w:lang w:eastAsia="en-IE"/>
        </w:rPr>
        <w:t>The land will have a suburban character</w:t>
      </w:r>
      <w:r w:rsidR="00C91EDF">
        <w:rPr>
          <w:lang w:eastAsia="en-IE"/>
        </w:rPr>
        <w:t>, with significant tracts of woodland and recreational facilities</w:t>
      </w:r>
      <w:r w:rsidRPr="001F418B">
        <w:rPr>
          <w:lang w:eastAsia="en-IE"/>
        </w:rPr>
        <w:t xml:space="preserve">. However, this change is in context with the specific zoning of the site and the impact is considered acceptable when balanced with the other positive impacts on amenity, such as the provision of active public </w:t>
      </w:r>
      <w:r w:rsidRPr="001F418B">
        <w:rPr>
          <w:lang w:eastAsia="en-IE"/>
        </w:rPr>
        <w:lastRenderedPageBreak/>
        <w:t xml:space="preserve">amenity spaces, </w:t>
      </w:r>
      <w:r w:rsidR="00EF2D71">
        <w:rPr>
          <w:lang w:eastAsia="en-IE"/>
        </w:rPr>
        <w:t xml:space="preserve">recreational spaces, enhanced access to natural amenities and </w:t>
      </w:r>
      <w:r w:rsidRPr="001F418B">
        <w:rPr>
          <w:lang w:eastAsia="en-IE"/>
        </w:rPr>
        <w:t xml:space="preserve">much needed housing in the </w:t>
      </w:r>
      <w:r w:rsidR="00EF2D71">
        <w:rPr>
          <w:lang w:eastAsia="en-IE"/>
        </w:rPr>
        <w:t>greater Dublin Metropolitan Area</w:t>
      </w:r>
      <w:r w:rsidRPr="001F418B">
        <w:rPr>
          <w:lang w:eastAsia="en-IE"/>
        </w:rPr>
        <w:t>.</w:t>
      </w:r>
    </w:p>
    <w:p w14:paraId="19928A11" w14:textId="3F03A287" w:rsidR="004745EA" w:rsidRDefault="004745EA" w:rsidP="004B509F">
      <w:pPr>
        <w:pStyle w:val="Heading2"/>
      </w:pPr>
      <w:bookmarkStart w:id="89" w:name="_Toc233122776"/>
      <w:r>
        <w:t>Cumulative Impacts</w:t>
      </w:r>
      <w:bookmarkEnd w:id="89"/>
    </w:p>
    <w:p w14:paraId="5A572FB0" w14:textId="0B01D463" w:rsidR="00481540" w:rsidRDefault="00481540" w:rsidP="00481540">
      <w:pPr>
        <w:pStyle w:val="Heading3"/>
        <w:rPr>
          <w:kern w:val="0"/>
        </w:rPr>
      </w:pPr>
      <w:bookmarkStart w:id="90" w:name="_Toc233122777"/>
      <w:r>
        <w:t>Cumulative Impacts</w:t>
      </w:r>
      <w:bookmarkEnd w:id="90"/>
    </w:p>
    <w:p w14:paraId="2B099D4F" w14:textId="6D77DF83" w:rsidR="00481540" w:rsidRDefault="00481540" w:rsidP="00F73035">
      <w:r>
        <w:t xml:space="preserve">The proposed development will introduce a new residential population </w:t>
      </w:r>
      <w:r w:rsidR="008D2071">
        <w:t>to a greenfield site</w:t>
      </w:r>
      <w:r w:rsidR="00F73035">
        <w:t xml:space="preserve"> at the edge of Rathcoole Town</w:t>
      </w:r>
      <w:r>
        <w:t xml:space="preserve">, a designated Self-Sustaining Growth Town within </w:t>
      </w:r>
      <w:r w:rsidR="00F73035">
        <w:t>South Dublin</w:t>
      </w:r>
      <w:r>
        <w:t>. Based on the average household size identified within the baseline assessment, the proposed development is expected to accommodate approximately 385 persons upon completion.</w:t>
      </w:r>
      <w:r w:rsidR="00F73035">
        <w:t xml:space="preserve"> </w:t>
      </w:r>
      <w:r>
        <w:t>The development will deliver 130 units together with significant supporting infrastructure including public open space, active travel connections, woodland management and enhancement measures, upgraded recreational trails, two senior GAA pitches, one junior GAA pitch and an associated pavilion building. The proposed development therefore represents not only a residential scheme, but also a significant investment in recreational infrastructure that will serve both future residents and the existing population of Rathcoole.</w:t>
      </w:r>
    </w:p>
    <w:p w14:paraId="5C9A5B8D" w14:textId="77777777" w:rsidR="00F73035" w:rsidRDefault="00F73035" w:rsidP="00481540">
      <w:pPr>
        <w:pStyle w:val="NormalWeb"/>
      </w:pPr>
    </w:p>
    <w:p w14:paraId="2AE49AD2" w14:textId="77777777" w:rsidR="00481540" w:rsidRDefault="00481540" w:rsidP="00E65659">
      <w:r>
        <w:t>A search was undertaken to identify existing and permitted developments that may contribute to cumulative effects in combination with the proposed development. Sources consulted included:</w:t>
      </w:r>
    </w:p>
    <w:p w14:paraId="0D1A46AA" w14:textId="77777777" w:rsidR="00E65659" w:rsidRDefault="00E65659" w:rsidP="00E65659"/>
    <w:p w14:paraId="1F1429D5" w14:textId="77777777" w:rsidR="00481540" w:rsidRDefault="00481540" w:rsidP="00B168CE">
      <w:pPr>
        <w:pStyle w:val="ListBullet"/>
      </w:pPr>
      <w:r>
        <w:t>South Dublin County Council Planning Register;</w:t>
      </w:r>
    </w:p>
    <w:p w14:paraId="6395850D" w14:textId="77777777" w:rsidR="00481540" w:rsidRDefault="00481540" w:rsidP="00B168CE">
      <w:pPr>
        <w:pStyle w:val="ListBullet"/>
      </w:pPr>
      <w:r>
        <w:t>An Coimisiún Pleanála Planning Register;</w:t>
      </w:r>
    </w:p>
    <w:p w14:paraId="7A1E3828" w14:textId="77777777" w:rsidR="00481540" w:rsidRDefault="00481540" w:rsidP="00B168CE">
      <w:pPr>
        <w:pStyle w:val="ListBullet"/>
      </w:pPr>
      <w:r>
        <w:t>South Dublin County Development Plan 2022-2028;</w:t>
      </w:r>
    </w:p>
    <w:p w14:paraId="745D6112" w14:textId="77777777" w:rsidR="00481540" w:rsidRDefault="00481540" w:rsidP="00B168CE">
      <w:pPr>
        <w:pStyle w:val="ListBullet"/>
      </w:pPr>
      <w:r>
        <w:t>Proposed Variation No. 2 to the South Dublin County Development Plan;</w:t>
      </w:r>
    </w:p>
    <w:p w14:paraId="3D61EA32" w14:textId="77777777" w:rsidR="00481540" w:rsidRDefault="00481540" w:rsidP="00B168CE">
      <w:pPr>
        <w:pStyle w:val="ListBullet"/>
      </w:pPr>
      <w:r>
        <w:t>Relevant planning permissions and appeals within the Rathcoole, Saggart and Citywest areas; and</w:t>
      </w:r>
    </w:p>
    <w:p w14:paraId="70626756" w14:textId="361E8C14" w:rsidR="00481540" w:rsidRDefault="00481540" w:rsidP="00B168CE">
      <w:pPr>
        <w:pStyle w:val="ListBullet"/>
      </w:pPr>
      <w:r>
        <w:t>The EIA</w:t>
      </w:r>
      <w:r w:rsidR="00B168CE">
        <w:t>R</w:t>
      </w:r>
      <w:r>
        <w:t xml:space="preserve"> Portal.</w:t>
      </w:r>
    </w:p>
    <w:p w14:paraId="7B1E8403" w14:textId="7C03900E" w:rsidR="00E65659" w:rsidRDefault="00481540" w:rsidP="00B168CE">
      <w:r>
        <w:t>The principal developments identified within the vicinity of the application site are outlined below.</w:t>
      </w:r>
    </w:p>
    <w:p w14:paraId="08349533" w14:textId="698F73E5" w:rsidR="00481540" w:rsidRDefault="00481540" w:rsidP="00481540">
      <w:pPr>
        <w:pStyle w:val="Heading4"/>
      </w:pPr>
      <w:r>
        <w:t>Relevant Planning History – Application Site and Immediate Area</w:t>
      </w:r>
    </w:p>
    <w:p w14:paraId="63979703" w14:textId="34115769" w:rsidR="00E65659" w:rsidRDefault="00E65659" w:rsidP="00E65659">
      <w:pPr>
        <w:pStyle w:val="BodyText"/>
      </w:pPr>
      <w:r>
        <w:t>One notable planning approval has been identified at the site.</w:t>
      </w:r>
    </w:p>
    <w:p w14:paraId="7D5A988E" w14:textId="509A9DDD" w:rsidR="005E6D69" w:rsidRPr="00733E9A" w:rsidRDefault="005E6D69" w:rsidP="005E6D69">
      <w:pPr>
        <w:pStyle w:val="Caption"/>
      </w:pPr>
      <w:bookmarkStart w:id="91" w:name="_Toc233123423"/>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13</w:t>
      </w:r>
      <w:r>
        <w:fldChar w:fldCharType="end"/>
      </w:r>
      <w:r w:rsidRPr="00733E9A">
        <w:t xml:space="preserve">: </w:t>
      </w:r>
      <w:r>
        <w:t>Planning Permissions at the Site</w:t>
      </w:r>
      <w:bookmarkEnd w:id="91"/>
      <w:r>
        <w:t xml:space="preserve"> </w:t>
      </w:r>
    </w:p>
    <w:tbl>
      <w:tblPr>
        <w:tblStyle w:val="AECOMtable"/>
        <w:tblW w:w="5000" w:type="pct"/>
        <w:tblLook w:val="04A0" w:firstRow="1" w:lastRow="0" w:firstColumn="1" w:lastColumn="0" w:noHBand="0" w:noVBand="1"/>
      </w:tblPr>
      <w:tblGrid>
        <w:gridCol w:w="1871"/>
        <w:gridCol w:w="1871"/>
        <w:gridCol w:w="937"/>
        <w:gridCol w:w="3685"/>
        <w:gridCol w:w="990"/>
      </w:tblGrid>
      <w:tr w:rsidR="005E6D69" w:rsidRPr="00270B61" w14:paraId="6FBD5B5C" w14:textId="77777777">
        <w:trPr>
          <w:cnfStyle w:val="100000000000" w:firstRow="1" w:lastRow="0" w:firstColumn="0" w:lastColumn="0" w:oddVBand="0" w:evenVBand="0" w:oddHBand="0" w:evenHBand="0" w:firstRowFirstColumn="0" w:firstRowLastColumn="0" w:lastRowFirstColumn="0" w:lastRowLastColumn="0"/>
          <w:tblHeader/>
        </w:trPr>
        <w:tc>
          <w:tcPr>
            <w:tcW w:w="1000" w:type="pct"/>
          </w:tcPr>
          <w:p w14:paraId="179B7899" w14:textId="77777777" w:rsidR="005E6D69" w:rsidRPr="00270B61" w:rsidRDefault="005E6D69">
            <w:pPr>
              <w:pStyle w:val="Tabletext"/>
              <w:jc w:val="left"/>
              <w:rPr>
                <w:rFonts w:cstheme="majorHAnsi"/>
              </w:rPr>
            </w:pPr>
            <w:r>
              <w:rPr>
                <w:rFonts w:cstheme="majorHAnsi"/>
              </w:rPr>
              <w:t>Reference Number</w:t>
            </w:r>
          </w:p>
        </w:tc>
        <w:tc>
          <w:tcPr>
            <w:tcW w:w="1000" w:type="pct"/>
          </w:tcPr>
          <w:p w14:paraId="426E468C" w14:textId="77777777" w:rsidR="005E6D69" w:rsidRPr="00270B61" w:rsidRDefault="005E6D69">
            <w:pPr>
              <w:pStyle w:val="Tabletext"/>
              <w:jc w:val="left"/>
              <w:rPr>
                <w:rFonts w:cstheme="majorHAnsi"/>
              </w:rPr>
            </w:pPr>
            <w:r w:rsidRPr="00270B61">
              <w:rPr>
                <w:rFonts w:cstheme="majorHAnsi"/>
              </w:rPr>
              <w:t>Address</w:t>
            </w:r>
          </w:p>
        </w:tc>
        <w:tc>
          <w:tcPr>
            <w:tcW w:w="501" w:type="pct"/>
          </w:tcPr>
          <w:p w14:paraId="1B952ED8" w14:textId="77777777" w:rsidR="005E6D69" w:rsidRPr="00270B61" w:rsidRDefault="005E6D69">
            <w:pPr>
              <w:pStyle w:val="Tabletext"/>
              <w:jc w:val="left"/>
              <w:rPr>
                <w:rFonts w:cstheme="majorHAnsi"/>
              </w:rPr>
            </w:pPr>
            <w:r>
              <w:rPr>
                <w:rFonts w:cstheme="majorHAnsi"/>
              </w:rPr>
              <w:t>Status</w:t>
            </w:r>
          </w:p>
        </w:tc>
        <w:tc>
          <w:tcPr>
            <w:tcW w:w="1970" w:type="pct"/>
          </w:tcPr>
          <w:p w14:paraId="4532E0F8" w14:textId="77777777" w:rsidR="005E6D69" w:rsidRPr="00270B61" w:rsidRDefault="005E6D69">
            <w:pPr>
              <w:pStyle w:val="Tabletext"/>
              <w:jc w:val="left"/>
              <w:rPr>
                <w:rFonts w:cstheme="majorHAnsi"/>
              </w:rPr>
            </w:pPr>
            <w:r>
              <w:rPr>
                <w:rFonts w:cstheme="majorHAnsi"/>
              </w:rPr>
              <w:t>Description</w:t>
            </w:r>
          </w:p>
        </w:tc>
        <w:tc>
          <w:tcPr>
            <w:tcW w:w="529" w:type="pct"/>
          </w:tcPr>
          <w:p w14:paraId="4BED7564" w14:textId="77777777" w:rsidR="005E6D69" w:rsidRPr="00270B61" w:rsidRDefault="005E6D69">
            <w:pPr>
              <w:pStyle w:val="Tabletext"/>
              <w:jc w:val="left"/>
              <w:rPr>
                <w:rFonts w:cstheme="majorHAnsi"/>
              </w:rPr>
            </w:pPr>
            <w:r w:rsidRPr="00270B61">
              <w:rPr>
                <w:rFonts w:cstheme="majorHAnsi"/>
              </w:rPr>
              <w:t>Distance from Site (km)</w:t>
            </w:r>
          </w:p>
        </w:tc>
      </w:tr>
      <w:tr w:rsidR="005E6D69" w:rsidRPr="00270B61" w14:paraId="6718F270" w14:textId="77777777">
        <w:trPr>
          <w:trHeight w:val="225"/>
        </w:trPr>
        <w:tc>
          <w:tcPr>
            <w:tcW w:w="1000" w:type="pct"/>
          </w:tcPr>
          <w:p w14:paraId="4E66D70D" w14:textId="77777777" w:rsidR="005E6D69" w:rsidRPr="00EC4857" w:rsidRDefault="005E6D69">
            <w:pPr>
              <w:pStyle w:val="Tabletext"/>
              <w:jc w:val="left"/>
              <w:rPr>
                <w:rFonts w:asciiTheme="majorHAnsi" w:hAnsiTheme="majorHAnsi" w:cstheme="majorHAnsi"/>
                <w:b/>
                <w:bCs/>
              </w:rPr>
            </w:pPr>
            <w:r w:rsidRPr="00EC4857">
              <w:rPr>
                <w:rFonts w:asciiTheme="majorHAnsi" w:hAnsiTheme="majorHAnsi" w:cstheme="majorHAnsi"/>
                <w:b/>
                <w:bCs/>
              </w:rPr>
              <w:t>SDCC Ref. SD23A/0336</w:t>
            </w:r>
          </w:p>
          <w:p w14:paraId="5A54E6A9" w14:textId="77777777" w:rsidR="005E6D69" w:rsidRPr="00727808" w:rsidRDefault="005E6D69">
            <w:pPr>
              <w:pStyle w:val="Tabletext"/>
              <w:spacing w:after="0"/>
              <w:jc w:val="left"/>
              <w:rPr>
                <w:rFonts w:asciiTheme="majorHAnsi" w:hAnsiTheme="majorHAnsi" w:cstheme="majorHAnsi"/>
                <w:b/>
                <w:bCs/>
              </w:rPr>
            </w:pPr>
            <w:r w:rsidRPr="00EC4857">
              <w:rPr>
                <w:rFonts w:asciiTheme="majorHAnsi" w:hAnsiTheme="majorHAnsi" w:cstheme="majorHAnsi"/>
                <w:b/>
                <w:bCs/>
              </w:rPr>
              <w:t>ACP Ref. 321696</w:t>
            </w:r>
          </w:p>
        </w:tc>
        <w:tc>
          <w:tcPr>
            <w:tcW w:w="1000" w:type="pct"/>
          </w:tcPr>
          <w:p w14:paraId="0621D28A" w14:textId="77777777" w:rsidR="005E6D69" w:rsidRPr="00270B61" w:rsidRDefault="005E6D69">
            <w:pPr>
              <w:pStyle w:val="Tabletext"/>
              <w:jc w:val="left"/>
              <w:rPr>
                <w:rFonts w:asciiTheme="majorHAnsi" w:hAnsiTheme="majorHAnsi" w:cstheme="majorHAnsi"/>
              </w:rPr>
            </w:pPr>
            <w:r w:rsidRPr="00EC4857">
              <w:rPr>
                <w:rFonts w:asciiTheme="majorHAnsi" w:hAnsiTheme="majorHAnsi" w:cstheme="majorHAnsi"/>
              </w:rPr>
              <w:t>Lands south of Coolamber Drive, Rathcoole, Co. Dublin</w:t>
            </w:r>
          </w:p>
        </w:tc>
        <w:tc>
          <w:tcPr>
            <w:tcW w:w="501" w:type="pct"/>
          </w:tcPr>
          <w:p w14:paraId="5A96B63F" w14:textId="77777777" w:rsidR="005E6D69" w:rsidRPr="00270B61" w:rsidRDefault="005E6D69">
            <w:pPr>
              <w:pStyle w:val="Tabletext"/>
              <w:jc w:val="left"/>
              <w:rPr>
                <w:rFonts w:asciiTheme="majorHAnsi" w:hAnsiTheme="majorHAnsi" w:cstheme="majorHAnsi"/>
              </w:rPr>
            </w:pPr>
            <w:r>
              <w:rPr>
                <w:rFonts w:asciiTheme="majorHAnsi" w:hAnsiTheme="majorHAnsi" w:cstheme="majorHAnsi"/>
              </w:rPr>
              <w:t>Granted on appeal</w:t>
            </w:r>
          </w:p>
        </w:tc>
        <w:tc>
          <w:tcPr>
            <w:tcW w:w="1970" w:type="pct"/>
          </w:tcPr>
          <w:p w14:paraId="62DA7EFA" w14:textId="77777777" w:rsidR="005E6D69" w:rsidRPr="00270B61" w:rsidRDefault="005E6D69">
            <w:pPr>
              <w:pStyle w:val="Tabletext"/>
              <w:jc w:val="left"/>
              <w:rPr>
                <w:rFonts w:asciiTheme="majorHAnsi" w:hAnsiTheme="majorHAnsi" w:cstheme="majorHAnsi"/>
              </w:rPr>
            </w:pPr>
            <w:r w:rsidRPr="008B7BF8">
              <w:rPr>
                <w:rFonts w:asciiTheme="majorHAnsi" w:hAnsiTheme="majorHAnsi" w:cstheme="majorHAnsi"/>
              </w:rPr>
              <w:t>New primary school (Roll No. 20549P), including 20 classrooms, with a gross floor area of 3,449 sq.m over 3 storeys</w:t>
            </w:r>
            <w:r>
              <w:rPr>
                <w:rFonts w:asciiTheme="majorHAnsi" w:hAnsiTheme="majorHAnsi" w:cstheme="majorHAnsi"/>
              </w:rPr>
              <w:t>.</w:t>
            </w:r>
          </w:p>
        </w:tc>
        <w:tc>
          <w:tcPr>
            <w:tcW w:w="529" w:type="pct"/>
          </w:tcPr>
          <w:p w14:paraId="734632D4" w14:textId="77777777" w:rsidR="005E6D69" w:rsidRPr="00270B61" w:rsidRDefault="005E6D69">
            <w:pPr>
              <w:pStyle w:val="Tabletext"/>
              <w:jc w:val="left"/>
              <w:rPr>
                <w:rFonts w:asciiTheme="majorHAnsi" w:hAnsiTheme="majorHAnsi" w:cstheme="majorHAnsi"/>
              </w:rPr>
            </w:pPr>
            <w:r>
              <w:rPr>
                <w:rFonts w:asciiTheme="majorHAnsi" w:hAnsiTheme="majorHAnsi" w:cstheme="majorHAnsi"/>
              </w:rPr>
              <w:t>0km</w:t>
            </w:r>
          </w:p>
        </w:tc>
      </w:tr>
    </w:tbl>
    <w:p w14:paraId="386ADB2D" w14:textId="77777777" w:rsidR="005E6D69" w:rsidRPr="00E65659" w:rsidRDefault="005E6D69" w:rsidP="00E65659">
      <w:pPr>
        <w:pStyle w:val="BodyText"/>
      </w:pPr>
    </w:p>
    <w:p w14:paraId="78BF19BC" w14:textId="7D401E84" w:rsidR="009D7636" w:rsidRPr="009D7636" w:rsidRDefault="009D7636" w:rsidP="00E65659">
      <w:pPr>
        <w:pStyle w:val="Heading4"/>
      </w:pPr>
      <w:r>
        <w:t>Relevant Planning History – Application Site and Immediate Area</w:t>
      </w:r>
    </w:p>
    <w:p w14:paraId="1C0E33EE" w14:textId="77777777" w:rsidR="009D7636" w:rsidRDefault="009D7636" w:rsidP="00B168CE"/>
    <w:p w14:paraId="644C89B6" w14:textId="13AD49BA" w:rsidR="00481540" w:rsidRDefault="00481540" w:rsidP="00B168CE">
      <w:r>
        <w:t xml:space="preserve">The application site forms part of lands identified for residential growth within Rathcoole. The following </w:t>
      </w:r>
      <w:r w:rsidR="009D7636">
        <w:t xml:space="preserve">nearby </w:t>
      </w:r>
      <w:r>
        <w:t>permissions and proposals are considered most relevant from a cumulative Population and Human Health perspective.</w:t>
      </w:r>
    </w:p>
    <w:p w14:paraId="19D5BBAD" w14:textId="77777777" w:rsidR="00D07012" w:rsidRDefault="00D07012" w:rsidP="00B168CE"/>
    <w:p w14:paraId="511B67D7" w14:textId="6ECDB635" w:rsidR="00CA788C" w:rsidRDefault="00D07012" w:rsidP="00D07012">
      <w:pPr>
        <w:pStyle w:val="Caption"/>
      </w:pPr>
      <w:bookmarkStart w:id="92" w:name="_Toc233123424"/>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14</w:t>
      </w:r>
      <w:r>
        <w:fldChar w:fldCharType="end"/>
      </w:r>
      <w:r w:rsidRPr="00733E9A">
        <w:t xml:space="preserve">: </w:t>
      </w:r>
      <w:r>
        <w:t>Planning Permissions in the Immediate Area</w:t>
      </w:r>
      <w:bookmarkEnd w:id="92"/>
      <w:r>
        <w:t xml:space="preserve"> </w:t>
      </w:r>
    </w:p>
    <w:tbl>
      <w:tblPr>
        <w:tblW w:w="5000" w:type="pct"/>
        <w:tblCellMar>
          <w:top w:w="15" w:type="dxa"/>
          <w:left w:w="15" w:type="dxa"/>
          <w:bottom w:w="15" w:type="dxa"/>
          <w:right w:w="23" w:type="dxa"/>
        </w:tblCellMar>
        <w:tblLook w:val="04A0" w:firstRow="1" w:lastRow="0" w:firstColumn="1" w:lastColumn="0" w:noHBand="0" w:noVBand="1"/>
      </w:tblPr>
      <w:tblGrid>
        <w:gridCol w:w="1254"/>
        <w:gridCol w:w="1656"/>
        <w:gridCol w:w="1059"/>
        <w:gridCol w:w="4395"/>
        <w:gridCol w:w="990"/>
      </w:tblGrid>
      <w:tr w:rsidR="00D9541C" w14:paraId="71C6FF10" w14:textId="77777777" w:rsidTr="00FE14A8">
        <w:trPr>
          <w:trHeight w:val="682"/>
          <w:tblHeader/>
        </w:trPr>
        <w:tc>
          <w:tcPr>
            <w:tcW w:w="671" w:type="pct"/>
            <w:tcBorders>
              <w:bottom w:val="single" w:sz="4" w:space="0" w:color="auto"/>
            </w:tcBorders>
            <w:vAlign w:val="center"/>
            <w:hideMark/>
          </w:tcPr>
          <w:p w14:paraId="674BF032" w14:textId="77777777" w:rsidR="00D9541C" w:rsidRPr="0074106F" w:rsidRDefault="00D9541C" w:rsidP="003E3547">
            <w:pPr>
              <w:pStyle w:val="TextNormal"/>
              <w:jc w:val="left"/>
              <w:rPr>
                <w:rFonts w:asciiTheme="majorHAnsi" w:eastAsia="Times New Roman" w:hAnsiTheme="majorHAnsi" w:cstheme="majorHAnsi"/>
                <w:b/>
                <w:bCs/>
                <w:color w:val="008768" w:themeColor="accent1"/>
                <w:sz w:val="18"/>
                <w:szCs w:val="18"/>
                <w:lang w:val="en-GB" w:eastAsia="en-IE"/>
              </w:rPr>
            </w:pPr>
            <w:r w:rsidRPr="0074106F">
              <w:rPr>
                <w:rFonts w:asciiTheme="majorHAnsi" w:eastAsia="Times New Roman" w:hAnsiTheme="majorHAnsi" w:cstheme="majorHAnsi"/>
                <w:b/>
                <w:bCs/>
                <w:color w:val="008768" w:themeColor="accent1"/>
                <w:sz w:val="18"/>
                <w:szCs w:val="18"/>
                <w:lang w:val="en-GB" w:eastAsia="en-IE"/>
              </w:rPr>
              <w:t>Reference</w:t>
            </w:r>
          </w:p>
        </w:tc>
        <w:tc>
          <w:tcPr>
            <w:tcW w:w="885" w:type="pct"/>
            <w:tcBorders>
              <w:bottom w:val="single" w:sz="4" w:space="0" w:color="auto"/>
            </w:tcBorders>
            <w:vAlign w:val="center"/>
          </w:tcPr>
          <w:p w14:paraId="6B20BEED" w14:textId="65A5C17F" w:rsidR="00D9541C" w:rsidRPr="0074106F" w:rsidRDefault="00D9541C" w:rsidP="003E3547">
            <w:pPr>
              <w:pStyle w:val="TextNormal"/>
              <w:jc w:val="left"/>
              <w:rPr>
                <w:rFonts w:asciiTheme="majorHAnsi" w:eastAsia="Times New Roman" w:hAnsiTheme="majorHAnsi" w:cstheme="majorHAnsi"/>
                <w:b/>
                <w:bCs/>
                <w:color w:val="008768" w:themeColor="accent1"/>
                <w:sz w:val="18"/>
                <w:szCs w:val="18"/>
                <w:lang w:val="en-GB" w:eastAsia="en-IE"/>
              </w:rPr>
            </w:pPr>
            <w:r>
              <w:rPr>
                <w:rFonts w:asciiTheme="majorHAnsi" w:eastAsia="Times New Roman" w:hAnsiTheme="majorHAnsi" w:cstheme="majorHAnsi"/>
                <w:b/>
                <w:bCs/>
                <w:color w:val="008768" w:themeColor="accent1"/>
                <w:sz w:val="18"/>
                <w:szCs w:val="18"/>
                <w:lang w:val="en-GB" w:eastAsia="en-IE"/>
              </w:rPr>
              <w:t>Address</w:t>
            </w:r>
          </w:p>
        </w:tc>
        <w:tc>
          <w:tcPr>
            <w:tcW w:w="566" w:type="pct"/>
            <w:tcBorders>
              <w:bottom w:val="single" w:sz="4" w:space="0" w:color="auto"/>
            </w:tcBorders>
            <w:vAlign w:val="center"/>
            <w:hideMark/>
          </w:tcPr>
          <w:p w14:paraId="674A8946" w14:textId="4B392A83" w:rsidR="00D9541C" w:rsidRPr="0074106F" w:rsidRDefault="00D9541C" w:rsidP="003E3547">
            <w:pPr>
              <w:pStyle w:val="TextNormal"/>
              <w:jc w:val="left"/>
              <w:rPr>
                <w:rFonts w:asciiTheme="majorHAnsi" w:eastAsia="Times New Roman" w:hAnsiTheme="majorHAnsi" w:cstheme="majorHAnsi"/>
                <w:b/>
                <w:bCs/>
                <w:color w:val="008768" w:themeColor="accent1"/>
                <w:sz w:val="18"/>
                <w:szCs w:val="18"/>
                <w:lang w:val="en-GB" w:eastAsia="en-IE"/>
              </w:rPr>
            </w:pPr>
            <w:r w:rsidRPr="0074106F">
              <w:rPr>
                <w:rFonts w:asciiTheme="majorHAnsi" w:eastAsia="Times New Roman" w:hAnsiTheme="majorHAnsi" w:cstheme="majorHAnsi"/>
                <w:b/>
                <w:bCs/>
                <w:color w:val="008768" w:themeColor="accent1"/>
                <w:sz w:val="18"/>
                <w:szCs w:val="18"/>
                <w:lang w:val="en-GB" w:eastAsia="en-IE"/>
              </w:rPr>
              <w:t>Status</w:t>
            </w:r>
          </w:p>
        </w:tc>
        <w:tc>
          <w:tcPr>
            <w:tcW w:w="2349" w:type="pct"/>
            <w:tcBorders>
              <w:bottom w:val="single" w:sz="4" w:space="0" w:color="auto"/>
            </w:tcBorders>
            <w:vAlign w:val="center"/>
            <w:hideMark/>
          </w:tcPr>
          <w:p w14:paraId="31813DD6" w14:textId="77777777" w:rsidR="00D9541C" w:rsidRPr="0074106F" w:rsidRDefault="00D9541C" w:rsidP="003E3547">
            <w:pPr>
              <w:pStyle w:val="TextNormal"/>
              <w:jc w:val="left"/>
              <w:rPr>
                <w:rFonts w:asciiTheme="majorHAnsi" w:eastAsia="Times New Roman" w:hAnsiTheme="majorHAnsi" w:cstheme="majorHAnsi"/>
                <w:b/>
                <w:bCs/>
                <w:color w:val="008768" w:themeColor="accent1"/>
                <w:sz w:val="18"/>
                <w:szCs w:val="18"/>
                <w:lang w:val="en-GB" w:eastAsia="en-IE"/>
              </w:rPr>
            </w:pPr>
            <w:r w:rsidRPr="0074106F">
              <w:rPr>
                <w:rFonts w:asciiTheme="majorHAnsi" w:eastAsia="Times New Roman" w:hAnsiTheme="majorHAnsi" w:cstheme="majorHAnsi"/>
                <w:b/>
                <w:bCs/>
                <w:color w:val="008768" w:themeColor="accent1"/>
                <w:sz w:val="18"/>
                <w:szCs w:val="18"/>
                <w:lang w:val="en-GB" w:eastAsia="en-IE"/>
              </w:rPr>
              <w:t>Summa</w:t>
            </w:r>
            <w:r w:rsidRPr="005217F3">
              <w:rPr>
                <w:rFonts w:asciiTheme="majorHAnsi" w:eastAsia="Times New Roman" w:hAnsiTheme="majorHAnsi" w:cstheme="majorHAnsi"/>
                <w:b/>
                <w:bCs/>
                <w:color w:val="008768"/>
                <w:sz w:val="18"/>
                <w:szCs w:val="18"/>
                <w:lang w:val="en-GB" w:eastAsia="en-IE"/>
              </w:rPr>
              <w:t>ry</w:t>
            </w:r>
          </w:p>
        </w:tc>
        <w:tc>
          <w:tcPr>
            <w:tcW w:w="529" w:type="pct"/>
            <w:tcBorders>
              <w:bottom w:val="single" w:sz="4" w:space="0" w:color="auto"/>
            </w:tcBorders>
            <w:vAlign w:val="center"/>
            <w:hideMark/>
          </w:tcPr>
          <w:p w14:paraId="462E1ACD" w14:textId="2E267315" w:rsidR="00D9541C" w:rsidRPr="0074106F" w:rsidRDefault="00D9541C" w:rsidP="003E3547">
            <w:pPr>
              <w:pStyle w:val="TextNormal"/>
              <w:jc w:val="left"/>
              <w:rPr>
                <w:rFonts w:asciiTheme="majorHAnsi" w:eastAsia="Times New Roman" w:hAnsiTheme="majorHAnsi" w:cstheme="majorHAnsi"/>
                <w:b/>
                <w:bCs/>
                <w:color w:val="008768" w:themeColor="accent1"/>
                <w:sz w:val="18"/>
                <w:szCs w:val="18"/>
                <w:lang w:val="en-GB" w:eastAsia="en-IE"/>
              </w:rPr>
            </w:pPr>
            <w:r w:rsidRPr="0074106F">
              <w:rPr>
                <w:rFonts w:asciiTheme="majorHAnsi" w:eastAsia="Times New Roman" w:hAnsiTheme="majorHAnsi" w:cstheme="majorHAnsi"/>
                <w:b/>
                <w:bCs/>
                <w:color w:val="008768" w:themeColor="accent1"/>
                <w:sz w:val="18"/>
                <w:szCs w:val="18"/>
                <w:lang w:val="en-GB" w:eastAsia="en-IE"/>
              </w:rPr>
              <w:t>Distance</w:t>
            </w:r>
            <w:r>
              <w:rPr>
                <w:rFonts w:asciiTheme="majorHAnsi" w:eastAsia="Times New Roman" w:hAnsiTheme="majorHAnsi" w:cstheme="majorHAnsi"/>
                <w:b/>
                <w:bCs/>
                <w:color w:val="008768" w:themeColor="accent1"/>
                <w:sz w:val="18"/>
                <w:szCs w:val="18"/>
                <w:lang w:val="en-GB" w:eastAsia="en-IE"/>
              </w:rPr>
              <w:t xml:space="preserve"> from Site (km)</w:t>
            </w:r>
          </w:p>
        </w:tc>
      </w:tr>
      <w:tr w:rsidR="008471D1" w14:paraId="6D2A2F0F" w14:textId="77777777" w:rsidTr="00FE14A8">
        <w:tc>
          <w:tcPr>
            <w:tcW w:w="671" w:type="pct"/>
            <w:tcBorders>
              <w:top w:val="single" w:sz="12" w:space="0" w:color="008768"/>
              <w:bottom w:val="single" w:sz="4" w:space="0" w:color="auto"/>
            </w:tcBorders>
            <w:vAlign w:val="center"/>
          </w:tcPr>
          <w:p w14:paraId="3F2C6817" w14:textId="09AC5641" w:rsidR="008471D1" w:rsidRPr="003E3547" w:rsidRDefault="00263874" w:rsidP="003E3547">
            <w:pPr>
              <w:jc w:val="left"/>
              <w:rPr>
                <w:b/>
                <w:bCs/>
                <w:sz w:val="18"/>
              </w:rPr>
            </w:pPr>
            <w:r w:rsidRPr="00263874">
              <w:rPr>
                <w:b/>
                <w:bCs/>
                <w:sz w:val="18"/>
              </w:rPr>
              <w:t xml:space="preserve">SDCC Ref. SD25A/0266W </w:t>
            </w:r>
          </w:p>
        </w:tc>
        <w:tc>
          <w:tcPr>
            <w:tcW w:w="885" w:type="pct"/>
            <w:tcBorders>
              <w:top w:val="single" w:sz="12" w:space="0" w:color="008768"/>
              <w:bottom w:val="single" w:sz="4" w:space="0" w:color="auto"/>
            </w:tcBorders>
            <w:vAlign w:val="center"/>
          </w:tcPr>
          <w:p w14:paraId="25A21D0A" w14:textId="50146AE5" w:rsidR="008471D1" w:rsidRPr="00AF09F8" w:rsidRDefault="0074687F" w:rsidP="003E3547">
            <w:pPr>
              <w:jc w:val="left"/>
              <w:rPr>
                <w:sz w:val="18"/>
              </w:rPr>
            </w:pPr>
            <w:r w:rsidRPr="0074687F">
              <w:rPr>
                <w:sz w:val="18"/>
              </w:rPr>
              <w:t>Muldowney’s Pub, Main Street, Rathcoole, Co. Dublin, D24 AE33</w:t>
            </w:r>
          </w:p>
        </w:tc>
        <w:tc>
          <w:tcPr>
            <w:tcW w:w="566" w:type="pct"/>
            <w:tcBorders>
              <w:top w:val="single" w:sz="12" w:space="0" w:color="008768"/>
              <w:bottom w:val="single" w:sz="4" w:space="0" w:color="auto"/>
            </w:tcBorders>
            <w:vAlign w:val="center"/>
          </w:tcPr>
          <w:p w14:paraId="0615AD43" w14:textId="77777777" w:rsidR="00263874" w:rsidRPr="00263874" w:rsidRDefault="00263874" w:rsidP="00263874">
            <w:pPr>
              <w:jc w:val="left"/>
              <w:rPr>
                <w:sz w:val="18"/>
              </w:rPr>
            </w:pPr>
            <w:r w:rsidRPr="00263874">
              <w:rPr>
                <w:sz w:val="18"/>
              </w:rPr>
              <w:t>Grant permission</w:t>
            </w:r>
          </w:p>
          <w:p w14:paraId="5740C493" w14:textId="071EBCBC" w:rsidR="008471D1" w:rsidRPr="00611A1B" w:rsidRDefault="00263874" w:rsidP="003E3547">
            <w:pPr>
              <w:jc w:val="left"/>
              <w:rPr>
                <w:sz w:val="18"/>
              </w:rPr>
            </w:pPr>
            <w:r>
              <w:rPr>
                <w:sz w:val="18"/>
              </w:rPr>
              <w:t>2026</w:t>
            </w:r>
          </w:p>
        </w:tc>
        <w:tc>
          <w:tcPr>
            <w:tcW w:w="2349" w:type="pct"/>
            <w:tcBorders>
              <w:top w:val="single" w:sz="12" w:space="0" w:color="008768"/>
              <w:bottom w:val="single" w:sz="4" w:space="0" w:color="auto"/>
            </w:tcBorders>
            <w:vAlign w:val="center"/>
          </w:tcPr>
          <w:p w14:paraId="76D022D4" w14:textId="56E2AD2E" w:rsidR="0074687F" w:rsidRPr="0074687F" w:rsidRDefault="0074687F" w:rsidP="0074687F">
            <w:pPr>
              <w:jc w:val="left"/>
              <w:rPr>
                <w:sz w:val="18"/>
              </w:rPr>
            </w:pPr>
            <w:r w:rsidRPr="0074687F">
              <w:rPr>
                <w:sz w:val="18"/>
              </w:rPr>
              <w:t xml:space="preserve">a) the part demolition of Muldowney's Pub to the rear; b) the change of use of the front portion of the pub to provide for 2no. 1-bed units; c) the construction of 8 no. own-door residential units within a single three </w:t>
            </w:r>
            <w:r w:rsidRPr="0074687F">
              <w:rPr>
                <w:sz w:val="18"/>
              </w:rPr>
              <w:lastRenderedPageBreak/>
              <w:t>storey block to provide 4no. 1- bed units and 4no. 2-bed units</w:t>
            </w:r>
            <w:r>
              <w:rPr>
                <w:sz w:val="18"/>
              </w:rPr>
              <w:t xml:space="preserve"> and ancillary development</w:t>
            </w:r>
          </w:p>
          <w:p w14:paraId="6AC2213A" w14:textId="77777777" w:rsidR="008471D1" w:rsidRPr="00611A1B" w:rsidRDefault="008471D1" w:rsidP="003E3547">
            <w:pPr>
              <w:jc w:val="left"/>
              <w:rPr>
                <w:sz w:val="18"/>
              </w:rPr>
            </w:pPr>
          </w:p>
        </w:tc>
        <w:tc>
          <w:tcPr>
            <w:tcW w:w="529" w:type="pct"/>
            <w:tcBorders>
              <w:top w:val="single" w:sz="12" w:space="0" w:color="008768"/>
              <w:bottom w:val="single" w:sz="4" w:space="0" w:color="auto"/>
            </w:tcBorders>
            <w:vAlign w:val="center"/>
          </w:tcPr>
          <w:p w14:paraId="3481A881" w14:textId="66AFF9F4" w:rsidR="008471D1" w:rsidRPr="00611A1B" w:rsidRDefault="0074687F" w:rsidP="003E3547">
            <w:pPr>
              <w:jc w:val="left"/>
              <w:rPr>
                <w:sz w:val="18"/>
              </w:rPr>
            </w:pPr>
            <w:r>
              <w:rPr>
                <w:sz w:val="18"/>
              </w:rPr>
              <w:lastRenderedPageBreak/>
              <w:t>0.5km</w:t>
            </w:r>
          </w:p>
        </w:tc>
      </w:tr>
      <w:tr w:rsidR="00D9541C" w14:paraId="4E7B0890" w14:textId="77777777" w:rsidTr="00FE14A8">
        <w:trPr>
          <w:trHeight w:val="887"/>
        </w:trPr>
        <w:tc>
          <w:tcPr>
            <w:tcW w:w="671" w:type="pct"/>
            <w:tcBorders>
              <w:top w:val="single" w:sz="4" w:space="0" w:color="FFFFFF" w:themeColor="background2"/>
              <w:bottom w:val="single" w:sz="4" w:space="0" w:color="auto"/>
            </w:tcBorders>
            <w:vAlign w:val="center"/>
          </w:tcPr>
          <w:p w14:paraId="5E120184" w14:textId="77777777" w:rsidR="00D9541C" w:rsidRPr="003E3547" w:rsidRDefault="00D9541C" w:rsidP="003E3547">
            <w:pPr>
              <w:jc w:val="left"/>
              <w:rPr>
                <w:b/>
                <w:bCs/>
                <w:sz w:val="18"/>
              </w:rPr>
            </w:pPr>
            <w:r w:rsidRPr="003E3547">
              <w:rPr>
                <w:b/>
                <w:bCs/>
                <w:sz w:val="18"/>
              </w:rPr>
              <w:t>ACP Ref. 312501</w:t>
            </w:r>
          </w:p>
          <w:p w14:paraId="16CFC78B" w14:textId="77777777" w:rsidR="00D9541C" w:rsidRPr="003E3547" w:rsidRDefault="00D9541C" w:rsidP="003E3547">
            <w:pPr>
              <w:jc w:val="left"/>
              <w:rPr>
                <w:b/>
                <w:bCs/>
                <w:sz w:val="18"/>
              </w:rPr>
            </w:pPr>
          </w:p>
        </w:tc>
        <w:tc>
          <w:tcPr>
            <w:tcW w:w="885" w:type="pct"/>
            <w:tcBorders>
              <w:top w:val="single" w:sz="4" w:space="0" w:color="FFFFFF" w:themeColor="background2"/>
              <w:bottom w:val="single" w:sz="4" w:space="0" w:color="auto"/>
            </w:tcBorders>
            <w:vAlign w:val="center"/>
          </w:tcPr>
          <w:p w14:paraId="7016E39C" w14:textId="77777777" w:rsidR="00AF09F8" w:rsidRPr="00AF09F8" w:rsidRDefault="00AF09F8" w:rsidP="003E3547">
            <w:pPr>
              <w:jc w:val="left"/>
              <w:rPr>
                <w:sz w:val="18"/>
              </w:rPr>
            </w:pPr>
            <w:r w:rsidRPr="00AF09F8">
              <w:rPr>
                <w:sz w:val="18"/>
              </w:rPr>
              <w:t>Mill Road, Saggart, Co. Dublin</w:t>
            </w:r>
          </w:p>
          <w:p w14:paraId="5823DEAA" w14:textId="77777777" w:rsidR="00D9541C" w:rsidRPr="00611A1B" w:rsidRDefault="00D9541C" w:rsidP="003E3547">
            <w:pPr>
              <w:jc w:val="left"/>
              <w:rPr>
                <w:sz w:val="18"/>
              </w:rPr>
            </w:pPr>
          </w:p>
        </w:tc>
        <w:tc>
          <w:tcPr>
            <w:tcW w:w="566" w:type="pct"/>
            <w:tcBorders>
              <w:top w:val="single" w:sz="4" w:space="0" w:color="FFFFFF" w:themeColor="background2"/>
              <w:bottom w:val="single" w:sz="4" w:space="0" w:color="auto"/>
            </w:tcBorders>
            <w:vAlign w:val="center"/>
          </w:tcPr>
          <w:p w14:paraId="499C23F6" w14:textId="62105073" w:rsidR="00D9541C" w:rsidRPr="00611A1B" w:rsidRDefault="00D9541C" w:rsidP="003E3547">
            <w:pPr>
              <w:jc w:val="left"/>
              <w:rPr>
                <w:sz w:val="18"/>
              </w:rPr>
            </w:pPr>
            <w:r w:rsidRPr="00611A1B">
              <w:rPr>
                <w:sz w:val="18"/>
              </w:rPr>
              <w:t>Granted on appeal with conditions</w:t>
            </w:r>
            <w:r w:rsidR="00D3317D">
              <w:rPr>
                <w:sz w:val="18"/>
              </w:rPr>
              <w:t xml:space="preserve"> - constructed</w:t>
            </w:r>
          </w:p>
          <w:p w14:paraId="3C26DB24" w14:textId="77777777" w:rsidR="00D9541C" w:rsidRPr="00CA788C" w:rsidRDefault="00D9541C" w:rsidP="003E3547">
            <w:pPr>
              <w:jc w:val="left"/>
              <w:rPr>
                <w:sz w:val="18"/>
              </w:rPr>
            </w:pPr>
          </w:p>
        </w:tc>
        <w:tc>
          <w:tcPr>
            <w:tcW w:w="2349" w:type="pct"/>
            <w:tcBorders>
              <w:top w:val="single" w:sz="4" w:space="0" w:color="FFFFFF" w:themeColor="background2"/>
              <w:bottom w:val="single" w:sz="4" w:space="0" w:color="auto"/>
            </w:tcBorders>
            <w:vAlign w:val="center"/>
          </w:tcPr>
          <w:p w14:paraId="7DA877F4" w14:textId="77777777" w:rsidR="00D9541C" w:rsidRPr="00611A1B" w:rsidRDefault="00D9541C" w:rsidP="003E3547">
            <w:pPr>
              <w:jc w:val="left"/>
              <w:rPr>
                <w:sz w:val="18"/>
              </w:rPr>
            </w:pPr>
            <w:r w:rsidRPr="00611A1B">
              <w:rPr>
                <w:sz w:val="18"/>
              </w:rPr>
              <w:t>Demolition of an existing dwelling, construction of 274 no. residential units (51 no. houses, 223 no. apartments), creche and associated site works.</w:t>
            </w:r>
          </w:p>
          <w:p w14:paraId="39B1BE08" w14:textId="77777777" w:rsidR="00D9541C" w:rsidRPr="00CA788C" w:rsidRDefault="00D9541C" w:rsidP="003E3547">
            <w:pPr>
              <w:jc w:val="left"/>
              <w:rPr>
                <w:sz w:val="18"/>
              </w:rPr>
            </w:pPr>
          </w:p>
        </w:tc>
        <w:tc>
          <w:tcPr>
            <w:tcW w:w="529" w:type="pct"/>
            <w:tcBorders>
              <w:top w:val="single" w:sz="4" w:space="0" w:color="FFFFFF" w:themeColor="background2"/>
              <w:bottom w:val="single" w:sz="4" w:space="0" w:color="auto"/>
            </w:tcBorders>
            <w:vAlign w:val="center"/>
          </w:tcPr>
          <w:p w14:paraId="5861854D" w14:textId="77777777" w:rsidR="00D9541C" w:rsidRPr="00611A1B" w:rsidRDefault="00D9541C" w:rsidP="003E3547">
            <w:pPr>
              <w:jc w:val="left"/>
              <w:rPr>
                <w:sz w:val="18"/>
              </w:rPr>
            </w:pPr>
            <w:r w:rsidRPr="00611A1B">
              <w:rPr>
                <w:sz w:val="18"/>
              </w:rPr>
              <w:t>0.7km</w:t>
            </w:r>
          </w:p>
          <w:p w14:paraId="72D41D75" w14:textId="77777777" w:rsidR="00D9541C" w:rsidRPr="00CA788C" w:rsidRDefault="00D9541C" w:rsidP="003E3547">
            <w:pPr>
              <w:jc w:val="left"/>
              <w:rPr>
                <w:sz w:val="18"/>
              </w:rPr>
            </w:pPr>
          </w:p>
        </w:tc>
      </w:tr>
      <w:tr w:rsidR="00D9541C" w14:paraId="6A37516E" w14:textId="77777777" w:rsidTr="00FE14A8">
        <w:tc>
          <w:tcPr>
            <w:tcW w:w="671" w:type="pct"/>
            <w:tcBorders>
              <w:top w:val="single" w:sz="4" w:space="0" w:color="auto"/>
            </w:tcBorders>
            <w:vAlign w:val="center"/>
          </w:tcPr>
          <w:p w14:paraId="44C278E0" w14:textId="77777777" w:rsidR="00D9541C" w:rsidRPr="003E3547" w:rsidRDefault="00D9541C" w:rsidP="003E3547">
            <w:pPr>
              <w:jc w:val="left"/>
              <w:rPr>
                <w:b/>
                <w:bCs/>
                <w:sz w:val="18"/>
              </w:rPr>
            </w:pPr>
            <w:r w:rsidRPr="003E3547">
              <w:rPr>
                <w:b/>
                <w:bCs/>
                <w:sz w:val="18"/>
              </w:rPr>
              <w:t>SDCC Ref. SD24A/0092W</w:t>
            </w:r>
            <w:r w:rsidRPr="003E3547">
              <w:rPr>
                <w:b/>
                <w:bCs/>
                <w:sz w:val="18"/>
              </w:rPr>
              <w:br/>
              <w:t>ACP Ref. 322539</w:t>
            </w:r>
          </w:p>
          <w:p w14:paraId="61046E47" w14:textId="77777777" w:rsidR="00D9541C" w:rsidRPr="003E3547" w:rsidRDefault="00D9541C" w:rsidP="003E3547">
            <w:pPr>
              <w:jc w:val="left"/>
              <w:rPr>
                <w:b/>
                <w:bCs/>
                <w:sz w:val="18"/>
              </w:rPr>
            </w:pPr>
          </w:p>
        </w:tc>
        <w:tc>
          <w:tcPr>
            <w:tcW w:w="885" w:type="pct"/>
            <w:tcBorders>
              <w:top w:val="single" w:sz="4" w:space="0" w:color="auto"/>
            </w:tcBorders>
            <w:vAlign w:val="center"/>
          </w:tcPr>
          <w:p w14:paraId="28D492B4" w14:textId="77777777" w:rsidR="001C3001" w:rsidRPr="001C3001" w:rsidRDefault="001C3001" w:rsidP="003E3547">
            <w:pPr>
              <w:jc w:val="left"/>
              <w:rPr>
                <w:sz w:val="18"/>
              </w:rPr>
            </w:pPr>
            <w:r w:rsidRPr="001C3001">
              <w:rPr>
                <w:sz w:val="18"/>
              </w:rPr>
              <w:t>Lands located adjacent to Drury Mills and Drury Park, Swiftbrook, Saggart, Co. Dublin</w:t>
            </w:r>
          </w:p>
          <w:p w14:paraId="78230AD0" w14:textId="77777777" w:rsidR="00D9541C" w:rsidRPr="00031F5D" w:rsidRDefault="00D9541C" w:rsidP="003E3547">
            <w:pPr>
              <w:jc w:val="left"/>
              <w:rPr>
                <w:sz w:val="18"/>
              </w:rPr>
            </w:pPr>
          </w:p>
        </w:tc>
        <w:tc>
          <w:tcPr>
            <w:tcW w:w="566" w:type="pct"/>
            <w:tcBorders>
              <w:top w:val="single" w:sz="4" w:space="0" w:color="auto"/>
            </w:tcBorders>
            <w:vAlign w:val="center"/>
          </w:tcPr>
          <w:p w14:paraId="509543E1" w14:textId="5C33B8B3" w:rsidR="00D9541C" w:rsidRPr="00031F5D" w:rsidRDefault="00D9541C" w:rsidP="003E3547">
            <w:pPr>
              <w:jc w:val="left"/>
              <w:rPr>
                <w:sz w:val="18"/>
              </w:rPr>
            </w:pPr>
            <w:r w:rsidRPr="00031F5D">
              <w:rPr>
                <w:sz w:val="18"/>
              </w:rPr>
              <w:t>Granted on appeal with conditions</w:t>
            </w:r>
            <w:r w:rsidR="003516E8">
              <w:rPr>
                <w:sz w:val="18"/>
              </w:rPr>
              <w:t xml:space="preserve"> 2026</w:t>
            </w:r>
          </w:p>
          <w:p w14:paraId="02077E33" w14:textId="77777777" w:rsidR="00D9541C" w:rsidRPr="00CA788C" w:rsidRDefault="00D9541C" w:rsidP="003E3547">
            <w:pPr>
              <w:jc w:val="left"/>
              <w:rPr>
                <w:sz w:val="18"/>
              </w:rPr>
            </w:pPr>
          </w:p>
        </w:tc>
        <w:tc>
          <w:tcPr>
            <w:tcW w:w="2349" w:type="pct"/>
            <w:tcBorders>
              <w:top w:val="single" w:sz="4" w:space="0" w:color="auto"/>
            </w:tcBorders>
            <w:vAlign w:val="center"/>
          </w:tcPr>
          <w:p w14:paraId="74812D49" w14:textId="47ECB656" w:rsidR="00D9541C" w:rsidRPr="00CA788C" w:rsidRDefault="00D9541C" w:rsidP="003E3547">
            <w:pPr>
              <w:jc w:val="left"/>
              <w:rPr>
                <w:sz w:val="18"/>
              </w:rPr>
            </w:pPr>
            <w:r w:rsidRPr="00031F5D">
              <w:rPr>
                <w:sz w:val="18"/>
              </w:rPr>
              <w:t>73 units: 6 houses, 59 duplex, 8 apartments within the curtilage of protected structures. Associated and ancillary site development works.</w:t>
            </w:r>
          </w:p>
        </w:tc>
        <w:tc>
          <w:tcPr>
            <w:tcW w:w="529" w:type="pct"/>
            <w:tcBorders>
              <w:top w:val="single" w:sz="4" w:space="0" w:color="auto"/>
            </w:tcBorders>
            <w:vAlign w:val="center"/>
          </w:tcPr>
          <w:p w14:paraId="1AB343A8" w14:textId="445ECFE9" w:rsidR="00D9541C" w:rsidRPr="00CA788C" w:rsidRDefault="00D9541C" w:rsidP="003E3547">
            <w:pPr>
              <w:jc w:val="left"/>
              <w:rPr>
                <w:sz w:val="18"/>
              </w:rPr>
            </w:pPr>
            <w:r w:rsidRPr="00031F5D">
              <w:rPr>
                <w:sz w:val="18"/>
              </w:rPr>
              <w:t>0.7km</w:t>
            </w:r>
          </w:p>
        </w:tc>
      </w:tr>
      <w:tr w:rsidR="00D9541C" w14:paraId="2945ADF0" w14:textId="77777777" w:rsidTr="00FE14A8">
        <w:tc>
          <w:tcPr>
            <w:tcW w:w="671" w:type="pct"/>
            <w:tcBorders>
              <w:top w:val="single" w:sz="4" w:space="0" w:color="auto"/>
            </w:tcBorders>
            <w:vAlign w:val="center"/>
            <w:hideMark/>
          </w:tcPr>
          <w:p w14:paraId="0D24B3AC" w14:textId="77777777" w:rsidR="00D9541C" w:rsidRPr="003E3547" w:rsidRDefault="00D9541C" w:rsidP="003E3547">
            <w:pPr>
              <w:jc w:val="left"/>
              <w:rPr>
                <w:b/>
                <w:bCs/>
                <w:sz w:val="18"/>
              </w:rPr>
            </w:pPr>
            <w:r w:rsidRPr="003E3547">
              <w:rPr>
                <w:b/>
                <w:bCs/>
                <w:sz w:val="18"/>
              </w:rPr>
              <w:t>SD22A/0342</w:t>
            </w:r>
          </w:p>
        </w:tc>
        <w:tc>
          <w:tcPr>
            <w:tcW w:w="885" w:type="pct"/>
            <w:tcBorders>
              <w:top w:val="single" w:sz="4" w:space="0" w:color="auto"/>
            </w:tcBorders>
            <w:vAlign w:val="center"/>
          </w:tcPr>
          <w:p w14:paraId="3C41D7BE" w14:textId="77777777" w:rsidR="00505900" w:rsidRPr="00505900" w:rsidRDefault="00505900" w:rsidP="003E3547">
            <w:pPr>
              <w:jc w:val="left"/>
              <w:rPr>
                <w:sz w:val="18"/>
              </w:rPr>
            </w:pPr>
            <w:r w:rsidRPr="00505900">
              <w:rPr>
                <w:sz w:val="18"/>
              </w:rPr>
              <w:t>Lands located to the east of Tay Lane, Newcastle Road, Rathcoole, Co. Dublin</w:t>
            </w:r>
          </w:p>
          <w:p w14:paraId="1F037F93" w14:textId="77777777" w:rsidR="00D9541C" w:rsidRPr="00CA788C" w:rsidRDefault="00D9541C" w:rsidP="003E3547">
            <w:pPr>
              <w:jc w:val="left"/>
              <w:rPr>
                <w:sz w:val="18"/>
              </w:rPr>
            </w:pPr>
          </w:p>
        </w:tc>
        <w:tc>
          <w:tcPr>
            <w:tcW w:w="566" w:type="pct"/>
            <w:tcBorders>
              <w:top w:val="single" w:sz="4" w:space="0" w:color="auto"/>
            </w:tcBorders>
            <w:vAlign w:val="center"/>
            <w:hideMark/>
          </w:tcPr>
          <w:p w14:paraId="540D7439" w14:textId="737BF800" w:rsidR="00D9541C" w:rsidRPr="00CA788C" w:rsidRDefault="00D9541C" w:rsidP="003E3547">
            <w:pPr>
              <w:jc w:val="left"/>
              <w:rPr>
                <w:sz w:val="18"/>
              </w:rPr>
            </w:pPr>
            <w:r w:rsidRPr="00CA788C">
              <w:rPr>
                <w:sz w:val="18"/>
              </w:rPr>
              <w:t>Permission Granted</w:t>
            </w:r>
            <w:r w:rsidR="006F2E02">
              <w:rPr>
                <w:sz w:val="18"/>
              </w:rPr>
              <w:t xml:space="preserve"> 2023</w:t>
            </w:r>
          </w:p>
        </w:tc>
        <w:tc>
          <w:tcPr>
            <w:tcW w:w="2349" w:type="pct"/>
            <w:tcBorders>
              <w:top w:val="single" w:sz="4" w:space="0" w:color="auto"/>
            </w:tcBorders>
            <w:vAlign w:val="center"/>
            <w:hideMark/>
          </w:tcPr>
          <w:p w14:paraId="23308507" w14:textId="64EBCEEE" w:rsidR="00D9541C" w:rsidRPr="00CA788C" w:rsidRDefault="00C92893" w:rsidP="003E3547">
            <w:pPr>
              <w:jc w:val="left"/>
              <w:rPr>
                <w:sz w:val="18"/>
              </w:rPr>
            </w:pPr>
            <w:r>
              <w:rPr>
                <w:sz w:val="18"/>
              </w:rPr>
              <w:t xml:space="preserve">4 storey apartment block comprising of </w:t>
            </w:r>
            <w:r w:rsidR="00D9541C" w:rsidRPr="00CA788C">
              <w:rPr>
                <w:sz w:val="18"/>
              </w:rPr>
              <w:t>58 age-friendly residential units and community facilities</w:t>
            </w:r>
          </w:p>
        </w:tc>
        <w:tc>
          <w:tcPr>
            <w:tcW w:w="529" w:type="pct"/>
            <w:tcBorders>
              <w:top w:val="single" w:sz="4" w:space="0" w:color="auto"/>
            </w:tcBorders>
            <w:vAlign w:val="center"/>
            <w:hideMark/>
          </w:tcPr>
          <w:p w14:paraId="176C1A9D" w14:textId="6141C4EC" w:rsidR="00D9541C" w:rsidRPr="00CA788C" w:rsidRDefault="00D9541C" w:rsidP="003E3547">
            <w:pPr>
              <w:jc w:val="left"/>
              <w:rPr>
                <w:sz w:val="18"/>
              </w:rPr>
            </w:pPr>
            <w:r w:rsidRPr="00CA788C">
              <w:rPr>
                <w:sz w:val="18"/>
              </w:rPr>
              <w:t>0.8km</w:t>
            </w:r>
          </w:p>
        </w:tc>
      </w:tr>
      <w:tr w:rsidR="00D9541C" w14:paraId="212DD582" w14:textId="77777777" w:rsidTr="00FE14A8">
        <w:tc>
          <w:tcPr>
            <w:tcW w:w="671" w:type="pct"/>
            <w:tcBorders>
              <w:top w:val="single" w:sz="4" w:space="0" w:color="auto"/>
              <w:bottom w:val="single" w:sz="4" w:space="0" w:color="auto"/>
            </w:tcBorders>
            <w:vAlign w:val="center"/>
            <w:hideMark/>
          </w:tcPr>
          <w:p w14:paraId="712E8CCD" w14:textId="77777777" w:rsidR="00D9541C" w:rsidRPr="003E3547" w:rsidRDefault="00D9541C" w:rsidP="003E3547">
            <w:pPr>
              <w:jc w:val="left"/>
              <w:rPr>
                <w:b/>
                <w:bCs/>
                <w:sz w:val="18"/>
              </w:rPr>
            </w:pPr>
            <w:r w:rsidRPr="003E3547">
              <w:rPr>
                <w:b/>
                <w:bCs/>
                <w:sz w:val="18"/>
              </w:rPr>
              <w:t>SD25A/0161W</w:t>
            </w:r>
          </w:p>
        </w:tc>
        <w:tc>
          <w:tcPr>
            <w:tcW w:w="885" w:type="pct"/>
            <w:tcBorders>
              <w:top w:val="single" w:sz="4" w:space="0" w:color="auto"/>
              <w:bottom w:val="single" w:sz="4" w:space="0" w:color="auto"/>
            </w:tcBorders>
            <w:vAlign w:val="center"/>
          </w:tcPr>
          <w:p w14:paraId="27F41400" w14:textId="77777777" w:rsidR="00505900" w:rsidRPr="00505900" w:rsidRDefault="00505900" w:rsidP="003E3547">
            <w:pPr>
              <w:jc w:val="left"/>
              <w:rPr>
                <w:sz w:val="18"/>
              </w:rPr>
            </w:pPr>
            <w:r w:rsidRPr="00505900">
              <w:rPr>
                <w:sz w:val="18"/>
              </w:rPr>
              <w:t>13 Mill Road, Saggart, Co. Dublin,  D24PK27</w:t>
            </w:r>
          </w:p>
          <w:p w14:paraId="082E7632" w14:textId="77777777" w:rsidR="00D9541C" w:rsidRPr="00CA788C" w:rsidRDefault="00D9541C" w:rsidP="003E3547">
            <w:pPr>
              <w:jc w:val="left"/>
              <w:rPr>
                <w:sz w:val="18"/>
              </w:rPr>
            </w:pPr>
          </w:p>
        </w:tc>
        <w:tc>
          <w:tcPr>
            <w:tcW w:w="566" w:type="pct"/>
            <w:tcBorders>
              <w:top w:val="single" w:sz="4" w:space="0" w:color="auto"/>
              <w:bottom w:val="single" w:sz="4" w:space="0" w:color="auto"/>
            </w:tcBorders>
            <w:vAlign w:val="center"/>
            <w:hideMark/>
          </w:tcPr>
          <w:p w14:paraId="21DC92A7" w14:textId="70A6E4E8" w:rsidR="00D9541C" w:rsidRPr="00CA788C" w:rsidRDefault="00D9541C" w:rsidP="003E3547">
            <w:pPr>
              <w:jc w:val="left"/>
              <w:rPr>
                <w:sz w:val="18"/>
              </w:rPr>
            </w:pPr>
            <w:r w:rsidRPr="00CA788C">
              <w:rPr>
                <w:sz w:val="18"/>
              </w:rPr>
              <w:t>Permission Granted</w:t>
            </w:r>
            <w:r w:rsidR="00E46205">
              <w:rPr>
                <w:sz w:val="18"/>
              </w:rPr>
              <w:t xml:space="preserve"> 2025</w:t>
            </w:r>
          </w:p>
        </w:tc>
        <w:tc>
          <w:tcPr>
            <w:tcW w:w="2349" w:type="pct"/>
            <w:tcBorders>
              <w:top w:val="single" w:sz="4" w:space="0" w:color="auto"/>
              <w:bottom w:val="single" w:sz="4" w:space="0" w:color="auto"/>
            </w:tcBorders>
            <w:vAlign w:val="center"/>
            <w:hideMark/>
          </w:tcPr>
          <w:p w14:paraId="25F2E603" w14:textId="77777777" w:rsidR="00D9541C" w:rsidRPr="00CA788C" w:rsidRDefault="00D9541C" w:rsidP="003E3547">
            <w:pPr>
              <w:jc w:val="left"/>
              <w:rPr>
                <w:sz w:val="18"/>
              </w:rPr>
            </w:pPr>
            <w:r w:rsidRPr="00CA788C">
              <w:rPr>
                <w:sz w:val="18"/>
              </w:rPr>
              <w:t>3 residential dwellings</w:t>
            </w:r>
          </w:p>
        </w:tc>
        <w:tc>
          <w:tcPr>
            <w:tcW w:w="529" w:type="pct"/>
            <w:tcBorders>
              <w:top w:val="single" w:sz="4" w:space="0" w:color="auto"/>
              <w:bottom w:val="single" w:sz="4" w:space="0" w:color="auto"/>
            </w:tcBorders>
            <w:vAlign w:val="center"/>
            <w:hideMark/>
          </w:tcPr>
          <w:p w14:paraId="726ED6A8" w14:textId="66995627" w:rsidR="00D9541C" w:rsidRPr="00CA788C" w:rsidRDefault="00D9541C" w:rsidP="003E3547">
            <w:pPr>
              <w:jc w:val="left"/>
              <w:rPr>
                <w:sz w:val="18"/>
              </w:rPr>
            </w:pPr>
            <w:r w:rsidRPr="00CA788C">
              <w:rPr>
                <w:sz w:val="18"/>
              </w:rPr>
              <w:t>0.9km</w:t>
            </w:r>
          </w:p>
        </w:tc>
      </w:tr>
    </w:tbl>
    <w:p w14:paraId="3A476D29" w14:textId="7323BD24" w:rsidR="00FE14A8" w:rsidRPr="00FE14A8" w:rsidRDefault="00FE14A8" w:rsidP="00FE14A8">
      <w:pPr>
        <w:rPr>
          <w:i/>
          <w:iCs/>
        </w:rPr>
      </w:pPr>
      <w:r>
        <w:rPr>
          <w:i/>
          <w:iCs/>
        </w:rPr>
        <w:t>Source: SDCC &amp; ACP</w:t>
      </w:r>
    </w:p>
    <w:p w14:paraId="7664940C" w14:textId="0AD220F7" w:rsidR="00481540" w:rsidRDefault="00481540" w:rsidP="00481540">
      <w:pPr>
        <w:pStyle w:val="Heading4"/>
      </w:pPr>
      <w:r>
        <w:t>Relevant Development Proposals in the Wider Area</w:t>
      </w:r>
    </w:p>
    <w:p w14:paraId="0B907691" w14:textId="77777777" w:rsidR="00481540" w:rsidRDefault="00481540" w:rsidP="00D07012">
      <w:r>
        <w:t>A number of residential, educational, recreational and employment developments have been permitted within the wider Rathcoole, Saggart and Citywest area in recent years. These include residential developments, employment-generating warehouse developments within Greenogue Business Park and Greenogue Logistics Park, recreational facility upgrades and educational infrastructure.</w:t>
      </w:r>
    </w:p>
    <w:p w14:paraId="1721AB6B" w14:textId="77777777" w:rsidR="00D07012" w:rsidRDefault="00D07012" w:rsidP="00481540">
      <w:pPr>
        <w:pStyle w:val="NormalWeb"/>
      </w:pPr>
    </w:p>
    <w:p w14:paraId="3C5EC43F" w14:textId="3E0B1364" w:rsidR="00D07012" w:rsidRDefault="00D07012" w:rsidP="00D07012">
      <w:pPr>
        <w:pStyle w:val="Caption"/>
      </w:pPr>
      <w:bookmarkStart w:id="93" w:name="_Toc233123425"/>
      <w:r w:rsidRPr="00733E9A">
        <w:t xml:space="preserve">Table </w:t>
      </w:r>
      <w:r>
        <w:fldChar w:fldCharType="begin"/>
      </w:r>
      <w:r>
        <w:instrText>STYLEREF 1 \s</w:instrText>
      </w:r>
      <w:r>
        <w:fldChar w:fldCharType="separate"/>
      </w:r>
      <w:r w:rsidR="00946CE0">
        <w:rPr>
          <w:noProof/>
        </w:rPr>
        <w:t>5</w:t>
      </w:r>
      <w:r>
        <w:fldChar w:fldCharType="end"/>
      </w:r>
      <w:r w:rsidRPr="00733E9A">
        <w:t>-</w:t>
      </w:r>
      <w:r>
        <w:fldChar w:fldCharType="begin"/>
      </w:r>
      <w:r>
        <w:instrText>SEQ Table \* ARABIC \s 1</w:instrText>
      </w:r>
      <w:r>
        <w:fldChar w:fldCharType="separate"/>
      </w:r>
      <w:r w:rsidR="00946CE0">
        <w:rPr>
          <w:noProof/>
        </w:rPr>
        <w:t>15</w:t>
      </w:r>
      <w:r>
        <w:fldChar w:fldCharType="end"/>
      </w:r>
      <w:r w:rsidRPr="00733E9A">
        <w:t xml:space="preserve">: </w:t>
      </w:r>
      <w:r>
        <w:t xml:space="preserve">Planning Permissions in </w:t>
      </w:r>
      <w:r w:rsidR="006E46AB">
        <w:t>the Surrounding</w:t>
      </w:r>
      <w:r>
        <w:t xml:space="preserve"> Area</w:t>
      </w:r>
      <w:bookmarkEnd w:id="93"/>
      <w:r>
        <w:t xml:space="preserve"> </w:t>
      </w:r>
    </w:p>
    <w:tbl>
      <w:tblPr>
        <w:tblW w:w="0" w:type="auto"/>
        <w:tblBorders>
          <w:insideH w:val="single" w:sz="4" w:space="0" w:color="00353E" w:themeColor="accent2"/>
        </w:tblBorders>
        <w:tblCellMar>
          <w:top w:w="15" w:type="dxa"/>
          <w:left w:w="15" w:type="dxa"/>
          <w:bottom w:w="15" w:type="dxa"/>
          <w:right w:w="15" w:type="dxa"/>
        </w:tblCellMar>
        <w:tblLook w:val="04A0" w:firstRow="1" w:lastRow="0" w:firstColumn="1" w:lastColumn="0" w:noHBand="0" w:noVBand="1"/>
      </w:tblPr>
      <w:tblGrid>
        <w:gridCol w:w="1475"/>
        <w:gridCol w:w="1626"/>
        <w:gridCol w:w="1628"/>
        <w:gridCol w:w="3664"/>
        <w:gridCol w:w="961"/>
      </w:tblGrid>
      <w:tr w:rsidR="002423EB" w:rsidRPr="00B84BDC" w14:paraId="6B9ED9C8" w14:textId="77777777" w:rsidTr="006E46AB">
        <w:trPr>
          <w:tblHeader/>
        </w:trPr>
        <w:tc>
          <w:tcPr>
            <w:tcW w:w="1475" w:type="dxa"/>
            <w:tcBorders>
              <w:top w:val="nil"/>
              <w:bottom w:val="single" w:sz="12" w:space="0" w:color="008768" w:themeColor="accent1"/>
            </w:tcBorders>
            <w:vAlign w:val="center"/>
            <w:hideMark/>
          </w:tcPr>
          <w:p w14:paraId="402142DC" w14:textId="77777777" w:rsidR="002423EB" w:rsidRPr="00B84BDC" w:rsidRDefault="002423EB" w:rsidP="006E46AB">
            <w:pPr>
              <w:pStyle w:val="TextNormal"/>
              <w:jc w:val="left"/>
              <w:rPr>
                <w:rFonts w:asciiTheme="majorHAnsi" w:eastAsia="Times New Roman" w:hAnsiTheme="majorHAnsi" w:cstheme="majorHAnsi"/>
                <w:b/>
                <w:bCs/>
                <w:color w:val="008768" w:themeColor="accent1"/>
                <w:sz w:val="18"/>
                <w:szCs w:val="18"/>
                <w:lang w:val="en-GB" w:eastAsia="en-IE"/>
              </w:rPr>
            </w:pPr>
            <w:r w:rsidRPr="00B84BDC">
              <w:rPr>
                <w:rFonts w:asciiTheme="majorHAnsi" w:eastAsia="Times New Roman" w:hAnsiTheme="majorHAnsi" w:cstheme="majorHAnsi"/>
                <w:b/>
                <w:bCs/>
                <w:color w:val="008768" w:themeColor="accent1"/>
                <w:sz w:val="18"/>
                <w:szCs w:val="18"/>
                <w:lang w:val="en-GB" w:eastAsia="en-IE"/>
              </w:rPr>
              <w:t>Reference</w:t>
            </w:r>
          </w:p>
        </w:tc>
        <w:tc>
          <w:tcPr>
            <w:tcW w:w="1626" w:type="dxa"/>
            <w:tcBorders>
              <w:top w:val="nil"/>
              <w:bottom w:val="single" w:sz="12" w:space="0" w:color="008768" w:themeColor="accent1"/>
            </w:tcBorders>
            <w:vAlign w:val="center"/>
          </w:tcPr>
          <w:p w14:paraId="7A991D50" w14:textId="1D079EA9" w:rsidR="002423EB" w:rsidRPr="00B84BDC" w:rsidRDefault="002423EB" w:rsidP="006E46AB">
            <w:pPr>
              <w:pStyle w:val="TextNormal"/>
              <w:jc w:val="left"/>
              <w:rPr>
                <w:rFonts w:asciiTheme="majorHAnsi" w:eastAsia="Times New Roman" w:hAnsiTheme="majorHAnsi" w:cstheme="majorHAnsi"/>
                <w:b/>
                <w:bCs/>
                <w:color w:val="008768" w:themeColor="accent1"/>
                <w:sz w:val="18"/>
                <w:szCs w:val="18"/>
                <w:lang w:val="en-GB" w:eastAsia="en-IE"/>
              </w:rPr>
            </w:pPr>
            <w:r w:rsidRPr="00B84BDC">
              <w:rPr>
                <w:rFonts w:asciiTheme="majorHAnsi" w:eastAsia="Times New Roman" w:hAnsiTheme="majorHAnsi" w:cstheme="majorHAnsi"/>
                <w:b/>
                <w:bCs/>
                <w:color w:val="008768" w:themeColor="accent1"/>
                <w:sz w:val="18"/>
                <w:szCs w:val="18"/>
                <w:lang w:val="en-GB" w:eastAsia="en-IE"/>
              </w:rPr>
              <w:t>Address</w:t>
            </w:r>
          </w:p>
        </w:tc>
        <w:tc>
          <w:tcPr>
            <w:tcW w:w="1628" w:type="dxa"/>
            <w:tcBorders>
              <w:top w:val="nil"/>
              <w:bottom w:val="single" w:sz="12" w:space="0" w:color="008768" w:themeColor="accent1"/>
            </w:tcBorders>
            <w:vAlign w:val="center"/>
            <w:hideMark/>
          </w:tcPr>
          <w:p w14:paraId="570ED5E0" w14:textId="5DD62011" w:rsidR="002423EB" w:rsidRPr="00B84BDC" w:rsidRDefault="002423EB" w:rsidP="006E46AB">
            <w:pPr>
              <w:pStyle w:val="TextNormal"/>
              <w:jc w:val="left"/>
              <w:rPr>
                <w:rFonts w:asciiTheme="majorHAnsi" w:eastAsia="Times New Roman" w:hAnsiTheme="majorHAnsi" w:cstheme="majorHAnsi"/>
                <w:b/>
                <w:bCs/>
                <w:color w:val="008768" w:themeColor="accent1"/>
                <w:sz w:val="18"/>
                <w:szCs w:val="18"/>
                <w:lang w:val="en-GB" w:eastAsia="en-IE"/>
              </w:rPr>
            </w:pPr>
            <w:r w:rsidRPr="00B84BDC">
              <w:rPr>
                <w:rFonts w:asciiTheme="majorHAnsi" w:eastAsia="Times New Roman" w:hAnsiTheme="majorHAnsi" w:cstheme="majorHAnsi"/>
                <w:b/>
                <w:bCs/>
                <w:color w:val="008768" w:themeColor="accent1"/>
                <w:sz w:val="18"/>
                <w:szCs w:val="18"/>
                <w:lang w:val="en-GB" w:eastAsia="en-IE"/>
              </w:rPr>
              <w:t>Status</w:t>
            </w:r>
          </w:p>
        </w:tc>
        <w:tc>
          <w:tcPr>
            <w:tcW w:w="3664" w:type="dxa"/>
            <w:tcBorders>
              <w:top w:val="nil"/>
              <w:bottom w:val="single" w:sz="12" w:space="0" w:color="008768" w:themeColor="accent1"/>
            </w:tcBorders>
            <w:vAlign w:val="center"/>
            <w:hideMark/>
          </w:tcPr>
          <w:p w14:paraId="6F2FD80D" w14:textId="77777777" w:rsidR="002423EB" w:rsidRPr="00B84BDC" w:rsidRDefault="002423EB" w:rsidP="006E46AB">
            <w:pPr>
              <w:pStyle w:val="TextNormal"/>
              <w:jc w:val="left"/>
              <w:rPr>
                <w:rFonts w:asciiTheme="majorHAnsi" w:eastAsia="Times New Roman" w:hAnsiTheme="majorHAnsi" w:cstheme="majorHAnsi"/>
                <w:b/>
                <w:bCs/>
                <w:color w:val="008768" w:themeColor="accent1"/>
                <w:sz w:val="18"/>
                <w:szCs w:val="18"/>
                <w:lang w:val="en-GB" w:eastAsia="en-IE"/>
              </w:rPr>
            </w:pPr>
            <w:r w:rsidRPr="00B84BDC">
              <w:rPr>
                <w:rFonts w:asciiTheme="majorHAnsi" w:eastAsia="Times New Roman" w:hAnsiTheme="majorHAnsi" w:cstheme="majorHAnsi"/>
                <w:b/>
                <w:bCs/>
                <w:color w:val="008768" w:themeColor="accent1"/>
                <w:sz w:val="18"/>
                <w:szCs w:val="18"/>
                <w:lang w:val="en-GB" w:eastAsia="en-IE"/>
              </w:rPr>
              <w:t>Summary</w:t>
            </w:r>
          </w:p>
        </w:tc>
        <w:tc>
          <w:tcPr>
            <w:tcW w:w="0" w:type="auto"/>
            <w:tcBorders>
              <w:top w:val="nil"/>
              <w:bottom w:val="single" w:sz="12" w:space="0" w:color="008768" w:themeColor="accent1"/>
            </w:tcBorders>
            <w:vAlign w:val="center"/>
            <w:hideMark/>
          </w:tcPr>
          <w:p w14:paraId="19805739" w14:textId="25873E7C" w:rsidR="002423EB" w:rsidRPr="00B84BDC" w:rsidRDefault="002423EB" w:rsidP="006E46AB">
            <w:pPr>
              <w:pStyle w:val="TextNormal"/>
              <w:jc w:val="left"/>
              <w:rPr>
                <w:rFonts w:asciiTheme="majorHAnsi" w:eastAsia="Times New Roman" w:hAnsiTheme="majorHAnsi" w:cstheme="majorHAnsi"/>
                <w:b/>
                <w:bCs/>
                <w:color w:val="008768" w:themeColor="accent1"/>
                <w:sz w:val="18"/>
                <w:szCs w:val="18"/>
                <w:lang w:val="en-GB" w:eastAsia="en-IE"/>
              </w:rPr>
            </w:pPr>
            <w:r w:rsidRPr="00B84BDC">
              <w:rPr>
                <w:rFonts w:asciiTheme="majorHAnsi" w:eastAsia="Times New Roman" w:hAnsiTheme="majorHAnsi" w:cstheme="majorHAnsi"/>
                <w:b/>
                <w:bCs/>
                <w:color w:val="008768" w:themeColor="accent1"/>
                <w:sz w:val="18"/>
                <w:szCs w:val="18"/>
                <w:lang w:val="en-GB" w:eastAsia="en-IE"/>
              </w:rPr>
              <w:t>Distance</w:t>
            </w:r>
            <w:r w:rsidR="000C10F5" w:rsidRPr="00B84BDC">
              <w:rPr>
                <w:rFonts w:asciiTheme="majorHAnsi" w:eastAsia="Times New Roman" w:hAnsiTheme="majorHAnsi" w:cstheme="majorHAnsi"/>
                <w:b/>
                <w:bCs/>
                <w:color w:val="008768" w:themeColor="accent1"/>
                <w:sz w:val="18"/>
                <w:szCs w:val="18"/>
                <w:lang w:val="en-GB" w:eastAsia="en-IE"/>
              </w:rPr>
              <w:t xml:space="preserve"> </w:t>
            </w:r>
            <w:r w:rsidR="00FE14A8">
              <w:rPr>
                <w:rFonts w:asciiTheme="majorHAnsi" w:eastAsia="Times New Roman" w:hAnsiTheme="majorHAnsi" w:cstheme="majorHAnsi"/>
                <w:b/>
                <w:bCs/>
                <w:color w:val="008768" w:themeColor="accent1"/>
                <w:sz w:val="18"/>
                <w:szCs w:val="18"/>
                <w:lang w:val="en-GB" w:eastAsia="en-IE"/>
              </w:rPr>
              <w:t>from</w:t>
            </w:r>
            <w:r w:rsidR="000C10F5" w:rsidRPr="00B84BDC">
              <w:rPr>
                <w:rFonts w:asciiTheme="majorHAnsi" w:eastAsia="Times New Roman" w:hAnsiTheme="majorHAnsi" w:cstheme="majorHAnsi"/>
                <w:b/>
                <w:bCs/>
                <w:color w:val="008768" w:themeColor="accent1"/>
                <w:sz w:val="18"/>
                <w:szCs w:val="18"/>
                <w:lang w:val="en-GB" w:eastAsia="en-IE"/>
              </w:rPr>
              <w:t xml:space="preserve"> Site (km)</w:t>
            </w:r>
          </w:p>
        </w:tc>
      </w:tr>
      <w:tr w:rsidR="00801011" w:rsidRPr="00B84BDC" w14:paraId="7530F9B2" w14:textId="77777777" w:rsidTr="006E46AB">
        <w:tc>
          <w:tcPr>
            <w:tcW w:w="1475" w:type="dxa"/>
            <w:tcBorders>
              <w:top w:val="single" w:sz="12" w:space="0" w:color="008768" w:themeColor="accent1"/>
            </w:tcBorders>
            <w:vAlign w:val="center"/>
          </w:tcPr>
          <w:p w14:paraId="45433911" w14:textId="77777777" w:rsidR="00BF558C" w:rsidRPr="006E46AB" w:rsidRDefault="00BF558C" w:rsidP="006E46AB">
            <w:pPr>
              <w:tabs>
                <w:tab w:val="clear" w:pos="284"/>
              </w:tabs>
              <w:spacing w:line="240" w:lineRule="auto"/>
              <w:jc w:val="left"/>
              <w:rPr>
                <w:rFonts w:asciiTheme="majorHAnsi" w:hAnsiTheme="majorHAnsi" w:cstheme="majorHAnsi"/>
                <w:b/>
                <w:bCs/>
                <w:color w:val="000000"/>
                <w:kern w:val="0"/>
                <w:sz w:val="18"/>
              </w:rPr>
            </w:pPr>
            <w:r w:rsidRPr="006E46AB">
              <w:rPr>
                <w:rFonts w:asciiTheme="majorHAnsi" w:hAnsiTheme="majorHAnsi" w:cstheme="majorHAnsi"/>
                <w:b/>
                <w:bCs/>
                <w:color w:val="000000"/>
                <w:sz w:val="18"/>
              </w:rPr>
              <w:t>SDCC Ref.SD21A/0206</w:t>
            </w:r>
            <w:r w:rsidRPr="006E46AB">
              <w:rPr>
                <w:rFonts w:asciiTheme="majorHAnsi" w:hAnsiTheme="majorHAnsi" w:cstheme="majorHAnsi"/>
                <w:b/>
                <w:bCs/>
                <w:color w:val="000000"/>
                <w:sz w:val="18"/>
              </w:rPr>
              <w:br/>
              <w:t>ACP Ref. 311626</w:t>
            </w:r>
          </w:p>
          <w:p w14:paraId="43AFC1EB" w14:textId="77777777" w:rsidR="00801011" w:rsidRPr="006E46AB" w:rsidRDefault="00801011" w:rsidP="006E46AB">
            <w:pPr>
              <w:jc w:val="left"/>
              <w:rPr>
                <w:rFonts w:asciiTheme="majorHAnsi" w:hAnsiTheme="majorHAnsi" w:cstheme="majorHAnsi"/>
                <w:b/>
                <w:bCs/>
                <w:sz w:val="18"/>
              </w:rPr>
            </w:pPr>
          </w:p>
        </w:tc>
        <w:tc>
          <w:tcPr>
            <w:tcW w:w="1626" w:type="dxa"/>
            <w:tcBorders>
              <w:top w:val="single" w:sz="12" w:space="0" w:color="008768" w:themeColor="accent1"/>
            </w:tcBorders>
            <w:vAlign w:val="center"/>
          </w:tcPr>
          <w:p w14:paraId="0FACD074" w14:textId="77777777" w:rsidR="0006445F" w:rsidRPr="00B84BDC" w:rsidRDefault="0006445F"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Long Acre, School Road, Rathcoole, Dublin 24</w:t>
            </w:r>
          </w:p>
          <w:p w14:paraId="48AF22D2" w14:textId="77777777" w:rsidR="00801011" w:rsidRPr="00B84BDC" w:rsidRDefault="00801011" w:rsidP="006E46AB">
            <w:pPr>
              <w:jc w:val="left"/>
              <w:rPr>
                <w:rFonts w:asciiTheme="majorHAnsi" w:hAnsiTheme="majorHAnsi" w:cstheme="majorHAnsi"/>
                <w:sz w:val="18"/>
              </w:rPr>
            </w:pPr>
          </w:p>
        </w:tc>
        <w:tc>
          <w:tcPr>
            <w:tcW w:w="1628" w:type="dxa"/>
            <w:tcBorders>
              <w:top w:val="single" w:sz="12" w:space="0" w:color="008768" w:themeColor="accent1"/>
            </w:tcBorders>
            <w:vAlign w:val="center"/>
          </w:tcPr>
          <w:p w14:paraId="5C55D4E2" w14:textId="1B79079A" w:rsidR="00BF558C" w:rsidRPr="00B84BDC" w:rsidRDefault="00BF558C"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Grant permission with conditions</w:t>
            </w:r>
            <w:r w:rsidR="00CF77BB" w:rsidRPr="00B84BDC">
              <w:rPr>
                <w:rFonts w:asciiTheme="majorHAnsi" w:hAnsiTheme="majorHAnsi" w:cstheme="majorHAnsi"/>
                <w:color w:val="000000"/>
                <w:sz w:val="18"/>
              </w:rPr>
              <w:t xml:space="preserve"> 2022</w:t>
            </w:r>
          </w:p>
          <w:p w14:paraId="01D7B2F3" w14:textId="77777777" w:rsidR="00801011" w:rsidRPr="00B84BDC" w:rsidRDefault="00801011" w:rsidP="006E46AB">
            <w:pPr>
              <w:jc w:val="left"/>
              <w:rPr>
                <w:rFonts w:asciiTheme="majorHAnsi" w:hAnsiTheme="majorHAnsi" w:cstheme="majorHAnsi"/>
                <w:sz w:val="18"/>
              </w:rPr>
            </w:pPr>
          </w:p>
        </w:tc>
        <w:tc>
          <w:tcPr>
            <w:tcW w:w="3664" w:type="dxa"/>
            <w:tcBorders>
              <w:top w:val="single" w:sz="12" w:space="0" w:color="008768" w:themeColor="accent1"/>
            </w:tcBorders>
            <w:vAlign w:val="center"/>
          </w:tcPr>
          <w:p w14:paraId="1744B617" w14:textId="77777777" w:rsidR="0006445F" w:rsidRPr="00B84BDC" w:rsidRDefault="0006445F"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Demolition of 1 dwelling and 4 out-buildings/sheds and the construction of 14 residential units, all with associated private open spaces areas in the form of balconies and gardens.</w:t>
            </w:r>
          </w:p>
          <w:p w14:paraId="4AF8D3E4" w14:textId="77777777" w:rsidR="00801011" w:rsidRPr="00B84BDC" w:rsidRDefault="00801011" w:rsidP="006E46AB">
            <w:pPr>
              <w:jc w:val="left"/>
              <w:rPr>
                <w:rFonts w:asciiTheme="majorHAnsi" w:hAnsiTheme="majorHAnsi" w:cstheme="majorHAnsi"/>
                <w:sz w:val="18"/>
              </w:rPr>
            </w:pPr>
          </w:p>
        </w:tc>
        <w:tc>
          <w:tcPr>
            <w:tcW w:w="0" w:type="auto"/>
            <w:tcBorders>
              <w:top w:val="single" w:sz="12" w:space="0" w:color="008768" w:themeColor="accent1"/>
            </w:tcBorders>
            <w:vAlign w:val="center"/>
          </w:tcPr>
          <w:p w14:paraId="5307AA46" w14:textId="77777777" w:rsidR="0006445F" w:rsidRPr="00B84BDC" w:rsidRDefault="0006445F"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1km</w:t>
            </w:r>
          </w:p>
          <w:p w14:paraId="46E5B3D6" w14:textId="77777777" w:rsidR="00801011" w:rsidRPr="00B84BDC" w:rsidRDefault="00801011" w:rsidP="006E46AB">
            <w:pPr>
              <w:jc w:val="left"/>
              <w:rPr>
                <w:rFonts w:asciiTheme="majorHAnsi" w:hAnsiTheme="majorHAnsi" w:cstheme="majorHAnsi"/>
                <w:sz w:val="18"/>
              </w:rPr>
            </w:pPr>
          </w:p>
        </w:tc>
      </w:tr>
      <w:tr w:rsidR="000C10F5" w:rsidRPr="00B84BDC" w14:paraId="4CC579EB" w14:textId="77777777" w:rsidTr="006E46AB">
        <w:tc>
          <w:tcPr>
            <w:tcW w:w="1475" w:type="dxa"/>
            <w:vAlign w:val="center"/>
          </w:tcPr>
          <w:p w14:paraId="323E97E5" w14:textId="77777777" w:rsidR="00B84BDC" w:rsidRPr="006E46AB" w:rsidRDefault="00B84BDC" w:rsidP="006E46AB">
            <w:pPr>
              <w:tabs>
                <w:tab w:val="clear" w:pos="284"/>
              </w:tabs>
              <w:spacing w:line="240" w:lineRule="auto"/>
              <w:jc w:val="left"/>
              <w:rPr>
                <w:rFonts w:asciiTheme="majorHAnsi" w:hAnsiTheme="majorHAnsi" w:cstheme="majorHAnsi"/>
                <w:b/>
                <w:bCs/>
                <w:color w:val="000000"/>
                <w:kern w:val="0"/>
                <w:sz w:val="18"/>
              </w:rPr>
            </w:pPr>
            <w:r w:rsidRPr="006E46AB">
              <w:rPr>
                <w:rFonts w:asciiTheme="majorHAnsi" w:hAnsiTheme="majorHAnsi" w:cstheme="majorHAnsi"/>
                <w:b/>
                <w:bCs/>
                <w:color w:val="000000"/>
                <w:sz w:val="18"/>
              </w:rPr>
              <w:t>SDCC Ref. SD23A/0100</w:t>
            </w:r>
          </w:p>
          <w:p w14:paraId="02360535" w14:textId="77777777" w:rsidR="000C10F5" w:rsidRPr="006E46AB" w:rsidRDefault="000C10F5" w:rsidP="006E46AB">
            <w:pPr>
              <w:jc w:val="left"/>
              <w:rPr>
                <w:rFonts w:asciiTheme="majorHAnsi" w:hAnsiTheme="majorHAnsi" w:cstheme="majorHAnsi"/>
                <w:b/>
                <w:bCs/>
                <w:sz w:val="18"/>
              </w:rPr>
            </w:pPr>
          </w:p>
        </w:tc>
        <w:tc>
          <w:tcPr>
            <w:tcW w:w="1626" w:type="dxa"/>
            <w:vAlign w:val="center"/>
          </w:tcPr>
          <w:p w14:paraId="76EE2520" w14:textId="77777777" w:rsidR="00B84BDC" w:rsidRPr="00B84BDC" w:rsidRDefault="00B84BDC"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Land at Citywest Hotel and Convention Centre, Saggart, Co. Dublin</w:t>
            </w:r>
          </w:p>
          <w:p w14:paraId="6D728563" w14:textId="77777777" w:rsidR="000C10F5" w:rsidRPr="00B84BDC" w:rsidRDefault="000C10F5" w:rsidP="006E46AB">
            <w:pPr>
              <w:jc w:val="left"/>
              <w:rPr>
                <w:rFonts w:asciiTheme="majorHAnsi" w:hAnsiTheme="majorHAnsi" w:cstheme="majorHAnsi"/>
                <w:sz w:val="18"/>
              </w:rPr>
            </w:pPr>
          </w:p>
        </w:tc>
        <w:tc>
          <w:tcPr>
            <w:tcW w:w="1628" w:type="dxa"/>
            <w:vAlign w:val="center"/>
          </w:tcPr>
          <w:p w14:paraId="5D741D94" w14:textId="3B61E73B" w:rsidR="000C10F5" w:rsidRPr="00B84BDC" w:rsidRDefault="004B6720" w:rsidP="006E46AB">
            <w:pPr>
              <w:jc w:val="left"/>
              <w:rPr>
                <w:rFonts w:asciiTheme="majorHAnsi" w:hAnsiTheme="majorHAnsi" w:cstheme="majorHAnsi"/>
                <w:sz w:val="18"/>
              </w:rPr>
            </w:pPr>
            <w:r w:rsidRPr="00B84BDC">
              <w:rPr>
                <w:rFonts w:asciiTheme="majorHAnsi" w:hAnsiTheme="majorHAnsi" w:cstheme="majorHAnsi"/>
                <w:sz w:val="18"/>
              </w:rPr>
              <w:t>Grant permission 202</w:t>
            </w:r>
            <w:r w:rsidR="00B84BDC" w:rsidRPr="00B84BDC">
              <w:rPr>
                <w:rFonts w:asciiTheme="majorHAnsi" w:hAnsiTheme="majorHAnsi" w:cstheme="majorHAnsi"/>
                <w:sz w:val="18"/>
              </w:rPr>
              <w:t>4</w:t>
            </w:r>
          </w:p>
        </w:tc>
        <w:tc>
          <w:tcPr>
            <w:tcW w:w="3664" w:type="dxa"/>
            <w:vAlign w:val="center"/>
          </w:tcPr>
          <w:p w14:paraId="4A9F95D9" w14:textId="60C7EE21" w:rsidR="000C10F5" w:rsidRPr="00B84BDC" w:rsidRDefault="00792ECF" w:rsidP="006E46AB">
            <w:pPr>
              <w:jc w:val="left"/>
              <w:rPr>
                <w:rFonts w:asciiTheme="majorHAnsi" w:hAnsiTheme="majorHAnsi" w:cstheme="majorHAnsi"/>
                <w:sz w:val="18"/>
              </w:rPr>
            </w:pPr>
            <w:r w:rsidRPr="00B84BDC">
              <w:rPr>
                <w:rFonts w:asciiTheme="majorHAnsi" w:hAnsiTheme="majorHAnsi" w:cstheme="majorHAnsi"/>
                <w:color w:val="000000"/>
                <w:sz w:val="18"/>
              </w:rPr>
              <w:t>Construction of a Photovoltaic Solar development to the North of the Citywest hotel on lands formally in use as a golf course at a site of 6.7ha.</w:t>
            </w:r>
          </w:p>
        </w:tc>
        <w:tc>
          <w:tcPr>
            <w:tcW w:w="0" w:type="auto"/>
            <w:vAlign w:val="center"/>
          </w:tcPr>
          <w:p w14:paraId="3F594E14" w14:textId="3D4D0FE2" w:rsidR="000C10F5" w:rsidRPr="00B84BDC" w:rsidRDefault="000C10F5"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1</w:t>
            </w:r>
            <w:r w:rsidR="00D16490" w:rsidRPr="00B84BDC">
              <w:rPr>
                <w:rFonts w:asciiTheme="majorHAnsi" w:hAnsiTheme="majorHAnsi" w:cstheme="majorHAnsi"/>
                <w:color w:val="000000"/>
                <w:sz w:val="18"/>
              </w:rPr>
              <w:t>km</w:t>
            </w:r>
          </w:p>
          <w:p w14:paraId="674492ED" w14:textId="77777777" w:rsidR="000C10F5" w:rsidRPr="00B84BDC" w:rsidRDefault="000C10F5" w:rsidP="006E46AB">
            <w:pPr>
              <w:jc w:val="left"/>
              <w:rPr>
                <w:rFonts w:asciiTheme="majorHAnsi" w:hAnsiTheme="majorHAnsi" w:cstheme="majorHAnsi"/>
                <w:sz w:val="18"/>
              </w:rPr>
            </w:pPr>
          </w:p>
        </w:tc>
      </w:tr>
      <w:tr w:rsidR="00D16490" w:rsidRPr="00B84BDC" w14:paraId="10E22C46" w14:textId="77777777" w:rsidTr="006E46AB">
        <w:tc>
          <w:tcPr>
            <w:tcW w:w="1475" w:type="dxa"/>
            <w:vAlign w:val="center"/>
          </w:tcPr>
          <w:p w14:paraId="7866BEA8" w14:textId="77777777" w:rsidR="004F7D69" w:rsidRPr="004F7D69" w:rsidRDefault="004F7D69" w:rsidP="004F7D69">
            <w:pPr>
              <w:tabs>
                <w:tab w:val="clear" w:pos="284"/>
              </w:tabs>
              <w:spacing w:line="240" w:lineRule="auto"/>
              <w:jc w:val="left"/>
              <w:rPr>
                <w:rFonts w:asciiTheme="majorHAnsi" w:hAnsiTheme="majorHAnsi" w:cstheme="majorHAnsi"/>
                <w:b/>
                <w:bCs/>
                <w:color w:val="000000"/>
                <w:sz w:val="18"/>
              </w:rPr>
            </w:pPr>
            <w:r w:rsidRPr="004F7D69">
              <w:rPr>
                <w:rFonts w:asciiTheme="majorHAnsi" w:hAnsiTheme="majorHAnsi" w:cstheme="majorHAnsi"/>
                <w:b/>
                <w:bCs/>
                <w:color w:val="000000"/>
                <w:sz w:val="18"/>
              </w:rPr>
              <w:t>SDCC Ref. SD24A/0187W</w:t>
            </w:r>
          </w:p>
          <w:p w14:paraId="6BD3B26F" w14:textId="5E358E8A" w:rsidR="00D16490" w:rsidRPr="006E46AB" w:rsidRDefault="004F7D69" w:rsidP="006E46AB">
            <w:pPr>
              <w:jc w:val="left"/>
              <w:rPr>
                <w:rFonts w:asciiTheme="majorHAnsi" w:hAnsiTheme="majorHAnsi" w:cstheme="majorHAnsi"/>
                <w:b/>
                <w:bCs/>
                <w:sz w:val="18"/>
              </w:rPr>
            </w:pPr>
            <w:r w:rsidRPr="004F7D69">
              <w:rPr>
                <w:rFonts w:asciiTheme="majorHAnsi" w:hAnsiTheme="majorHAnsi" w:cstheme="majorHAnsi"/>
                <w:b/>
                <w:bCs/>
                <w:color w:val="000000"/>
                <w:sz w:val="18"/>
              </w:rPr>
              <w:t>ACP Ref. 321950</w:t>
            </w:r>
          </w:p>
        </w:tc>
        <w:tc>
          <w:tcPr>
            <w:tcW w:w="1626" w:type="dxa"/>
            <w:vAlign w:val="center"/>
          </w:tcPr>
          <w:p w14:paraId="61D335E6"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Lands at Citywest Campus, Garters Lane, Saggart, Co. Dublin.</w:t>
            </w:r>
          </w:p>
          <w:p w14:paraId="3371494F" w14:textId="77777777" w:rsidR="00D16490" w:rsidRPr="00B84BDC" w:rsidRDefault="00D16490" w:rsidP="006E46AB">
            <w:pPr>
              <w:jc w:val="left"/>
              <w:rPr>
                <w:rFonts w:asciiTheme="majorHAnsi" w:hAnsiTheme="majorHAnsi" w:cstheme="majorHAnsi"/>
                <w:sz w:val="18"/>
              </w:rPr>
            </w:pPr>
          </w:p>
        </w:tc>
        <w:tc>
          <w:tcPr>
            <w:tcW w:w="1628" w:type="dxa"/>
            <w:vAlign w:val="center"/>
          </w:tcPr>
          <w:p w14:paraId="1C1619D1" w14:textId="7EC79B9B"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Grant permission 2025</w:t>
            </w:r>
          </w:p>
        </w:tc>
        <w:tc>
          <w:tcPr>
            <w:tcW w:w="3664" w:type="dxa"/>
            <w:vAlign w:val="center"/>
          </w:tcPr>
          <w:p w14:paraId="4AA98E75"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Primary Care Centre building which will provide HSE Services such as general primary care, mental health, disability and older person services. SuDS drainage, PV panels at roof level, signage, landscaping, boundary treatment and all associated site works and services.</w:t>
            </w:r>
          </w:p>
          <w:p w14:paraId="16E930A8" w14:textId="77777777" w:rsidR="00D16490" w:rsidRPr="00B84BDC" w:rsidRDefault="00D16490" w:rsidP="006E46AB">
            <w:pPr>
              <w:jc w:val="left"/>
              <w:rPr>
                <w:rFonts w:asciiTheme="majorHAnsi" w:hAnsiTheme="majorHAnsi" w:cstheme="majorHAnsi"/>
                <w:sz w:val="18"/>
              </w:rPr>
            </w:pPr>
          </w:p>
        </w:tc>
        <w:tc>
          <w:tcPr>
            <w:tcW w:w="0" w:type="auto"/>
            <w:vAlign w:val="center"/>
          </w:tcPr>
          <w:p w14:paraId="65CAEFCD"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1.1km</w:t>
            </w:r>
          </w:p>
          <w:p w14:paraId="0AFC6CAF" w14:textId="77777777" w:rsidR="00D16490" w:rsidRPr="00B84BDC" w:rsidRDefault="00D16490" w:rsidP="006E46AB">
            <w:pPr>
              <w:jc w:val="left"/>
              <w:rPr>
                <w:rFonts w:asciiTheme="majorHAnsi" w:hAnsiTheme="majorHAnsi" w:cstheme="majorHAnsi"/>
                <w:sz w:val="18"/>
              </w:rPr>
            </w:pPr>
          </w:p>
        </w:tc>
      </w:tr>
      <w:tr w:rsidR="00D16490" w:rsidRPr="00B84BDC" w14:paraId="5DC74B0C" w14:textId="77777777" w:rsidTr="006E46AB">
        <w:tc>
          <w:tcPr>
            <w:tcW w:w="1475" w:type="dxa"/>
            <w:vAlign w:val="center"/>
          </w:tcPr>
          <w:p w14:paraId="7CBAA3C8" w14:textId="77777777" w:rsidR="00D16490" w:rsidRPr="006E46AB" w:rsidRDefault="00D16490" w:rsidP="006E46AB">
            <w:pPr>
              <w:tabs>
                <w:tab w:val="clear" w:pos="284"/>
              </w:tabs>
              <w:spacing w:line="240" w:lineRule="auto"/>
              <w:jc w:val="left"/>
              <w:rPr>
                <w:rFonts w:asciiTheme="majorHAnsi" w:hAnsiTheme="majorHAnsi" w:cstheme="majorHAnsi"/>
                <w:b/>
                <w:bCs/>
                <w:color w:val="000000"/>
                <w:kern w:val="0"/>
                <w:sz w:val="18"/>
              </w:rPr>
            </w:pPr>
            <w:r w:rsidRPr="006E46AB">
              <w:rPr>
                <w:rFonts w:asciiTheme="majorHAnsi" w:hAnsiTheme="majorHAnsi" w:cstheme="majorHAnsi"/>
                <w:b/>
                <w:bCs/>
                <w:color w:val="000000"/>
                <w:sz w:val="18"/>
              </w:rPr>
              <w:lastRenderedPageBreak/>
              <w:t>SDCC Ref. SD21A/0087</w:t>
            </w:r>
            <w:r w:rsidRPr="006E46AB">
              <w:rPr>
                <w:rFonts w:asciiTheme="majorHAnsi" w:hAnsiTheme="majorHAnsi" w:cstheme="majorHAnsi"/>
                <w:b/>
                <w:bCs/>
                <w:color w:val="000000"/>
                <w:sz w:val="18"/>
              </w:rPr>
              <w:br/>
              <w:t>ACP Ref. 310688</w:t>
            </w:r>
          </w:p>
          <w:p w14:paraId="4FC943D5" w14:textId="77777777" w:rsidR="00D16490" w:rsidRPr="006E46AB" w:rsidRDefault="00D16490" w:rsidP="006E46AB">
            <w:pPr>
              <w:jc w:val="left"/>
              <w:rPr>
                <w:rFonts w:asciiTheme="majorHAnsi" w:hAnsiTheme="majorHAnsi" w:cstheme="majorHAnsi"/>
                <w:b/>
                <w:bCs/>
                <w:sz w:val="18"/>
              </w:rPr>
            </w:pPr>
          </w:p>
        </w:tc>
        <w:tc>
          <w:tcPr>
            <w:tcW w:w="1626" w:type="dxa"/>
            <w:vAlign w:val="center"/>
          </w:tcPr>
          <w:p w14:paraId="28772F01"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Rathmill Manor, Tootenhill, Rathcoole, Co. Dublin</w:t>
            </w:r>
          </w:p>
          <w:p w14:paraId="773C2A60" w14:textId="77777777" w:rsidR="00D16490" w:rsidRPr="00B84BDC" w:rsidRDefault="00D16490" w:rsidP="006E46AB">
            <w:pPr>
              <w:jc w:val="left"/>
              <w:rPr>
                <w:rFonts w:asciiTheme="majorHAnsi" w:hAnsiTheme="majorHAnsi" w:cstheme="majorHAnsi"/>
                <w:sz w:val="18"/>
              </w:rPr>
            </w:pPr>
          </w:p>
        </w:tc>
        <w:tc>
          <w:tcPr>
            <w:tcW w:w="1628" w:type="dxa"/>
            <w:vAlign w:val="center"/>
          </w:tcPr>
          <w:p w14:paraId="5A32A992" w14:textId="6470F6ED"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Grant permission 2022</w:t>
            </w:r>
            <w:r w:rsidR="00A059A0">
              <w:rPr>
                <w:rFonts w:asciiTheme="majorHAnsi" w:hAnsiTheme="majorHAnsi" w:cstheme="majorHAnsi"/>
                <w:sz w:val="18"/>
              </w:rPr>
              <w:t xml:space="preserve"> – partially constructed</w:t>
            </w:r>
            <w:r w:rsidR="005C0247">
              <w:rPr>
                <w:rFonts w:asciiTheme="majorHAnsi" w:hAnsiTheme="majorHAnsi" w:cstheme="majorHAnsi"/>
                <w:sz w:val="18"/>
              </w:rPr>
              <w:t xml:space="preserve"> (</w:t>
            </w:r>
            <w:r w:rsidR="00EF4DD7">
              <w:rPr>
                <w:rFonts w:asciiTheme="majorHAnsi" w:hAnsiTheme="majorHAnsi" w:cstheme="majorHAnsi"/>
                <w:sz w:val="18"/>
              </w:rPr>
              <w:t>3</w:t>
            </w:r>
            <w:r w:rsidR="005C0247">
              <w:rPr>
                <w:rFonts w:asciiTheme="majorHAnsi" w:hAnsiTheme="majorHAnsi" w:cstheme="majorHAnsi"/>
                <w:sz w:val="18"/>
              </w:rPr>
              <w:t>4u)</w:t>
            </w:r>
          </w:p>
        </w:tc>
        <w:tc>
          <w:tcPr>
            <w:tcW w:w="3664" w:type="dxa"/>
            <w:vAlign w:val="center"/>
          </w:tcPr>
          <w:p w14:paraId="0C87A6A3"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Construction of a residential development with 98 residential units consisting of 51 houses, 37 apartments and 10 duplexes.</w:t>
            </w:r>
          </w:p>
          <w:p w14:paraId="64A03A40" w14:textId="77777777" w:rsidR="00D16490" w:rsidRPr="00B84BDC" w:rsidRDefault="00D16490" w:rsidP="006E46AB">
            <w:pPr>
              <w:jc w:val="left"/>
              <w:rPr>
                <w:rFonts w:asciiTheme="majorHAnsi" w:hAnsiTheme="majorHAnsi" w:cstheme="majorHAnsi"/>
                <w:sz w:val="18"/>
              </w:rPr>
            </w:pPr>
          </w:p>
        </w:tc>
        <w:tc>
          <w:tcPr>
            <w:tcW w:w="0" w:type="auto"/>
            <w:vAlign w:val="center"/>
          </w:tcPr>
          <w:p w14:paraId="317ED8FD" w14:textId="13A9CB18"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1.3km</w:t>
            </w:r>
          </w:p>
          <w:p w14:paraId="71E79EE2" w14:textId="77777777" w:rsidR="00D16490" w:rsidRPr="00B84BDC" w:rsidRDefault="00D16490" w:rsidP="006E46AB">
            <w:pPr>
              <w:jc w:val="left"/>
              <w:rPr>
                <w:rFonts w:asciiTheme="majorHAnsi" w:hAnsiTheme="majorHAnsi" w:cstheme="majorHAnsi"/>
                <w:sz w:val="18"/>
              </w:rPr>
            </w:pPr>
          </w:p>
        </w:tc>
      </w:tr>
      <w:tr w:rsidR="00D16490" w:rsidRPr="00B84BDC" w14:paraId="6DFFE4AB" w14:textId="77777777" w:rsidTr="006E46AB">
        <w:tc>
          <w:tcPr>
            <w:tcW w:w="1475" w:type="dxa"/>
            <w:vAlign w:val="center"/>
          </w:tcPr>
          <w:p w14:paraId="4196EA72" w14:textId="7A9D977F" w:rsidR="00D16490" w:rsidRPr="006E46AB" w:rsidRDefault="00D16490" w:rsidP="006E46AB">
            <w:pPr>
              <w:jc w:val="left"/>
              <w:rPr>
                <w:rFonts w:asciiTheme="majorHAnsi" w:hAnsiTheme="majorHAnsi" w:cstheme="majorHAnsi"/>
                <w:b/>
                <w:bCs/>
                <w:sz w:val="18"/>
              </w:rPr>
            </w:pPr>
            <w:r w:rsidRPr="006E46AB">
              <w:rPr>
                <w:rFonts w:asciiTheme="majorHAnsi" w:hAnsiTheme="majorHAnsi" w:cstheme="majorHAnsi"/>
                <w:b/>
                <w:bCs/>
                <w:sz w:val="18"/>
              </w:rPr>
              <w:t>SD25A/0106W</w:t>
            </w:r>
          </w:p>
        </w:tc>
        <w:tc>
          <w:tcPr>
            <w:tcW w:w="1626" w:type="dxa"/>
            <w:vAlign w:val="center"/>
          </w:tcPr>
          <w:p w14:paraId="55ACDE25" w14:textId="1901501D" w:rsidR="00D16490" w:rsidRPr="00B84BDC" w:rsidRDefault="00FE14A8" w:rsidP="006E46AB">
            <w:pPr>
              <w:jc w:val="left"/>
              <w:rPr>
                <w:rFonts w:asciiTheme="majorHAnsi" w:hAnsiTheme="majorHAnsi" w:cstheme="majorHAnsi"/>
                <w:sz w:val="18"/>
              </w:rPr>
            </w:pPr>
            <w:r w:rsidRPr="00FE14A8">
              <w:rPr>
                <w:rFonts w:asciiTheme="majorHAnsi" w:hAnsiTheme="majorHAnsi" w:cstheme="majorHAnsi"/>
                <w:sz w:val="18"/>
              </w:rPr>
              <w:t>St Marys GFC, Pairc Mhure, Saggart, Co Dublin, D24 PH31</w:t>
            </w:r>
          </w:p>
        </w:tc>
        <w:tc>
          <w:tcPr>
            <w:tcW w:w="1628" w:type="dxa"/>
            <w:vAlign w:val="center"/>
          </w:tcPr>
          <w:p w14:paraId="63D31D43" w14:textId="7A6BDD15"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Permission Granted</w:t>
            </w:r>
          </w:p>
        </w:tc>
        <w:tc>
          <w:tcPr>
            <w:tcW w:w="3664" w:type="dxa"/>
            <w:vAlign w:val="center"/>
          </w:tcPr>
          <w:p w14:paraId="35167BCA" w14:textId="170D5D60"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Upgrade of existing football facilities including synthetic pitch</w:t>
            </w:r>
          </w:p>
        </w:tc>
        <w:tc>
          <w:tcPr>
            <w:tcW w:w="0" w:type="auto"/>
            <w:vAlign w:val="center"/>
          </w:tcPr>
          <w:p w14:paraId="3A97D62A" w14:textId="76C3F155"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c.1.4km</w:t>
            </w:r>
          </w:p>
        </w:tc>
      </w:tr>
      <w:tr w:rsidR="00D16490" w:rsidRPr="00B84BDC" w14:paraId="7DA6582C" w14:textId="77777777" w:rsidTr="006E46AB">
        <w:tc>
          <w:tcPr>
            <w:tcW w:w="1475" w:type="dxa"/>
            <w:vAlign w:val="center"/>
            <w:hideMark/>
          </w:tcPr>
          <w:p w14:paraId="621B1D18" w14:textId="77777777" w:rsidR="00D16490" w:rsidRPr="006E46AB" w:rsidRDefault="00D16490" w:rsidP="006E46AB">
            <w:pPr>
              <w:tabs>
                <w:tab w:val="clear" w:pos="284"/>
              </w:tabs>
              <w:spacing w:line="240" w:lineRule="auto"/>
              <w:jc w:val="left"/>
              <w:rPr>
                <w:rFonts w:asciiTheme="majorHAnsi" w:hAnsiTheme="majorHAnsi" w:cstheme="majorHAnsi"/>
                <w:b/>
                <w:bCs/>
                <w:color w:val="000000"/>
                <w:kern w:val="0"/>
                <w:sz w:val="18"/>
              </w:rPr>
            </w:pPr>
            <w:r w:rsidRPr="006E46AB">
              <w:rPr>
                <w:rFonts w:asciiTheme="majorHAnsi" w:hAnsiTheme="majorHAnsi" w:cstheme="majorHAnsi"/>
                <w:b/>
                <w:bCs/>
                <w:color w:val="000000"/>
                <w:sz w:val="18"/>
              </w:rPr>
              <w:t>ACP Ref. 305563</w:t>
            </w:r>
          </w:p>
          <w:p w14:paraId="4815B0B6" w14:textId="35B4D7BC" w:rsidR="00D16490" w:rsidRPr="006E46AB" w:rsidRDefault="00D16490" w:rsidP="006E46AB">
            <w:pPr>
              <w:jc w:val="left"/>
              <w:rPr>
                <w:rFonts w:asciiTheme="majorHAnsi" w:hAnsiTheme="majorHAnsi" w:cstheme="majorHAnsi"/>
                <w:b/>
                <w:bCs/>
                <w:sz w:val="18"/>
              </w:rPr>
            </w:pPr>
          </w:p>
        </w:tc>
        <w:tc>
          <w:tcPr>
            <w:tcW w:w="1626" w:type="dxa"/>
            <w:vAlign w:val="center"/>
          </w:tcPr>
          <w:p w14:paraId="0C3C91CA"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Fortunestown Lane, Saggart, Co. Dublin</w:t>
            </w:r>
          </w:p>
          <w:p w14:paraId="66D9E19C" w14:textId="77777777" w:rsidR="00D16490" w:rsidRPr="00B84BDC" w:rsidRDefault="00D16490" w:rsidP="006E46AB">
            <w:pPr>
              <w:jc w:val="left"/>
              <w:rPr>
                <w:rFonts w:asciiTheme="majorHAnsi" w:hAnsiTheme="majorHAnsi" w:cstheme="majorHAnsi"/>
                <w:sz w:val="18"/>
              </w:rPr>
            </w:pPr>
          </w:p>
        </w:tc>
        <w:tc>
          <w:tcPr>
            <w:tcW w:w="1628" w:type="dxa"/>
            <w:vAlign w:val="center"/>
            <w:hideMark/>
          </w:tcPr>
          <w:p w14:paraId="0329150E" w14:textId="5A61B623"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Permission Granted</w:t>
            </w:r>
            <w:r w:rsidR="000C2AC6">
              <w:rPr>
                <w:rFonts w:asciiTheme="majorHAnsi" w:hAnsiTheme="majorHAnsi" w:cstheme="majorHAnsi"/>
                <w:sz w:val="18"/>
              </w:rPr>
              <w:t xml:space="preserve"> – under construction</w:t>
            </w:r>
          </w:p>
        </w:tc>
        <w:tc>
          <w:tcPr>
            <w:tcW w:w="3664" w:type="dxa"/>
            <w:vAlign w:val="center"/>
            <w:hideMark/>
          </w:tcPr>
          <w:p w14:paraId="5A1972E1" w14:textId="202A1797"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488 no. apartments, creche and associated site works. Permission granted for an additional 86no. Units under SDCC Ref. LRD24A/0006W on September 16 2024.</w:t>
            </w:r>
          </w:p>
        </w:tc>
        <w:tc>
          <w:tcPr>
            <w:tcW w:w="0" w:type="auto"/>
            <w:vAlign w:val="center"/>
            <w:hideMark/>
          </w:tcPr>
          <w:p w14:paraId="1D5915CF" w14:textId="382F6AFB"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c.1.5km</w:t>
            </w:r>
          </w:p>
        </w:tc>
      </w:tr>
      <w:tr w:rsidR="00D16490" w:rsidRPr="00B84BDC" w14:paraId="07B2B635" w14:textId="77777777" w:rsidTr="006E46AB">
        <w:tc>
          <w:tcPr>
            <w:tcW w:w="1475" w:type="dxa"/>
            <w:vAlign w:val="center"/>
            <w:hideMark/>
          </w:tcPr>
          <w:p w14:paraId="7191961A" w14:textId="77777777" w:rsidR="00D16490" w:rsidRPr="006E46AB" w:rsidRDefault="00D16490" w:rsidP="006E46AB">
            <w:pPr>
              <w:jc w:val="left"/>
              <w:rPr>
                <w:rFonts w:asciiTheme="majorHAnsi" w:hAnsiTheme="majorHAnsi" w:cstheme="majorHAnsi"/>
                <w:b/>
                <w:bCs/>
                <w:sz w:val="18"/>
              </w:rPr>
            </w:pPr>
            <w:r w:rsidRPr="006E46AB">
              <w:rPr>
                <w:rFonts w:asciiTheme="majorHAnsi" w:hAnsiTheme="majorHAnsi" w:cstheme="majorHAnsi"/>
                <w:b/>
                <w:bCs/>
                <w:sz w:val="18"/>
              </w:rPr>
              <w:t>SD23A/0286</w:t>
            </w:r>
          </w:p>
        </w:tc>
        <w:tc>
          <w:tcPr>
            <w:tcW w:w="1626" w:type="dxa"/>
            <w:vAlign w:val="center"/>
          </w:tcPr>
          <w:p w14:paraId="4FFB286C" w14:textId="03527193"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Greenogue Recycling, Tay Lane, Rathcreedan, Rathcoole, Co Dublin</w:t>
            </w:r>
          </w:p>
        </w:tc>
        <w:tc>
          <w:tcPr>
            <w:tcW w:w="1628" w:type="dxa"/>
            <w:vAlign w:val="center"/>
            <w:hideMark/>
          </w:tcPr>
          <w:p w14:paraId="7938690A" w14:textId="2E10A79E"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Permission Granted</w:t>
            </w:r>
          </w:p>
        </w:tc>
        <w:tc>
          <w:tcPr>
            <w:tcW w:w="3664" w:type="dxa"/>
            <w:vAlign w:val="center"/>
            <w:hideMark/>
          </w:tcPr>
          <w:p w14:paraId="04229FBE" w14:textId="77777777"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7 warehouse units with associated employment floorspace</w:t>
            </w:r>
          </w:p>
        </w:tc>
        <w:tc>
          <w:tcPr>
            <w:tcW w:w="0" w:type="auto"/>
            <w:vAlign w:val="center"/>
            <w:hideMark/>
          </w:tcPr>
          <w:p w14:paraId="3F570049" w14:textId="77777777"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c.1.5km</w:t>
            </w:r>
          </w:p>
        </w:tc>
      </w:tr>
      <w:tr w:rsidR="00D16490" w:rsidRPr="00B84BDC" w14:paraId="1D908E59" w14:textId="77777777" w:rsidTr="006E46AB">
        <w:tc>
          <w:tcPr>
            <w:tcW w:w="1475" w:type="dxa"/>
            <w:tcBorders>
              <w:bottom w:val="single" w:sz="4" w:space="0" w:color="00353E" w:themeColor="accent2"/>
            </w:tcBorders>
            <w:vAlign w:val="center"/>
            <w:hideMark/>
          </w:tcPr>
          <w:p w14:paraId="6E04BFE1" w14:textId="77777777" w:rsidR="00D16490" w:rsidRPr="006E46AB" w:rsidRDefault="00D16490" w:rsidP="006E46AB">
            <w:pPr>
              <w:jc w:val="left"/>
              <w:rPr>
                <w:rFonts w:asciiTheme="majorHAnsi" w:hAnsiTheme="majorHAnsi" w:cstheme="majorHAnsi"/>
                <w:b/>
                <w:bCs/>
                <w:sz w:val="18"/>
              </w:rPr>
            </w:pPr>
            <w:r w:rsidRPr="006E46AB">
              <w:rPr>
                <w:rFonts w:asciiTheme="majorHAnsi" w:hAnsiTheme="majorHAnsi" w:cstheme="majorHAnsi"/>
                <w:b/>
                <w:bCs/>
                <w:sz w:val="18"/>
              </w:rPr>
              <w:t>SD24A/0234W</w:t>
            </w:r>
          </w:p>
        </w:tc>
        <w:tc>
          <w:tcPr>
            <w:tcW w:w="1626" w:type="dxa"/>
            <w:tcBorders>
              <w:bottom w:val="single" w:sz="4" w:space="0" w:color="00353E" w:themeColor="accent2"/>
            </w:tcBorders>
            <w:vAlign w:val="center"/>
          </w:tcPr>
          <w:p w14:paraId="377667E7" w14:textId="4ECDA490" w:rsidR="00D16490" w:rsidRPr="00B84BDC" w:rsidRDefault="00D16490" w:rsidP="000C3CC6">
            <w:pPr>
              <w:tabs>
                <w:tab w:val="clear" w:pos="284"/>
              </w:tabs>
              <w:spacing w:line="240" w:lineRule="auto"/>
              <w:jc w:val="left"/>
              <w:rPr>
                <w:rFonts w:asciiTheme="majorHAnsi" w:hAnsiTheme="majorHAnsi" w:cstheme="majorHAnsi"/>
                <w:sz w:val="18"/>
              </w:rPr>
            </w:pPr>
            <w:r w:rsidRPr="00B84BDC">
              <w:rPr>
                <w:rFonts w:asciiTheme="majorHAnsi" w:hAnsiTheme="majorHAnsi" w:cstheme="majorHAnsi"/>
                <w:color w:val="000000"/>
                <w:sz w:val="18"/>
              </w:rPr>
              <w:t>Lands on Jordanstown View, Greenogue Business Park,  Rathcoole,  Co. Dublin</w:t>
            </w:r>
          </w:p>
        </w:tc>
        <w:tc>
          <w:tcPr>
            <w:tcW w:w="1628" w:type="dxa"/>
            <w:tcBorders>
              <w:bottom w:val="single" w:sz="4" w:space="0" w:color="00353E" w:themeColor="accent2"/>
            </w:tcBorders>
            <w:vAlign w:val="center"/>
            <w:hideMark/>
          </w:tcPr>
          <w:p w14:paraId="47421685" w14:textId="398ED461"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Permission Granted</w:t>
            </w:r>
          </w:p>
        </w:tc>
        <w:tc>
          <w:tcPr>
            <w:tcW w:w="3664" w:type="dxa"/>
            <w:tcBorders>
              <w:bottom w:val="single" w:sz="4" w:space="0" w:color="00353E" w:themeColor="accent2"/>
            </w:tcBorders>
            <w:vAlign w:val="center"/>
            <w:hideMark/>
          </w:tcPr>
          <w:p w14:paraId="4D66C8DA" w14:textId="307327D1"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Waste transfer facility, office buildings,  and associated infrastructure</w:t>
            </w:r>
          </w:p>
        </w:tc>
        <w:tc>
          <w:tcPr>
            <w:tcW w:w="0" w:type="auto"/>
            <w:tcBorders>
              <w:bottom w:val="single" w:sz="4" w:space="0" w:color="00353E" w:themeColor="accent2"/>
            </w:tcBorders>
            <w:vAlign w:val="center"/>
            <w:hideMark/>
          </w:tcPr>
          <w:p w14:paraId="7B34398B" w14:textId="77777777"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c.1.9km</w:t>
            </w:r>
          </w:p>
        </w:tc>
      </w:tr>
      <w:tr w:rsidR="00D16490" w:rsidRPr="00B84BDC" w14:paraId="7B59EF6F" w14:textId="77777777" w:rsidTr="000C3CC6">
        <w:tc>
          <w:tcPr>
            <w:tcW w:w="1475" w:type="dxa"/>
            <w:tcBorders>
              <w:top w:val="single" w:sz="4" w:space="0" w:color="00353E" w:themeColor="accent2"/>
              <w:bottom w:val="single" w:sz="4" w:space="0" w:color="00353E" w:themeColor="accent2"/>
            </w:tcBorders>
            <w:vAlign w:val="center"/>
            <w:hideMark/>
          </w:tcPr>
          <w:p w14:paraId="6BBA0AF5" w14:textId="77777777" w:rsidR="00D16490" w:rsidRPr="006E46AB" w:rsidRDefault="00D16490" w:rsidP="006E46AB">
            <w:pPr>
              <w:tabs>
                <w:tab w:val="clear" w:pos="284"/>
              </w:tabs>
              <w:spacing w:line="240" w:lineRule="auto"/>
              <w:jc w:val="left"/>
              <w:rPr>
                <w:rFonts w:asciiTheme="majorHAnsi" w:hAnsiTheme="majorHAnsi" w:cstheme="majorHAnsi"/>
                <w:b/>
                <w:bCs/>
                <w:color w:val="000000"/>
                <w:kern w:val="0"/>
                <w:sz w:val="18"/>
              </w:rPr>
            </w:pPr>
            <w:r w:rsidRPr="006E46AB">
              <w:rPr>
                <w:rFonts w:asciiTheme="majorHAnsi" w:hAnsiTheme="majorHAnsi" w:cstheme="majorHAnsi"/>
                <w:b/>
                <w:bCs/>
                <w:color w:val="000000"/>
                <w:sz w:val="18"/>
              </w:rPr>
              <w:t>SDCC Ref. SD25A/0259W</w:t>
            </w:r>
          </w:p>
          <w:p w14:paraId="4DB1A1C1" w14:textId="54EEE122" w:rsidR="00D16490" w:rsidRPr="006E46AB" w:rsidRDefault="00D16490" w:rsidP="006E46AB">
            <w:pPr>
              <w:jc w:val="left"/>
              <w:rPr>
                <w:rFonts w:asciiTheme="majorHAnsi" w:hAnsiTheme="majorHAnsi" w:cstheme="majorHAnsi"/>
                <w:b/>
                <w:bCs/>
                <w:sz w:val="18"/>
              </w:rPr>
            </w:pPr>
          </w:p>
        </w:tc>
        <w:tc>
          <w:tcPr>
            <w:tcW w:w="1626" w:type="dxa"/>
            <w:tcBorders>
              <w:top w:val="single" w:sz="4" w:space="0" w:color="00353E" w:themeColor="accent2"/>
              <w:bottom w:val="single" w:sz="4" w:space="0" w:color="00353E" w:themeColor="accent2"/>
            </w:tcBorders>
            <w:vAlign w:val="center"/>
          </w:tcPr>
          <w:p w14:paraId="20E0C316" w14:textId="5047F1CD" w:rsidR="00D16490" w:rsidRPr="00B84BDC" w:rsidRDefault="00D16490" w:rsidP="006E46AB">
            <w:pPr>
              <w:tabs>
                <w:tab w:val="clear" w:pos="284"/>
              </w:tabs>
              <w:spacing w:line="240" w:lineRule="auto"/>
              <w:jc w:val="left"/>
              <w:rPr>
                <w:rFonts w:asciiTheme="majorHAnsi" w:hAnsiTheme="majorHAnsi" w:cstheme="majorHAnsi"/>
                <w:sz w:val="18"/>
              </w:rPr>
            </w:pPr>
            <w:r w:rsidRPr="00B84BDC">
              <w:rPr>
                <w:rFonts w:asciiTheme="majorHAnsi" w:hAnsiTheme="majorHAnsi" w:cstheme="majorHAnsi"/>
                <w:color w:val="000000"/>
                <w:sz w:val="18"/>
              </w:rPr>
              <w:t xml:space="preserve">lands (c. 8.72 Ha) at Greenogue Logistics Park </w:t>
            </w:r>
          </w:p>
        </w:tc>
        <w:tc>
          <w:tcPr>
            <w:tcW w:w="1628" w:type="dxa"/>
            <w:tcBorders>
              <w:top w:val="single" w:sz="4" w:space="0" w:color="00353E" w:themeColor="accent2"/>
              <w:bottom w:val="single" w:sz="4" w:space="0" w:color="00353E" w:themeColor="accent2"/>
            </w:tcBorders>
            <w:vAlign w:val="center"/>
            <w:hideMark/>
          </w:tcPr>
          <w:p w14:paraId="68B94CE5" w14:textId="77777777" w:rsidR="00D16490" w:rsidRPr="00B84BDC" w:rsidRDefault="00D16490" w:rsidP="006E46AB">
            <w:pPr>
              <w:tabs>
                <w:tab w:val="clear" w:pos="284"/>
              </w:tabs>
              <w:spacing w:line="240" w:lineRule="auto"/>
              <w:jc w:val="left"/>
              <w:rPr>
                <w:rFonts w:asciiTheme="majorHAnsi" w:hAnsiTheme="majorHAnsi" w:cstheme="majorHAnsi"/>
                <w:color w:val="000000"/>
                <w:kern w:val="0"/>
                <w:sz w:val="18"/>
              </w:rPr>
            </w:pPr>
            <w:r w:rsidRPr="00B84BDC">
              <w:rPr>
                <w:rFonts w:asciiTheme="majorHAnsi" w:hAnsiTheme="majorHAnsi" w:cstheme="majorHAnsi"/>
                <w:color w:val="000000"/>
                <w:sz w:val="18"/>
              </w:rPr>
              <w:t>Grant Permission</w:t>
            </w:r>
          </w:p>
          <w:p w14:paraId="32975682" w14:textId="25E14104"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 xml:space="preserve"> 2026</w:t>
            </w:r>
          </w:p>
        </w:tc>
        <w:tc>
          <w:tcPr>
            <w:tcW w:w="3664" w:type="dxa"/>
            <w:tcBorders>
              <w:top w:val="single" w:sz="4" w:space="0" w:color="00353E" w:themeColor="accent2"/>
              <w:bottom w:val="single" w:sz="4" w:space="0" w:color="00353E" w:themeColor="accent2"/>
            </w:tcBorders>
            <w:vAlign w:val="center"/>
            <w:hideMark/>
          </w:tcPr>
          <w:p w14:paraId="72DE9A8E" w14:textId="77777777"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Warehouse and ancillary employment development</w:t>
            </w:r>
          </w:p>
        </w:tc>
        <w:tc>
          <w:tcPr>
            <w:tcW w:w="0" w:type="auto"/>
            <w:tcBorders>
              <w:top w:val="single" w:sz="4" w:space="0" w:color="00353E" w:themeColor="accent2"/>
              <w:bottom w:val="single" w:sz="4" w:space="0" w:color="00353E" w:themeColor="accent2"/>
            </w:tcBorders>
            <w:vAlign w:val="center"/>
            <w:hideMark/>
          </w:tcPr>
          <w:p w14:paraId="60DC37EA" w14:textId="77777777" w:rsidR="00D16490" w:rsidRPr="00B84BDC" w:rsidRDefault="00D16490" w:rsidP="006E46AB">
            <w:pPr>
              <w:jc w:val="left"/>
              <w:rPr>
                <w:rFonts w:asciiTheme="majorHAnsi" w:hAnsiTheme="majorHAnsi" w:cstheme="majorHAnsi"/>
                <w:sz w:val="18"/>
              </w:rPr>
            </w:pPr>
            <w:r w:rsidRPr="00B84BDC">
              <w:rPr>
                <w:rFonts w:asciiTheme="majorHAnsi" w:hAnsiTheme="majorHAnsi" w:cstheme="majorHAnsi"/>
                <w:sz w:val="18"/>
              </w:rPr>
              <w:t>c.1.1km</w:t>
            </w:r>
          </w:p>
        </w:tc>
      </w:tr>
      <w:tr w:rsidR="00EB1918" w:rsidRPr="00B84BDC" w14:paraId="6381F1D2" w14:textId="77777777" w:rsidTr="006E46AB">
        <w:tc>
          <w:tcPr>
            <w:tcW w:w="1475" w:type="dxa"/>
            <w:tcBorders>
              <w:top w:val="single" w:sz="4" w:space="0" w:color="00353E" w:themeColor="accent2"/>
              <w:bottom w:val="single" w:sz="4" w:space="0" w:color="auto"/>
            </w:tcBorders>
            <w:vAlign w:val="center"/>
          </w:tcPr>
          <w:p w14:paraId="1A4D0EFB" w14:textId="6DA73B94" w:rsidR="00EB1918" w:rsidRPr="006E46AB" w:rsidRDefault="00EB1918" w:rsidP="00EB1918">
            <w:pPr>
              <w:tabs>
                <w:tab w:val="clear" w:pos="284"/>
              </w:tabs>
              <w:spacing w:line="240" w:lineRule="auto"/>
              <w:jc w:val="left"/>
              <w:rPr>
                <w:rFonts w:asciiTheme="majorHAnsi" w:hAnsiTheme="majorHAnsi" w:cstheme="majorHAnsi"/>
                <w:b/>
                <w:bCs/>
                <w:color w:val="000000"/>
                <w:sz w:val="18"/>
              </w:rPr>
            </w:pPr>
            <w:r w:rsidRPr="002A127F">
              <w:rPr>
                <w:rFonts w:asciiTheme="majorHAnsi" w:hAnsiTheme="majorHAnsi" w:cstheme="majorHAnsi"/>
                <w:b/>
                <w:bCs/>
                <w:color w:val="000000"/>
                <w:sz w:val="18"/>
              </w:rPr>
              <w:t>SDCC Ref. LRD25A/0012W, ACP Ref. 324127</w:t>
            </w:r>
          </w:p>
        </w:tc>
        <w:tc>
          <w:tcPr>
            <w:tcW w:w="1626" w:type="dxa"/>
            <w:tcBorders>
              <w:top w:val="single" w:sz="4" w:space="0" w:color="00353E" w:themeColor="accent2"/>
              <w:bottom w:val="single" w:sz="4" w:space="0" w:color="auto"/>
            </w:tcBorders>
            <w:vAlign w:val="center"/>
          </w:tcPr>
          <w:p w14:paraId="19446FA7" w14:textId="43A585BE" w:rsidR="00EB1918" w:rsidRPr="00B84BDC" w:rsidRDefault="00EB1918" w:rsidP="00EB1918">
            <w:pPr>
              <w:tabs>
                <w:tab w:val="clear" w:pos="284"/>
              </w:tabs>
              <w:spacing w:line="240" w:lineRule="auto"/>
              <w:jc w:val="left"/>
              <w:rPr>
                <w:rFonts w:asciiTheme="majorHAnsi" w:hAnsiTheme="majorHAnsi" w:cstheme="majorHAnsi"/>
                <w:color w:val="000000"/>
                <w:sz w:val="18"/>
              </w:rPr>
            </w:pPr>
            <w:r w:rsidRPr="002A127F">
              <w:rPr>
                <w:rFonts w:asciiTheme="majorHAnsi" w:hAnsiTheme="majorHAnsi" w:cstheme="majorHAnsi"/>
                <w:color w:val="000000"/>
                <w:sz w:val="18"/>
              </w:rPr>
              <w:t>Townland of Boherboy, Saggart, Co. Dublin</w:t>
            </w:r>
          </w:p>
        </w:tc>
        <w:tc>
          <w:tcPr>
            <w:tcW w:w="1628" w:type="dxa"/>
            <w:tcBorders>
              <w:top w:val="single" w:sz="4" w:space="0" w:color="00353E" w:themeColor="accent2"/>
              <w:bottom w:val="single" w:sz="4" w:space="0" w:color="auto"/>
            </w:tcBorders>
            <w:vAlign w:val="center"/>
          </w:tcPr>
          <w:p w14:paraId="717C238B" w14:textId="40088FEF" w:rsidR="00EB1918" w:rsidRPr="00B84BDC" w:rsidRDefault="00EB1918" w:rsidP="00EB1918">
            <w:pPr>
              <w:tabs>
                <w:tab w:val="clear" w:pos="284"/>
              </w:tabs>
              <w:spacing w:line="240" w:lineRule="auto"/>
              <w:jc w:val="left"/>
              <w:rPr>
                <w:rFonts w:asciiTheme="majorHAnsi" w:hAnsiTheme="majorHAnsi" w:cstheme="majorHAnsi"/>
                <w:color w:val="000000"/>
                <w:sz w:val="18"/>
              </w:rPr>
            </w:pPr>
            <w:r w:rsidRPr="002A127F">
              <w:rPr>
                <w:rFonts w:asciiTheme="majorHAnsi" w:hAnsiTheme="majorHAnsi" w:cstheme="majorHAnsi"/>
                <w:color w:val="000000"/>
                <w:sz w:val="18"/>
              </w:rPr>
              <w:t>Granted on appeal June 2026</w:t>
            </w:r>
          </w:p>
        </w:tc>
        <w:tc>
          <w:tcPr>
            <w:tcW w:w="3664" w:type="dxa"/>
            <w:tcBorders>
              <w:top w:val="single" w:sz="4" w:space="0" w:color="00353E" w:themeColor="accent2"/>
              <w:bottom w:val="single" w:sz="4" w:space="0" w:color="auto"/>
            </w:tcBorders>
            <w:vAlign w:val="center"/>
          </w:tcPr>
          <w:p w14:paraId="426C8F72" w14:textId="2386895C" w:rsidR="00EB1918" w:rsidRPr="00B84BDC" w:rsidRDefault="00EB1918" w:rsidP="00EB1918">
            <w:pPr>
              <w:jc w:val="left"/>
              <w:rPr>
                <w:rFonts w:asciiTheme="majorHAnsi" w:hAnsiTheme="majorHAnsi" w:cstheme="majorHAnsi"/>
                <w:sz w:val="18"/>
              </w:rPr>
            </w:pPr>
            <w:r w:rsidRPr="002A127F">
              <w:rPr>
                <w:rFonts w:asciiTheme="majorHAnsi" w:hAnsiTheme="majorHAnsi" w:cstheme="majorHAnsi"/>
                <w:color w:val="000000"/>
                <w:sz w:val="18"/>
              </w:rPr>
              <w:t>Large-scale residential development of 611 no. dwellings (306 no. houses, 133 no. duplex units and 172 no. apartments), a two-storey crèche of c.630 sqm</w:t>
            </w:r>
            <w:r>
              <w:rPr>
                <w:rFonts w:asciiTheme="majorHAnsi" w:hAnsiTheme="majorHAnsi" w:cstheme="majorHAnsi"/>
                <w:color w:val="000000"/>
                <w:sz w:val="18"/>
              </w:rPr>
              <w:t>. C</w:t>
            </w:r>
            <w:r w:rsidRPr="00EB1918">
              <w:rPr>
                <w:rFonts w:asciiTheme="majorHAnsi" w:hAnsiTheme="majorHAnsi" w:cstheme="majorHAnsi"/>
                <w:color w:val="000000"/>
                <w:sz w:val="18"/>
              </w:rPr>
              <w:t>.1.03 ha reserved for the potential future development of an 8–16 classroom primary school. Submitted with EIAR.</w:t>
            </w:r>
          </w:p>
        </w:tc>
        <w:tc>
          <w:tcPr>
            <w:tcW w:w="0" w:type="auto"/>
            <w:tcBorders>
              <w:top w:val="single" w:sz="4" w:space="0" w:color="00353E" w:themeColor="accent2"/>
              <w:bottom w:val="single" w:sz="4" w:space="0" w:color="auto"/>
            </w:tcBorders>
            <w:vAlign w:val="center"/>
          </w:tcPr>
          <w:p w14:paraId="59C7DD4E" w14:textId="7B505779" w:rsidR="00EB1918" w:rsidRPr="00B84BDC" w:rsidRDefault="00EB1918" w:rsidP="00EB1918">
            <w:pPr>
              <w:jc w:val="left"/>
              <w:rPr>
                <w:rFonts w:asciiTheme="majorHAnsi" w:hAnsiTheme="majorHAnsi" w:cstheme="majorHAnsi"/>
                <w:sz w:val="18"/>
              </w:rPr>
            </w:pPr>
            <w:r>
              <w:rPr>
                <w:rFonts w:asciiTheme="majorHAnsi" w:hAnsiTheme="majorHAnsi" w:cstheme="majorHAnsi"/>
                <w:color w:val="000000"/>
                <w:sz w:val="18"/>
              </w:rPr>
              <w:t>2km</w:t>
            </w:r>
          </w:p>
        </w:tc>
      </w:tr>
    </w:tbl>
    <w:p w14:paraId="36B6F601" w14:textId="601336D7" w:rsidR="00FE14A8" w:rsidRPr="00FE14A8" w:rsidRDefault="00FE14A8" w:rsidP="00FE14A8">
      <w:pPr>
        <w:rPr>
          <w:i/>
          <w:iCs/>
        </w:rPr>
      </w:pPr>
      <w:r>
        <w:rPr>
          <w:i/>
          <w:iCs/>
        </w:rPr>
        <w:t>Source: SDCC &amp; ACP</w:t>
      </w:r>
    </w:p>
    <w:p w14:paraId="444376F3" w14:textId="331E913F" w:rsidR="00481540" w:rsidRDefault="00481540" w:rsidP="00481540">
      <w:pPr>
        <w:pStyle w:val="Heading4"/>
      </w:pPr>
      <w:r>
        <w:t>Assessment of Cumulative Effects</w:t>
      </w:r>
    </w:p>
    <w:p w14:paraId="3E891A89" w14:textId="4D838E61" w:rsidR="00481540" w:rsidRDefault="00481540" w:rsidP="00FE14A8">
      <w:r>
        <w:t xml:space="preserve">This assessment has had regard to the population growth objectives contained within the National Planning Framework (2025), the </w:t>
      </w:r>
      <w:r w:rsidRPr="00AC7AC1">
        <w:rPr>
          <w:i/>
          <w:iCs/>
        </w:rPr>
        <w:t>NPF Implementation: Housing Growth Requirements</w:t>
      </w:r>
      <w:r>
        <w:t xml:space="preserve"> Guidelines (2025), the </w:t>
      </w:r>
      <w:r w:rsidR="00357198">
        <w:t>RSES</w:t>
      </w:r>
      <w:r>
        <w:t xml:space="preserve"> and the </w:t>
      </w:r>
      <w:r w:rsidR="00357198">
        <w:t xml:space="preserve">SDCCDP </w:t>
      </w:r>
      <w:r>
        <w:t>2022-2028, including Proposed Variation No. 2.</w:t>
      </w:r>
      <w:r w:rsidR="00357198">
        <w:t xml:space="preserve"> </w:t>
      </w:r>
      <w:r>
        <w:t>The cumulative assessment has also considered the capacity of existing and planned social infrastructure within Rathcoole, including educational facilities, childcare facilities, healthcare services, community facilities, sports facilities, retail provision and public open space.</w:t>
      </w:r>
    </w:p>
    <w:p w14:paraId="2E2D3A62" w14:textId="77777777" w:rsidR="00D908E7" w:rsidRDefault="00D908E7" w:rsidP="00FE14A8"/>
    <w:p w14:paraId="73FFF821" w14:textId="253DB8FF" w:rsidR="007C739E" w:rsidRDefault="007C739E" w:rsidP="00FE14A8">
      <w:r w:rsidRPr="007C739E">
        <w:t>Approximately 1,324 no. permitted units which are not yet constructed or completed have been identified within 2km of the site. Of these, 1,175 no. units are located in Saggart including the 611 no. units permitted at Boherboy in June 2026 and will therefore likely avail of services within Saggart and Citywest Town Centres. Of the 149 no. remaining units permitted in Rathcoole Town, 58 no. are age-friendly, which results in a total of c.91 no. standard residential units.</w:t>
      </w:r>
    </w:p>
    <w:p w14:paraId="033A6FDD" w14:textId="77777777" w:rsidR="00F21447" w:rsidRDefault="00F21447" w:rsidP="00FE14A8"/>
    <w:p w14:paraId="5BEF9A3B" w14:textId="23AA8C6A" w:rsidR="006517F9" w:rsidRDefault="00020949" w:rsidP="00FE14A8">
      <w:r>
        <w:t>All units excepting those permitted in 2026</w:t>
      </w:r>
      <w:r w:rsidR="003761C6" w:rsidRPr="003761C6">
        <w:t>, were considered as part of the Settlement Capacity Audit prepared by SDCC to inform Proposed Variation No. 2 of the SDCC Development Plan in 2025. The Audit concluded that a further 69 units could be accommodated in Rathcoole, resulting in a total capacity of 188 potential units to 2028 identified within the Core Strategy. The identification of this level of growth reflects the Council's assessment that Rathcoole has the capacity to accommodate and support such residential development having regard to available services, infrastructure and the planned growth strategy for the settlement. The proposed development is consistent with this planned growth trajectory, accords with the capacity identified under the proposed variation, and will contribute towards the achievement of the residential growth envisaged for the town.</w:t>
      </w:r>
    </w:p>
    <w:p w14:paraId="76BC0D3D" w14:textId="77777777" w:rsidR="001D798B" w:rsidRDefault="001D798B" w:rsidP="00FE14A8"/>
    <w:p w14:paraId="53D32BDA" w14:textId="68403962" w:rsidR="001D798B" w:rsidRDefault="001D798B" w:rsidP="00FE14A8">
      <w:r w:rsidRPr="001D798B">
        <w:t>The most significant permitted development in the wider area is the 611-unit residential scheme at Boherboy, Saggart), granted on appeal in June 2026. Located on the Saggart side of the study area, the development will orient principally towards services in Saggart and Citywest and is largely self-mitigating in social infrastructure terms, incorporating a crèche and reserving a c.1.03 ha site for a potential future school. The principal cumulative interaction with the proposed development arises at post-primary level, where both schemes fall within the catchment of Coláiste Pobail Fóla. The proposed development generates a modest demand of c.24 no. post-primary places, capacity remains within Coláiste Pobail Fóla's permitted 1,000-pupil school, and the Department of Education projects a sustained national decline in post-primary enrolments from 2025/26. The cumulative demand arising from both developments can therefore be accommodated without significant adverse effects on social infrastructure capacity.</w:t>
      </w:r>
    </w:p>
    <w:p w14:paraId="77005DBF" w14:textId="77777777" w:rsidR="003761C6" w:rsidRDefault="003761C6" w:rsidP="00FE14A8"/>
    <w:p w14:paraId="2CCBC706" w14:textId="7F408BC7" w:rsidR="00481540" w:rsidRDefault="00481540" w:rsidP="00FE14A8">
      <w:r>
        <w:t xml:space="preserve">The approved primary school immediately adjoining the application site is of particular relevance from a cumulative perspective, as it will increase educational capacity within the area and support the planned growth of the settlement. </w:t>
      </w:r>
      <w:r w:rsidR="004C720F">
        <w:t>Various warehousing and employment-based developments will increase potential employment</w:t>
      </w:r>
      <w:r w:rsidR="005B0064">
        <w:t xml:space="preserve"> in the area. </w:t>
      </w:r>
    </w:p>
    <w:p w14:paraId="4C7A1504" w14:textId="77777777" w:rsidR="00817B9D" w:rsidRDefault="00817B9D" w:rsidP="00FE14A8"/>
    <w:p w14:paraId="0C4660BB" w14:textId="24046DA5" w:rsidR="00481540" w:rsidRDefault="00481540" w:rsidP="00FE14A8">
      <w:r>
        <w:t xml:space="preserve">While the proposed development will contribute to population growth and generate additional demand for services and facilities, Rathcoole is identified as a growth settlement within South Dublin County and has been planned to accommodate future residential development. Furthermore, the proposed development provides significant social and recreational infrastructure as part of the scheme, reducing the potential for adverse cumulative effects on existing facilities.The cumulative effect of the proposed development, when considered alongside existing and permitted development within Rathcoole and the wider area, is therefore considered to be </w:t>
      </w:r>
      <w:r>
        <w:rPr>
          <w:rStyle w:val="Strong"/>
        </w:rPr>
        <w:t>moderate, long-term and positive</w:t>
      </w:r>
      <w:r>
        <w:t>. The development will contribute towards the delivery of housing, recreational facilities and active travel infrastructure within a planned growth settlement, thereby supporting the sustainable long-term development of Rathcoole.</w:t>
      </w:r>
    </w:p>
    <w:p w14:paraId="76DAAC39" w14:textId="6DB7554A" w:rsidR="00DE17E0" w:rsidRDefault="00DE17E0" w:rsidP="004B509F">
      <w:pPr>
        <w:pStyle w:val="Heading2"/>
      </w:pPr>
      <w:bookmarkStart w:id="94" w:name="_Toc233122778"/>
      <w:r>
        <w:t>‘Do Nothing’ Scenario</w:t>
      </w:r>
      <w:bookmarkEnd w:id="94"/>
    </w:p>
    <w:p w14:paraId="62A27586" w14:textId="0CA81817" w:rsidR="008436CA" w:rsidRDefault="008436CA" w:rsidP="008436CA">
      <w:pPr>
        <w:pStyle w:val="BodyText"/>
      </w:pPr>
      <w:r>
        <w:t xml:space="preserve">In the event that the proposed development does not proceed, the application site would largely remain in its current condition as a mixture of woodland, grassland and </w:t>
      </w:r>
      <w:r w:rsidR="00AD7833">
        <w:t xml:space="preserve">land on which informal </w:t>
      </w:r>
      <w:r w:rsidR="00322E6A">
        <w:t>sports pitch is located</w:t>
      </w:r>
      <w:r>
        <w:t>. Existing opportunities for informal recreation and biodiversity would be retained and there would be no loss of natural habitat associated with the development of the site.</w:t>
      </w:r>
      <w:r w:rsidR="00727915">
        <w:t xml:space="preserve"> </w:t>
      </w:r>
      <w:r>
        <w:t xml:space="preserve">However, the do-nothing scenario would also result in the loss of an opportunity to deliver housing on lands identified for residential development within Rathcoole, a designated Self-Sustaining Growth Town within the </w:t>
      </w:r>
      <w:r w:rsidR="00727915">
        <w:t>SDCC</w:t>
      </w:r>
      <w:r w:rsidR="000C27AF">
        <w:t>DP 2022-2028</w:t>
      </w:r>
      <w:r>
        <w:t>. The development would contribute towards meeting identified housing need within the County and support the population growth objectives set out within national, regional and local planning policy. In the absence of the proposed development, these housing units would not be delivered.</w:t>
      </w:r>
    </w:p>
    <w:p w14:paraId="08459CE1" w14:textId="57F866B0" w:rsidR="008436CA" w:rsidRDefault="008436CA" w:rsidP="008436CA">
      <w:pPr>
        <w:pStyle w:val="BodyText"/>
      </w:pPr>
      <w:r>
        <w:t xml:space="preserve">The do-nothing scenario would also result in the non-delivery of significant recreational infrastructure proposed as part of the development, including active travel connections, woodland trail upgrades, two senior GAA pitches, one junior pitch and an associated pavilion. Opportunities to improve public access to and management of the retained </w:t>
      </w:r>
      <w:r w:rsidR="000C27AF">
        <w:t xml:space="preserve">transitional </w:t>
      </w:r>
      <w:r>
        <w:t>woodland areas would also not arise.</w:t>
      </w:r>
    </w:p>
    <w:p w14:paraId="39FC55C9" w14:textId="31FCBE5A" w:rsidR="008436CA" w:rsidRPr="008436CA" w:rsidRDefault="008436CA" w:rsidP="008436CA">
      <w:pPr>
        <w:pStyle w:val="BodyText"/>
      </w:pPr>
      <w:r>
        <w:t>While the retention of the existing natural environment would represent a positive outcome for biodiversity and informal recreation, the absence of new housing, recreational facilities</w:t>
      </w:r>
      <w:r w:rsidR="000C27AF">
        <w:t xml:space="preserve"> and</w:t>
      </w:r>
      <w:r>
        <w:t xml:space="preserve"> active travel infrastructure would represent a lost opportunity to enhance population and human health outcomes within Rathcoole. On balance, the do-nothing scenario is therefore considered likely to result in a slight negative effect on population and human health when compared to the proposed development.</w:t>
      </w:r>
    </w:p>
    <w:p w14:paraId="71D72F33" w14:textId="09E1F3B5" w:rsidR="004745EA" w:rsidRDefault="00BE1C50" w:rsidP="004B509F">
      <w:pPr>
        <w:pStyle w:val="Heading2"/>
      </w:pPr>
      <w:bookmarkStart w:id="95" w:name="_Toc233122779"/>
      <w:r>
        <w:t>Summary</w:t>
      </w:r>
      <w:bookmarkEnd w:id="95"/>
    </w:p>
    <w:p w14:paraId="4AC212F9" w14:textId="77777777" w:rsidR="007E1DC3" w:rsidRDefault="007E1DC3" w:rsidP="007E1DC3">
      <w:pPr>
        <w:tabs>
          <w:tab w:val="clear" w:pos="284"/>
        </w:tabs>
        <w:spacing w:line="240" w:lineRule="auto"/>
        <w:jc w:val="left"/>
      </w:pPr>
      <w:r>
        <w:t>The proposed development comprises a residential-led scheme providing 130 no. residential units together with associated community, recreational and infrastructure provisions, including two senior GAA pitches, one junior GAA pitch, a pavilion building, public open space, active travel infrastructure and associated services.</w:t>
      </w:r>
    </w:p>
    <w:p w14:paraId="125EA8E9" w14:textId="77777777" w:rsidR="007E1DC3" w:rsidRDefault="007E1DC3" w:rsidP="007E1DC3">
      <w:pPr>
        <w:tabs>
          <w:tab w:val="clear" w:pos="284"/>
        </w:tabs>
        <w:spacing w:line="240" w:lineRule="auto"/>
        <w:jc w:val="left"/>
      </w:pPr>
    </w:p>
    <w:p w14:paraId="5482ACF0" w14:textId="77777777" w:rsidR="007E1DC3" w:rsidRDefault="007E1DC3" w:rsidP="007E1DC3">
      <w:pPr>
        <w:tabs>
          <w:tab w:val="clear" w:pos="284"/>
        </w:tabs>
        <w:spacing w:line="240" w:lineRule="auto"/>
        <w:jc w:val="left"/>
      </w:pPr>
      <w:r>
        <w:t>The assessment has considered the potential effects of the proposed development on population and human health having regard to the existing demographic profile of Rathcoole, the availability of social and community infrastructure, and the findings of other environmental assessments contained within this EIAR.</w:t>
      </w:r>
    </w:p>
    <w:p w14:paraId="3431592A" w14:textId="77777777" w:rsidR="007E1DC3" w:rsidRDefault="007E1DC3" w:rsidP="007E1DC3">
      <w:pPr>
        <w:tabs>
          <w:tab w:val="clear" w:pos="284"/>
        </w:tabs>
        <w:spacing w:line="240" w:lineRule="auto"/>
        <w:jc w:val="left"/>
      </w:pPr>
    </w:p>
    <w:p w14:paraId="64368243" w14:textId="77777777" w:rsidR="007E1DC3" w:rsidRDefault="007E1DC3" w:rsidP="007E1DC3">
      <w:pPr>
        <w:tabs>
          <w:tab w:val="clear" w:pos="284"/>
        </w:tabs>
        <w:spacing w:line="240" w:lineRule="auto"/>
        <w:jc w:val="left"/>
      </w:pPr>
      <w:r>
        <w:t>The baseline assessment demonstrates that Rathcoole has experienced significant population growth between 2016 and 2022, substantially exceeding both county and national growth rates. National, regional and local planning policy identifies a continued requirement for residential development within South Dublin County and Rathcoole in particular. The Settlement Capacity Audit undertaken by South Dublin County Council confirms the capacity of Rathcoole to accommodate additional residential development and identifies a requirement for further housing delivery within the settlement.</w:t>
      </w:r>
    </w:p>
    <w:p w14:paraId="1A3034A9" w14:textId="77777777" w:rsidR="007E1DC3" w:rsidRDefault="007E1DC3" w:rsidP="007E1DC3">
      <w:pPr>
        <w:tabs>
          <w:tab w:val="clear" w:pos="284"/>
        </w:tabs>
        <w:spacing w:line="240" w:lineRule="auto"/>
        <w:jc w:val="left"/>
      </w:pPr>
    </w:p>
    <w:p w14:paraId="4660F596" w14:textId="77777777" w:rsidR="007E1DC3" w:rsidRDefault="007E1DC3" w:rsidP="007E1DC3">
      <w:pPr>
        <w:tabs>
          <w:tab w:val="clear" w:pos="284"/>
        </w:tabs>
        <w:spacing w:line="240" w:lineRule="auto"/>
        <w:jc w:val="left"/>
      </w:pPr>
      <w:r>
        <w:t>The proposed development will contribute towards the delivery of housing targets identified under the National Planning Framework, the Regional Spatial and Economic Strategy and the South Dublin County Development Plan. The development will support population growth within a designated Self-Sustaining Growth Town and will assist in consolidating the existing settlement in accordance with national and regional planning policy.</w:t>
      </w:r>
    </w:p>
    <w:p w14:paraId="10BA4C31" w14:textId="77777777" w:rsidR="007E1DC3" w:rsidRDefault="007E1DC3" w:rsidP="007E1DC3">
      <w:pPr>
        <w:tabs>
          <w:tab w:val="clear" w:pos="284"/>
        </w:tabs>
        <w:spacing w:line="240" w:lineRule="auto"/>
        <w:jc w:val="left"/>
      </w:pPr>
    </w:p>
    <w:p w14:paraId="5609BF54" w14:textId="77777777" w:rsidR="007E1DC3" w:rsidRDefault="007E1DC3" w:rsidP="007E1DC3">
      <w:pPr>
        <w:tabs>
          <w:tab w:val="clear" w:pos="284"/>
        </w:tabs>
        <w:spacing w:line="240" w:lineRule="auto"/>
        <w:jc w:val="left"/>
      </w:pPr>
      <w:r>
        <w:t>The assessment of social infrastructure has identified an extensive range of childcare, educational, community, recreational and retail facilities within the study area. In addition, the proposed development includes significant community infrastructure in the form of GAA facilities, public open space, active travel connections and supporting infrastructure. The development will therefore make a positive contribution to the social and recreational amenities available within Rathcoole.</w:t>
      </w:r>
    </w:p>
    <w:p w14:paraId="4EFDD6F3" w14:textId="77777777" w:rsidR="007E1DC3" w:rsidRDefault="007E1DC3" w:rsidP="007E1DC3">
      <w:pPr>
        <w:tabs>
          <w:tab w:val="clear" w:pos="284"/>
        </w:tabs>
        <w:spacing w:line="240" w:lineRule="auto"/>
        <w:jc w:val="left"/>
      </w:pPr>
    </w:p>
    <w:p w14:paraId="7B2C1585" w14:textId="77777777" w:rsidR="007E1DC3" w:rsidRDefault="007E1DC3" w:rsidP="007E1DC3">
      <w:pPr>
        <w:tabs>
          <w:tab w:val="clear" w:pos="284"/>
        </w:tabs>
        <w:spacing w:line="240" w:lineRule="auto"/>
        <w:jc w:val="left"/>
      </w:pPr>
      <w:r>
        <w:t>Potential effects on human health associated with noise and vibration, air quality and climate, traffic and transportation, water, material assets and major accidents and disasters have been assessed within the relevant chapters of this EIAR. Subject to the implementation of the mitigation measures identified throughout the EIAR, no significant adverse effects on population or human health are predicted.</w:t>
      </w:r>
    </w:p>
    <w:p w14:paraId="65428913" w14:textId="77777777" w:rsidR="007E1DC3" w:rsidRDefault="007E1DC3" w:rsidP="007E1DC3">
      <w:pPr>
        <w:tabs>
          <w:tab w:val="clear" w:pos="284"/>
        </w:tabs>
        <w:spacing w:line="240" w:lineRule="auto"/>
        <w:jc w:val="left"/>
      </w:pPr>
    </w:p>
    <w:p w14:paraId="2C548CF2" w14:textId="44917E2F" w:rsidR="00584C84" w:rsidRDefault="007E1DC3" w:rsidP="007E1DC3">
      <w:pPr>
        <w:tabs>
          <w:tab w:val="clear" w:pos="284"/>
        </w:tabs>
        <w:spacing w:line="240" w:lineRule="auto"/>
        <w:jc w:val="left"/>
        <w:rPr>
          <w:rFonts w:asciiTheme="majorHAnsi" w:eastAsiaTheme="majorEastAsia" w:hAnsiTheme="majorHAnsi" w:cstheme="majorBidi"/>
          <w:b/>
          <w:bCs/>
          <w:color w:val="008768" w:themeColor="accent1"/>
          <w:sz w:val="36"/>
          <w:szCs w:val="26"/>
        </w:rPr>
      </w:pPr>
      <w:r>
        <w:t>Overall, the proposed development will result in significant positive effects through the delivery of housing, community infrastructure, recreational facilities and investment within Rathcoole and South Dublin County.</w:t>
      </w:r>
      <w:r w:rsidR="00584C84">
        <w:br w:type="page"/>
      </w:r>
    </w:p>
    <w:p w14:paraId="3BA15417" w14:textId="2D3A301D" w:rsidR="00584C84" w:rsidRDefault="00584C84" w:rsidP="00584C84">
      <w:pPr>
        <w:pStyle w:val="Heading2"/>
      </w:pPr>
      <w:bookmarkStart w:id="96" w:name="_Toc233122780"/>
      <w:r>
        <w:lastRenderedPageBreak/>
        <w:t>References</w:t>
      </w:r>
      <w:bookmarkEnd w:id="96"/>
    </w:p>
    <w:p w14:paraId="2A6A0C4A" w14:textId="1BCB6A45" w:rsidR="00473ED8" w:rsidRDefault="00473ED8" w:rsidP="00473ED8">
      <w:pPr>
        <w:pStyle w:val="BodyText"/>
      </w:pPr>
      <w:r>
        <w:t>Central Statistics Office (2022). Census of Population 2022.</w:t>
      </w:r>
    </w:p>
    <w:p w14:paraId="0A94BE29" w14:textId="2B1DF524" w:rsidR="00473ED8" w:rsidRDefault="00473ED8" w:rsidP="00473ED8">
      <w:pPr>
        <w:pStyle w:val="BodyText"/>
      </w:pPr>
      <w:r>
        <w:t>Department of Housing, Local Government and Heritage (2025). National Planning Framework.</w:t>
      </w:r>
    </w:p>
    <w:p w14:paraId="1FEFDEB8" w14:textId="376A57BF" w:rsidR="00473ED8" w:rsidRDefault="00473ED8" w:rsidP="00473ED8">
      <w:pPr>
        <w:pStyle w:val="BodyText"/>
      </w:pPr>
      <w:r>
        <w:t>Department of Housing, Local Government and Heritage (2025). NPF Implementation: Housing Growth Requirements – Guidelines for Planning Authorities.</w:t>
      </w:r>
    </w:p>
    <w:p w14:paraId="403FCD1D" w14:textId="4B88EB05" w:rsidR="00473ED8" w:rsidRDefault="00473ED8" w:rsidP="00473ED8">
      <w:pPr>
        <w:pStyle w:val="BodyText"/>
      </w:pPr>
      <w:r>
        <w:t>Eastern and Midland Regional Assembly (2019). Regional Spatial and Economic Strategy 2019–2031.</w:t>
      </w:r>
    </w:p>
    <w:p w14:paraId="7F7BF96B" w14:textId="6367B77F" w:rsidR="00473ED8" w:rsidRDefault="00473ED8" w:rsidP="00473ED8">
      <w:pPr>
        <w:pStyle w:val="BodyText"/>
      </w:pPr>
      <w:r>
        <w:t>Environmental Protection Agency (2022). Guidelines on the Information to be Contained in Environmental Impact Assessment Reports.</w:t>
      </w:r>
    </w:p>
    <w:p w14:paraId="2BC6DD83" w14:textId="7AF5C0EF" w:rsidR="00473ED8" w:rsidRDefault="00473ED8" w:rsidP="00473ED8">
      <w:pPr>
        <w:pStyle w:val="BodyText"/>
      </w:pPr>
      <w:r>
        <w:t>European Commission (2017). Environmental Impact Assessment of Projects: Guidance on the Preparation of the Environmental Impact Assessment Report.</w:t>
      </w:r>
    </w:p>
    <w:p w14:paraId="574851DF" w14:textId="1036EA09" w:rsidR="00473ED8" w:rsidRDefault="00473ED8" w:rsidP="00473ED8">
      <w:pPr>
        <w:pStyle w:val="BodyText"/>
      </w:pPr>
      <w:r>
        <w:t>Institute of Environmental Management and Assessment (2017). Health in Environmental Impact Assessment – A Primer for a Proportionate Approach.</w:t>
      </w:r>
    </w:p>
    <w:p w14:paraId="33FC261E" w14:textId="42086367" w:rsidR="00473ED8" w:rsidRDefault="00473ED8" w:rsidP="00473ED8">
      <w:pPr>
        <w:pStyle w:val="BodyText"/>
      </w:pPr>
      <w:r>
        <w:t>Institute of Environmental Management and Assessment (2022). Determining Significance for Human Health in Environmental Impact Assessment.</w:t>
      </w:r>
    </w:p>
    <w:p w14:paraId="55D31ABD" w14:textId="6986E3E1" w:rsidR="00473ED8" w:rsidRDefault="00473ED8" w:rsidP="00473ED8">
      <w:pPr>
        <w:pStyle w:val="BodyText"/>
      </w:pPr>
      <w:r>
        <w:t>Institute of Public Health in Ireland (2009). Health Impact Assessment Guidance.</w:t>
      </w:r>
    </w:p>
    <w:p w14:paraId="386627FC" w14:textId="704AB2E1" w:rsidR="00473ED8" w:rsidRDefault="00473ED8" w:rsidP="00473ED8">
      <w:pPr>
        <w:pStyle w:val="BodyText"/>
      </w:pPr>
      <w:r>
        <w:t>South Dublin County Council (2022). South Dublin County Development Plan 2022–2028.</w:t>
      </w:r>
    </w:p>
    <w:p w14:paraId="48E0F143" w14:textId="438AB69E" w:rsidR="00473ED8" w:rsidRDefault="00473ED8" w:rsidP="00473ED8">
      <w:pPr>
        <w:pStyle w:val="BodyText"/>
      </w:pPr>
      <w:r>
        <w:t>South Dublin County Council (2025). Proposed Variation No. 2 to the South Dublin County Development Plan 2022–2028.</w:t>
      </w:r>
    </w:p>
    <w:p w14:paraId="714E08D0" w14:textId="128D19E5" w:rsidR="00473ED8" w:rsidRDefault="00473ED8" w:rsidP="00473ED8">
      <w:pPr>
        <w:pStyle w:val="BodyText"/>
      </w:pPr>
      <w:r>
        <w:t>Tusla (2026). Early Years Services Register.</w:t>
      </w:r>
    </w:p>
    <w:p w14:paraId="3723D238" w14:textId="59B50095" w:rsidR="00584C84" w:rsidRPr="00CD67AC" w:rsidRDefault="00473ED8" w:rsidP="00473ED8">
      <w:pPr>
        <w:pStyle w:val="BodyText"/>
      </w:pPr>
      <w:r>
        <w:t>United States Environmental Protection Agency (2016). Health Impact Assessment Resource and Tool Compilation.</w:t>
      </w:r>
    </w:p>
    <w:p w14:paraId="74447C57" w14:textId="77777777" w:rsidR="00584C84" w:rsidRDefault="00584C84" w:rsidP="00584C84">
      <w:pPr>
        <w:pStyle w:val="BodyText"/>
      </w:pPr>
    </w:p>
    <w:p w14:paraId="0263192F" w14:textId="77777777" w:rsidR="00584C84" w:rsidRPr="002B2F8D" w:rsidRDefault="00584C84" w:rsidP="00584C84">
      <w:pPr>
        <w:pStyle w:val="BodyText"/>
      </w:pPr>
    </w:p>
    <w:p w14:paraId="57E54434" w14:textId="77777777" w:rsidR="00584C84" w:rsidRPr="00BE1C50" w:rsidRDefault="00584C84" w:rsidP="00BE1C50">
      <w:pPr>
        <w:pStyle w:val="BodyText"/>
      </w:pPr>
    </w:p>
    <w:p w14:paraId="2AA6769D" w14:textId="77777777" w:rsidR="006545BF" w:rsidRDefault="006545BF" w:rsidP="006545BF">
      <w:pPr>
        <w:pStyle w:val="Heading1"/>
        <w:numPr>
          <w:ilvl w:val="0"/>
          <w:numId w:val="0"/>
        </w:numPr>
        <w:ind w:left="850" w:hanging="850"/>
      </w:pPr>
      <w:bookmarkStart w:id="97" w:name="_Toc180059926"/>
      <w:bookmarkStart w:id="98" w:name="_Toc192773762"/>
      <w:bookmarkStart w:id="99" w:name="_Toc233122781"/>
      <w:r>
        <w:lastRenderedPageBreak/>
        <w:t>Non-Technical Summary</w:t>
      </w:r>
      <w:bookmarkEnd w:id="97"/>
      <w:bookmarkEnd w:id="98"/>
      <w:bookmarkEnd w:id="99"/>
      <w:r>
        <w:t xml:space="preserve"> </w:t>
      </w:r>
    </w:p>
    <w:p w14:paraId="75295AB5" w14:textId="77777777" w:rsidR="007D349C" w:rsidRDefault="007D349C" w:rsidP="007D349C">
      <w:pPr>
        <w:pStyle w:val="BodyText"/>
      </w:pPr>
      <w:bookmarkStart w:id="100" w:name="_Toc233122782"/>
      <w:r>
        <w:t>This chapter assesses the likely effects of the proposed development on Population and Human Health. The assessment considers the existing population profile of Rathcoole and the surrounding area together with the availability and capacity of social infrastructure, including childcare facilities, schools, healthcare services, community facilities, open space, sports facilities and other services that contribute to quality of life and wellbeing.</w:t>
      </w:r>
    </w:p>
    <w:p w14:paraId="1549A667" w14:textId="1B54634D" w:rsidR="007D349C" w:rsidRDefault="007D349C" w:rsidP="007D349C">
      <w:pPr>
        <w:pStyle w:val="BodyText"/>
      </w:pPr>
      <w:r>
        <w:t>The assessment has also considered human health effects arising from other environmental topics assessed within the EIAR, including traffic and transportation, noise and vibration, air quality and climate, water, biodiversity and landscape.</w:t>
      </w:r>
    </w:p>
    <w:p w14:paraId="13DFFB54" w14:textId="3BD3AF94" w:rsidR="007D349C" w:rsidRDefault="007D349C" w:rsidP="007D349C">
      <w:pPr>
        <w:pStyle w:val="Heading2"/>
      </w:pPr>
      <w:r>
        <w:t>Existing Environment</w:t>
      </w:r>
    </w:p>
    <w:p w14:paraId="72E75CF9" w14:textId="7C1AB3F7" w:rsidR="007D349C" w:rsidRDefault="007D349C" w:rsidP="007D349C">
      <w:pPr>
        <w:pStyle w:val="BodyText"/>
      </w:pPr>
      <w:r>
        <w:t>The proposed development is located on lands adjoining Rathcoole Town within the administrative area of South Dublin County Council. Rathcoole has experienced substantial population growth in recent years. Between 2016 and 2022 the population of Rathcoole Town increased by approximately 33%, significantly above both the national and county averages. The settlement is identified as a Self-Sustaining Growth Town within the South Dublin County Development Plan and forms part of the wider Dublin Metropolitan Area.</w:t>
      </w:r>
    </w:p>
    <w:p w14:paraId="1E73360F" w14:textId="5F726625" w:rsidR="007D349C" w:rsidRDefault="007D349C" w:rsidP="007D349C">
      <w:pPr>
        <w:pStyle w:val="BodyText"/>
      </w:pPr>
      <w:r>
        <w:t>The area benefits from a range of existing services and facilities, including childcare facilities, primary and secondary schools, healthcare services, sports clubs, community facilities, retail services and recreational amenities. Rathcoole Park, Rathcoole Woodlands and a number of sports facilities are located within close proximity of the site. Significant employment opportunities are also available in nearby employment centres including Greenogue Business Park, Baldonnell Business Park and Citywest.</w:t>
      </w:r>
    </w:p>
    <w:p w14:paraId="44ED9A97" w14:textId="77777777" w:rsidR="007D349C" w:rsidRDefault="007D349C" w:rsidP="007D349C">
      <w:pPr>
        <w:pStyle w:val="BodyText"/>
      </w:pPr>
      <w:r>
        <w:t>The area has a relatively young population profile with a higher proportion of children than the South Dublin average. Household sizes are also broadly consistent with the wider county.</w:t>
      </w:r>
    </w:p>
    <w:p w14:paraId="185F0014" w14:textId="2A1940E9" w:rsidR="008F69EE" w:rsidRDefault="008F69EE" w:rsidP="004B509F">
      <w:pPr>
        <w:pStyle w:val="Heading2"/>
      </w:pPr>
      <w:r>
        <w:t>Potential Impacts</w:t>
      </w:r>
      <w:bookmarkEnd w:id="100"/>
    </w:p>
    <w:p w14:paraId="1A7A3127" w14:textId="22946372" w:rsidR="001F1BFB" w:rsidRDefault="001F1BFB" w:rsidP="001F1BFB">
      <w:pPr>
        <w:pStyle w:val="Heading3"/>
      </w:pPr>
      <w:r>
        <w:t xml:space="preserve"> Construction Phase</w:t>
      </w:r>
    </w:p>
    <w:p w14:paraId="5CBC6F7F" w14:textId="77777777" w:rsidR="001F1BFB" w:rsidRDefault="001F1BFB" w:rsidP="001F1BFB">
      <w:pPr>
        <w:pStyle w:val="BodyText"/>
      </w:pPr>
      <w:r>
        <w:t>During the construction phase, temporary impacts may arise from construction traffic, noise, vibration, dust generation and temporary disruption associated with construction activities. These effects are typical of residential developments of this scale and are expected to be localised and temporary in nature.Construction activity will also generate employment opportunities and economic benefits through expenditure on labour, materials and services.</w:t>
      </w:r>
    </w:p>
    <w:p w14:paraId="440E3C2B" w14:textId="77777777" w:rsidR="001F1BFB" w:rsidRDefault="001F1BFB" w:rsidP="001F1BFB">
      <w:pPr>
        <w:pStyle w:val="BodyText"/>
      </w:pPr>
      <w:r>
        <w:t>With the implementation of standard construction management measures, the residual impact on Population and Human Health during the construction phase is considered to be temporary and not significant.</w:t>
      </w:r>
    </w:p>
    <w:p w14:paraId="71272013" w14:textId="6A7AEB2B" w:rsidR="001F1BFB" w:rsidRDefault="001F1BFB" w:rsidP="001F1BFB">
      <w:pPr>
        <w:pStyle w:val="Heading3"/>
      </w:pPr>
      <w:r>
        <w:t xml:space="preserve"> Operational Phase</w:t>
      </w:r>
    </w:p>
    <w:p w14:paraId="05066CAC" w14:textId="77777777" w:rsidR="001F1BFB" w:rsidRDefault="001F1BFB" w:rsidP="001F1BFB">
      <w:pPr>
        <w:pStyle w:val="BodyText"/>
      </w:pPr>
      <w:r>
        <w:t>The principal effect of the proposed development is the provision of 130 new residential units, including social housing, affordable housing, age-friendly accommodation and traveller accommodation. The development will contribute towards meeting identified housing needs within South Dublin County and Rathcoole in particular.</w:t>
      </w:r>
    </w:p>
    <w:p w14:paraId="6283A806" w14:textId="77777777" w:rsidR="001F1BFB" w:rsidRDefault="001F1BFB" w:rsidP="001F1BFB">
      <w:pPr>
        <w:pStyle w:val="BodyText"/>
      </w:pPr>
      <w:r>
        <w:t>The development will support the implementation of the NPF, the RSES and the SDCCDP 2022-2028 by facilitating residential growth on lands identified for development within the settlement hierarchy. In addition to housing delivery, the development will provide significant community and recreational benefits. These include Two full-sized GAA pitches and one junior GAA pitch, a pavilion building and associated facilities, public open space and informal recreation areas, enhanced pedestrian and cycle connectivity, biodiversity enhancement measures and improved access to natural amenities, improved connections to Rathcoole Park and the wider active travel network.</w:t>
      </w:r>
    </w:p>
    <w:p w14:paraId="100EA952" w14:textId="4605BB8C" w:rsidR="001F1BFB" w:rsidRPr="001F1BFB" w:rsidRDefault="001F1BFB" w:rsidP="001F1BFB">
      <w:pPr>
        <w:pStyle w:val="BodyText"/>
      </w:pPr>
      <w:r>
        <w:lastRenderedPageBreak/>
        <w:t>The development will support healthy lifestyles through the provision of recreation facilities, opportunities for outdoor exercise and improved access to open space. The development will also support local businesses and services through an increase in population and expenditure within the town. The assessment identified that existing and permitted childcare and educational facilities are capable of accommodating the demand generated by the proposed development.</w:t>
      </w:r>
    </w:p>
    <w:p w14:paraId="1D0513E1" w14:textId="57F228B9" w:rsidR="008F69EE" w:rsidRDefault="008F69EE" w:rsidP="004B509F">
      <w:pPr>
        <w:pStyle w:val="Heading2"/>
      </w:pPr>
      <w:bookmarkStart w:id="101" w:name="_Toc233122783"/>
      <w:r>
        <w:t xml:space="preserve">Mitigation </w:t>
      </w:r>
      <w:r w:rsidR="00657830">
        <w:t>M</w:t>
      </w:r>
      <w:r>
        <w:t>easures</w:t>
      </w:r>
      <w:bookmarkEnd w:id="101"/>
    </w:p>
    <w:p w14:paraId="24E54F5B" w14:textId="77777777" w:rsidR="00657830" w:rsidRDefault="00657830" w:rsidP="00657830">
      <w:pPr>
        <w:pStyle w:val="BodyText"/>
      </w:pPr>
      <w:r>
        <w:t xml:space="preserve">Mitigation measures relating to those factors under which human </w:t>
      </w:r>
      <w:r w:rsidRPr="005E1CC0">
        <w:t>health effects might occur have been addressed elsewhere in this EIAR, under the environmental factors of Material Assets (Transport), Air Quality, Climate, Noise and Vibration, Landscape and Visual and Material Assets (Utilities).</w:t>
      </w:r>
    </w:p>
    <w:p w14:paraId="28BD4207" w14:textId="77777777" w:rsidR="00240661" w:rsidRDefault="00240661" w:rsidP="00240661">
      <w:pPr>
        <w:pStyle w:val="BodyText"/>
      </w:pPr>
      <w:r>
        <w:t>A range of mitigation measures have been incorporated into the design, construction and operation of the proposed development to minimise potential effects on Population and Human Health. During construction, these include the implementation of a Construction Environmental Management Plan, traffic management measures and a Construction Waste Management Plan to minimise disturbance to surrounding residents, businesses and road users and to ensure the appropriate management of waste generated during the construction process.</w:t>
      </w:r>
    </w:p>
    <w:p w14:paraId="0D48A15A" w14:textId="6E943B57" w:rsidR="00240661" w:rsidRDefault="00240661" w:rsidP="00240661">
      <w:pPr>
        <w:pStyle w:val="BodyText"/>
      </w:pPr>
      <w:r>
        <w:t>During operation, the proposed development has been designed to promote a safe, accessible and sustainable environment through the provision of pedestrian and cycle infrastructure, public open space, recreational facilities and a road layout informed by relevant design guidance and road safety principles. The development also incorporates measures to retain and protect significant areas of woodland and natural habitat. A Woodland Management Plan will be implemented to support the long-term protection, maintenance and enhancement of these areas and to maintain their recreational, landscape and ecological value.</w:t>
      </w:r>
    </w:p>
    <w:p w14:paraId="54441FE4" w14:textId="329A544E" w:rsidR="00E83FAA" w:rsidRDefault="00E83FAA" w:rsidP="00E83FAA">
      <w:pPr>
        <w:pStyle w:val="Heading3"/>
      </w:pPr>
      <w:r>
        <w:t xml:space="preserve"> Monitoring</w:t>
      </w:r>
    </w:p>
    <w:p w14:paraId="43B4D2E8" w14:textId="2CC3390F" w:rsidR="00E83FAA" w:rsidRPr="00E83FAA" w:rsidRDefault="00E83FAA" w:rsidP="00E83FAA">
      <w:pPr>
        <w:pStyle w:val="BodyText"/>
      </w:pPr>
      <w:r w:rsidRPr="00E83FAA">
        <w:t>Monitoring measures will be implemented as required during the construction phase to ensure compliance with environmental management measures and planning conditions</w:t>
      </w:r>
    </w:p>
    <w:p w14:paraId="32010800" w14:textId="2F23A682" w:rsidR="008F69EE" w:rsidRDefault="006D1D49" w:rsidP="004B509F">
      <w:pPr>
        <w:pStyle w:val="Heading2"/>
      </w:pPr>
      <w:bookmarkStart w:id="102" w:name="_Toc233122784"/>
      <w:r>
        <w:t>Residual Impacts</w:t>
      </w:r>
      <w:bookmarkEnd w:id="102"/>
    </w:p>
    <w:p w14:paraId="026B53E6" w14:textId="5545D587" w:rsidR="00602C82" w:rsidRDefault="00602C82" w:rsidP="00602C82">
      <w:pPr>
        <w:pStyle w:val="BodyText"/>
      </w:pPr>
      <w:r>
        <w:t>Following the implementation of mitigation measures, no significant adverse residual impacts on Population and Human Health are anticipated.</w:t>
      </w:r>
    </w:p>
    <w:p w14:paraId="33624B6D" w14:textId="6A7E6044" w:rsidR="00602C82" w:rsidRPr="00602C82" w:rsidRDefault="00602C82" w:rsidP="00602C82">
      <w:pPr>
        <w:pStyle w:val="BodyText"/>
      </w:pPr>
      <w:r>
        <w:t>The development will provide long-term positive effects through the delivery of housing, recreational facilities, public open space, active travel infrastructure and enhanced community amenities. While some loss of greenfield lands and natural habitats will occur, the overall residual effect is considered positive having regard to the proposed ecological enhancement and management measures.</w:t>
      </w:r>
    </w:p>
    <w:p w14:paraId="4275CC25" w14:textId="7C62D298" w:rsidR="00DF107B" w:rsidRDefault="00413F22" w:rsidP="00602C82">
      <w:pPr>
        <w:pStyle w:val="Heading2"/>
      </w:pPr>
      <w:bookmarkStart w:id="103" w:name="_Toc233122785"/>
      <w:r>
        <w:t>Summary of Cumulative Impacts and Interactions</w:t>
      </w:r>
      <w:bookmarkEnd w:id="103"/>
    </w:p>
    <w:p w14:paraId="7B78B8FD" w14:textId="7CBCD8F3" w:rsidR="00602C82" w:rsidRPr="00602C82" w:rsidRDefault="00602C82" w:rsidP="00602C82">
      <w:pPr>
        <w:pStyle w:val="BodyText"/>
      </w:pPr>
      <w:r>
        <w:t>The assessment has considered the proposed development in combination with other permitted, under construction and planned developments within Rathcoole and the wider South Dublin area. The proposed development forms part of the planned growth of Rathcoole as identified in national, regional and local planning policy.The development will contribute positively to housing delivery, recreational provision and community infrastructure within the area. Interactions with other environmental topics, including biodiversity, water, landscape, transportation, noise and air quality, have been assessed throughout the EIAR. No significant adverse cumulative impacts have been identified.</w:t>
      </w:r>
    </w:p>
    <w:p w14:paraId="7EEEBEEC" w14:textId="29642C78" w:rsidR="0027656E" w:rsidRDefault="00691641" w:rsidP="00521494">
      <w:pPr>
        <w:pStyle w:val="Heading1"/>
        <w:numPr>
          <w:ilvl w:val="0"/>
          <w:numId w:val="0"/>
        </w:numPr>
        <w:ind w:left="850" w:hanging="850"/>
      </w:pPr>
      <w:bookmarkStart w:id="104" w:name="_Toc233122792"/>
      <w:r>
        <w:lastRenderedPageBreak/>
        <w:t>Acronyms and Abbreviations</w:t>
      </w:r>
      <w:bookmarkEnd w:id="104"/>
    </w:p>
    <w:tbl>
      <w:tblPr>
        <w:tblStyle w:val="AECOMtable"/>
        <w:tblW w:w="4925" w:type="pct"/>
        <w:tblLayout w:type="fixed"/>
        <w:tblLook w:val="04A0" w:firstRow="1" w:lastRow="0" w:firstColumn="1" w:lastColumn="0" w:noHBand="0" w:noVBand="1"/>
      </w:tblPr>
      <w:tblGrid>
        <w:gridCol w:w="4678"/>
        <w:gridCol w:w="4536"/>
      </w:tblGrid>
      <w:tr w:rsidR="00C16124" w:rsidRPr="00733E9A" w14:paraId="2973ECA8" w14:textId="77777777">
        <w:trPr>
          <w:cnfStyle w:val="100000000000" w:firstRow="1" w:lastRow="0" w:firstColumn="0" w:lastColumn="0" w:oddVBand="0" w:evenVBand="0" w:oddHBand="0" w:evenHBand="0" w:firstRowFirstColumn="0" w:firstRowLastColumn="0" w:lastRowFirstColumn="0" w:lastRowLastColumn="0"/>
          <w:tblHeader/>
        </w:trPr>
        <w:tc>
          <w:tcPr>
            <w:tcW w:w="4678" w:type="dxa"/>
          </w:tcPr>
          <w:p w14:paraId="0729462E" w14:textId="77777777" w:rsidR="00C16124" w:rsidRPr="00733E9A" w:rsidRDefault="00C16124">
            <w:pPr>
              <w:pStyle w:val="Tabletext"/>
            </w:pPr>
            <w:bookmarkStart w:id="105" w:name="Text_DocumentCopies"/>
            <w:r>
              <w:t>Acronym/Abbreviation</w:t>
            </w:r>
          </w:p>
        </w:tc>
        <w:tc>
          <w:tcPr>
            <w:tcW w:w="4536" w:type="dxa"/>
          </w:tcPr>
          <w:p w14:paraId="5575F63A" w14:textId="77777777" w:rsidR="00C16124" w:rsidRPr="00733E9A" w:rsidRDefault="00C16124">
            <w:pPr>
              <w:pStyle w:val="Tabletext"/>
            </w:pPr>
            <w:r>
              <w:t>Full Text</w:t>
            </w:r>
          </w:p>
        </w:tc>
      </w:tr>
      <w:tr w:rsidR="002C07DC" w:rsidRPr="00733E9A" w14:paraId="1C7C9EBA" w14:textId="77777777">
        <w:trPr>
          <w:trHeight w:val="224"/>
        </w:trPr>
        <w:tc>
          <w:tcPr>
            <w:tcW w:w="4678" w:type="dxa"/>
            <w:tcBorders>
              <w:top w:val="nil"/>
              <w:left w:val="nil"/>
              <w:bottom w:val="nil"/>
              <w:right w:val="nil"/>
            </w:tcBorders>
            <w:vAlign w:val="center"/>
          </w:tcPr>
          <w:p w14:paraId="4FB5445F" w14:textId="115094CA" w:rsidR="002C07DC" w:rsidRPr="00177380" w:rsidRDefault="002C07DC" w:rsidP="00177380">
            <w:pPr>
              <w:pStyle w:val="Tabletext"/>
            </w:pPr>
            <w:r w:rsidRPr="00177380">
              <w:t>ACP</w:t>
            </w:r>
          </w:p>
        </w:tc>
        <w:tc>
          <w:tcPr>
            <w:tcW w:w="4536" w:type="dxa"/>
            <w:tcBorders>
              <w:top w:val="nil"/>
              <w:left w:val="nil"/>
              <w:bottom w:val="nil"/>
              <w:right w:val="nil"/>
            </w:tcBorders>
            <w:vAlign w:val="center"/>
          </w:tcPr>
          <w:p w14:paraId="780CC208" w14:textId="5B68C71F" w:rsidR="002C07DC" w:rsidRPr="00177380" w:rsidRDefault="002C07DC" w:rsidP="00177380">
            <w:pPr>
              <w:pStyle w:val="Tabletext"/>
            </w:pPr>
            <w:r w:rsidRPr="00177380">
              <w:t>An Coimisiún Pleanála</w:t>
            </w:r>
          </w:p>
        </w:tc>
      </w:tr>
      <w:tr w:rsidR="002C07DC" w:rsidRPr="00733E9A" w14:paraId="3EF8C042" w14:textId="77777777">
        <w:trPr>
          <w:trHeight w:val="224"/>
        </w:trPr>
        <w:tc>
          <w:tcPr>
            <w:tcW w:w="4678" w:type="dxa"/>
            <w:tcBorders>
              <w:top w:val="nil"/>
              <w:left w:val="nil"/>
              <w:bottom w:val="nil"/>
              <w:right w:val="nil"/>
            </w:tcBorders>
            <w:vAlign w:val="center"/>
          </w:tcPr>
          <w:p w14:paraId="73E1F5BF" w14:textId="5DABE3E0" w:rsidR="002C07DC" w:rsidRPr="00177380" w:rsidRDefault="002C07DC" w:rsidP="00177380">
            <w:pPr>
              <w:pStyle w:val="Tabletext"/>
            </w:pPr>
            <w:r w:rsidRPr="00177380">
              <w:t>CSO</w:t>
            </w:r>
          </w:p>
        </w:tc>
        <w:tc>
          <w:tcPr>
            <w:tcW w:w="4536" w:type="dxa"/>
            <w:tcBorders>
              <w:top w:val="nil"/>
              <w:left w:val="nil"/>
              <w:bottom w:val="nil"/>
              <w:right w:val="nil"/>
            </w:tcBorders>
            <w:vAlign w:val="center"/>
          </w:tcPr>
          <w:p w14:paraId="3E9D98B9" w14:textId="2651ECA2" w:rsidR="002C07DC" w:rsidRPr="00177380" w:rsidRDefault="002C07DC" w:rsidP="00177380">
            <w:pPr>
              <w:pStyle w:val="Tabletext"/>
            </w:pPr>
            <w:r w:rsidRPr="00177380">
              <w:t>Central Statistics Office</w:t>
            </w:r>
          </w:p>
        </w:tc>
      </w:tr>
      <w:tr w:rsidR="002C07DC" w:rsidRPr="00733E9A" w14:paraId="7FA175A2" w14:textId="77777777">
        <w:trPr>
          <w:trHeight w:val="224"/>
        </w:trPr>
        <w:tc>
          <w:tcPr>
            <w:tcW w:w="4678" w:type="dxa"/>
            <w:tcBorders>
              <w:top w:val="nil"/>
              <w:left w:val="nil"/>
              <w:bottom w:val="nil"/>
              <w:right w:val="nil"/>
            </w:tcBorders>
            <w:vAlign w:val="center"/>
          </w:tcPr>
          <w:p w14:paraId="67F46FA7" w14:textId="2FEFB7AD" w:rsidR="002C07DC" w:rsidRPr="00177380" w:rsidRDefault="002C07DC" w:rsidP="00177380">
            <w:pPr>
              <w:pStyle w:val="Tabletext"/>
            </w:pPr>
            <w:r w:rsidRPr="00177380">
              <w:t>ED</w:t>
            </w:r>
          </w:p>
        </w:tc>
        <w:tc>
          <w:tcPr>
            <w:tcW w:w="4536" w:type="dxa"/>
            <w:tcBorders>
              <w:top w:val="nil"/>
              <w:left w:val="nil"/>
              <w:bottom w:val="nil"/>
              <w:right w:val="nil"/>
            </w:tcBorders>
            <w:vAlign w:val="center"/>
          </w:tcPr>
          <w:p w14:paraId="276C450B" w14:textId="1A6643DD" w:rsidR="002C07DC" w:rsidRPr="00177380" w:rsidRDefault="002C07DC" w:rsidP="00177380">
            <w:pPr>
              <w:pStyle w:val="Tabletext"/>
            </w:pPr>
            <w:r w:rsidRPr="00177380">
              <w:t>Electoral Division</w:t>
            </w:r>
          </w:p>
        </w:tc>
      </w:tr>
      <w:tr w:rsidR="002C07DC" w:rsidRPr="00733E9A" w14:paraId="48AB661F" w14:textId="77777777">
        <w:trPr>
          <w:trHeight w:val="224"/>
        </w:trPr>
        <w:tc>
          <w:tcPr>
            <w:tcW w:w="4678" w:type="dxa"/>
            <w:tcBorders>
              <w:top w:val="nil"/>
              <w:left w:val="nil"/>
              <w:bottom w:val="nil"/>
              <w:right w:val="nil"/>
            </w:tcBorders>
            <w:vAlign w:val="center"/>
          </w:tcPr>
          <w:p w14:paraId="702AC25B" w14:textId="60462ADB" w:rsidR="002C07DC" w:rsidRPr="00177380" w:rsidRDefault="002C07DC" w:rsidP="00177380">
            <w:pPr>
              <w:pStyle w:val="Tabletext"/>
            </w:pPr>
            <w:r w:rsidRPr="00177380">
              <w:t>EIA</w:t>
            </w:r>
          </w:p>
        </w:tc>
        <w:tc>
          <w:tcPr>
            <w:tcW w:w="4536" w:type="dxa"/>
            <w:tcBorders>
              <w:top w:val="nil"/>
              <w:left w:val="nil"/>
              <w:bottom w:val="nil"/>
              <w:right w:val="nil"/>
            </w:tcBorders>
            <w:vAlign w:val="center"/>
          </w:tcPr>
          <w:p w14:paraId="336F1CAA" w14:textId="7EE70EE3" w:rsidR="002C07DC" w:rsidRPr="00177380" w:rsidRDefault="002C07DC" w:rsidP="00177380">
            <w:pPr>
              <w:pStyle w:val="Tabletext"/>
            </w:pPr>
            <w:r w:rsidRPr="00177380">
              <w:t>Environmental Impact Assessment</w:t>
            </w:r>
          </w:p>
        </w:tc>
      </w:tr>
      <w:tr w:rsidR="002C07DC" w:rsidRPr="00733E9A" w14:paraId="32F6BCB9" w14:textId="77777777">
        <w:trPr>
          <w:trHeight w:val="224"/>
        </w:trPr>
        <w:tc>
          <w:tcPr>
            <w:tcW w:w="4678" w:type="dxa"/>
            <w:tcBorders>
              <w:top w:val="nil"/>
              <w:left w:val="nil"/>
              <w:bottom w:val="nil"/>
              <w:right w:val="nil"/>
            </w:tcBorders>
            <w:vAlign w:val="center"/>
          </w:tcPr>
          <w:p w14:paraId="72798E39" w14:textId="013319EC" w:rsidR="002C07DC" w:rsidRPr="00177380" w:rsidRDefault="002C07DC" w:rsidP="00177380">
            <w:pPr>
              <w:pStyle w:val="Tabletext"/>
            </w:pPr>
            <w:r w:rsidRPr="00177380">
              <w:t>EIAR</w:t>
            </w:r>
          </w:p>
        </w:tc>
        <w:tc>
          <w:tcPr>
            <w:tcW w:w="4536" w:type="dxa"/>
            <w:tcBorders>
              <w:top w:val="nil"/>
              <w:left w:val="nil"/>
              <w:bottom w:val="nil"/>
              <w:right w:val="nil"/>
            </w:tcBorders>
            <w:vAlign w:val="center"/>
          </w:tcPr>
          <w:p w14:paraId="3C520E2E" w14:textId="2076252A" w:rsidR="002C07DC" w:rsidRPr="00177380" w:rsidRDefault="002C07DC" w:rsidP="00177380">
            <w:pPr>
              <w:pStyle w:val="Tabletext"/>
            </w:pPr>
            <w:r w:rsidRPr="00177380">
              <w:t>Environmental Impact Assessment Report</w:t>
            </w:r>
          </w:p>
        </w:tc>
      </w:tr>
      <w:tr w:rsidR="002C07DC" w:rsidRPr="00733E9A" w14:paraId="5E78E9DF" w14:textId="77777777">
        <w:trPr>
          <w:trHeight w:val="224"/>
        </w:trPr>
        <w:tc>
          <w:tcPr>
            <w:tcW w:w="4678" w:type="dxa"/>
            <w:tcBorders>
              <w:top w:val="nil"/>
              <w:left w:val="nil"/>
              <w:bottom w:val="nil"/>
              <w:right w:val="nil"/>
            </w:tcBorders>
            <w:vAlign w:val="center"/>
          </w:tcPr>
          <w:p w14:paraId="3EB2E005" w14:textId="6F7C7919" w:rsidR="002C07DC" w:rsidRPr="00177380" w:rsidRDefault="002C07DC" w:rsidP="00177380">
            <w:pPr>
              <w:pStyle w:val="Tabletext"/>
            </w:pPr>
            <w:r w:rsidRPr="00177380">
              <w:t>EMRA</w:t>
            </w:r>
          </w:p>
        </w:tc>
        <w:tc>
          <w:tcPr>
            <w:tcW w:w="4536" w:type="dxa"/>
            <w:tcBorders>
              <w:top w:val="nil"/>
              <w:left w:val="nil"/>
              <w:bottom w:val="nil"/>
              <w:right w:val="nil"/>
            </w:tcBorders>
            <w:vAlign w:val="center"/>
          </w:tcPr>
          <w:p w14:paraId="6F48FF59" w14:textId="153EAC4F" w:rsidR="002C07DC" w:rsidRPr="00177380" w:rsidRDefault="002C07DC" w:rsidP="00177380">
            <w:pPr>
              <w:pStyle w:val="Tabletext"/>
            </w:pPr>
            <w:r w:rsidRPr="00177380">
              <w:t>Eastern and Midland Regional Assembly</w:t>
            </w:r>
          </w:p>
        </w:tc>
      </w:tr>
      <w:tr w:rsidR="002C07DC" w:rsidRPr="00733E9A" w14:paraId="74A77CAD" w14:textId="77777777">
        <w:trPr>
          <w:trHeight w:val="224"/>
        </w:trPr>
        <w:tc>
          <w:tcPr>
            <w:tcW w:w="4678" w:type="dxa"/>
            <w:tcBorders>
              <w:top w:val="nil"/>
              <w:left w:val="nil"/>
              <w:bottom w:val="nil"/>
              <w:right w:val="nil"/>
            </w:tcBorders>
            <w:vAlign w:val="center"/>
          </w:tcPr>
          <w:p w14:paraId="5FB1099E" w14:textId="20650414" w:rsidR="002C07DC" w:rsidRPr="00177380" w:rsidRDefault="002C07DC" w:rsidP="00177380">
            <w:pPr>
              <w:pStyle w:val="Tabletext"/>
            </w:pPr>
            <w:r w:rsidRPr="00177380">
              <w:t>EPA</w:t>
            </w:r>
          </w:p>
        </w:tc>
        <w:tc>
          <w:tcPr>
            <w:tcW w:w="4536" w:type="dxa"/>
            <w:tcBorders>
              <w:top w:val="nil"/>
              <w:left w:val="nil"/>
              <w:bottom w:val="nil"/>
              <w:right w:val="nil"/>
            </w:tcBorders>
            <w:vAlign w:val="center"/>
          </w:tcPr>
          <w:p w14:paraId="25CAEB09" w14:textId="5E5A41A4" w:rsidR="002C07DC" w:rsidRPr="00177380" w:rsidRDefault="002C07DC" w:rsidP="00177380">
            <w:pPr>
              <w:pStyle w:val="Tabletext"/>
            </w:pPr>
            <w:r w:rsidRPr="00177380">
              <w:t>Environmental Protection Agency</w:t>
            </w:r>
          </w:p>
        </w:tc>
      </w:tr>
      <w:tr w:rsidR="002C07DC" w:rsidRPr="00733E9A" w14:paraId="156B5C29" w14:textId="77777777">
        <w:trPr>
          <w:trHeight w:val="224"/>
        </w:trPr>
        <w:tc>
          <w:tcPr>
            <w:tcW w:w="4678" w:type="dxa"/>
            <w:tcBorders>
              <w:top w:val="nil"/>
              <w:left w:val="nil"/>
              <w:bottom w:val="nil"/>
              <w:right w:val="nil"/>
            </w:tcBorders>
            <w:vAlign w:val="center"/>
          </w:tcPr>
          <w:p w14:paraId="5866F2D4" w14:textId="47950A44" w:rsidR="002C07DC" w:rsidRPr="00177380" w:rsidRDefault="002C07DC" w:rsidP="00177380">
            <w:pPr>
              <w:pStyle w:val="Tabletext"/>
            </w:pPr>
            <w:r w:rsidRPr="00177380">
              <w:t>EV</w:t>
            </w:r>
          </w:p>
        </w:tc>
        <w:tc>
          <w:tcPr>
            <w:tcW w:w="4536" w:type="dxa"/>
            <w:tcBorders>
              <w:top w:val="nil"/>
              <w:left w:val="nil"/>
              <w:bottom w:val="nil"/>
              <w:right w:val="nil"/>
            </w:tcBorders>
            <w:vAlign w:val="center"/>
          </w:tcPr>
          <w:p w14:paraId="007EA422" w14:textId="3BB7BCCD" w:rsidR="002C07DC" w:rsidRPr="00177380" w:rsidRDefault="002C07DC" w:rsidP="00177380">
            <w:pPr>
              <w:pStyle w:val="Tabletext"/>
            </w:pPr>
            <w:r w:rsidRPr="00177380">
              <w:t>Electric Vehicle</w:t>
            </w:r>
          </w:p>
        </w:tc>
      </w:tr>
      <w:tr w:rsidR="002C07DC" w:rsidRPr="00733E9A" w14:paraId="6FFD9CEA" w14:textId="77777777">
        <w:trPr>
          <w:trHeight w:val="224"/>
        </w:trPr>
        <w:tc>
          <w:tcPr>
            <w:tcW w:w="4678" w:type="dxa"/>
            <w:tcBorders>
              <w:top w:val="nil"/>
              <w:left w:val="nil"/>
              <w:bottom w:val="nil"/>
              <w:right w:val="nil"/>
            </w:tcBorders>
            <w:vAlign w:val="center"/>
          </w:tcPr>
          <w:p w14:paraId="52BB4006" w14:textId="12D2E61B" w:rsidR="002C07DC" w:rsidRPr="00177380" w:rsidRDefault="002C07DC" w:rsidP="00177380">
            <w:pPr>
              <w:pStyle w:val="Tabletext"/>
            </w:pPr>
            <w:r w:rsidRPr="00177380">
              <w:t>GAA</w:t>
            </w:r>
          </w:p>
        </w:tc>
        <w:tc>
          <w:tcPr>
            <w:tcW w:w="4536" w:type="dxa"/>
            <w:tcBorders>
              <w:top w:val="nil"/>
              <w:left w:val="nil"/>
              <w:bottom w:val="nil"/>
              <w:right w:val="nil"/>
            </w:tcBorders>
            <w:vAlign w:val="center"/>
          </w:tcPr>
          <w:p w14:paraId="7494152F" w14:textId="3FD26749" w:rsidR="002C07DC" w:rsidRPr="00177380" w:rsidRDefault="002C07DC" w:rsidP="00177380">
            <w:pPr>
              <w:pStyle w:val="Tabletext"/>
            </w:pPr>
            <w:r w:rsidRPr="00177380">
              <w:t>Gaelic Athletic Association</w:t>
            </w:r>
          </w:p>
        </w:tc>
      </w:tr>
      <w:tr w:rsidR="002C07DC" w:rsidRPr="00733E9A" w14:paraId="3FB18B26" w14:textId="77777777">
        <w:trPr>
          <w:trHeight w:val="224"/>
        </w:trPr>
        <w:tc>
          <w:tcPr>
            <w:tcW w:w="4678" w:type="dxa"/>
            <w:tcBorders>
              <w:top w:val="nil"/>
              <w:left w:val="nil"/>
              <w:bottom w:val="nil"/>
              <w:right w:val="nil"/>
            </w:tcBorders>
            <w:vAlign w:val="center"/>
          </w:tcPr>
          <w:p w14:paraId="6F79AC20" w14:textId="05D12E52" w:rsidR="002C07DC" w:rsidRPr="00177380" w:rsidRDefault="002C07DC" w:rsidP="00177380">
            <w:pPr>
              <w:pStyle w:val="Tabletext"/>
            </w:pPr>
            <w:r w:rsidRPr="00177380">
              <w:t>GI</w:t>
            </w:r>
          </w:p>
        </w:tc>
        <w:tc>
          <w:tcPr>
            <w:tcW w:w="4536" w:type="dxa"/>
            <w:tcBorders>
              <w:top w:val="nil"/>
              <w:left w:val="nil"/>
              <w:bottom w:val="nil"/>
              <w:right w:val="nil"/>
            </w:tcBorders>
            <w:vAlign w:val="center"/>
          </w:tcPr>
          <w:p w14:paraId="29CD2FDA" w14:textId="44EAA840" w:rsidR="002C07DC" w:rsidRPr="00177380" w:rsidRDefault="002C07DC" w:rsidP="00177380">
            <w:pPr>
              <w:pStyle w:val="Tabletext"/>
            </w:pPr>
            <w:r w:rsidRPr="00177380">
              <w:t>Green Infrastructure</w:t>
            </w:r>
          </w:p>
        </w:tc>
      </w:tr>
      <w:tr w:rsidR="002C07DC" w:rsidRPr="00733E9A" w14:paraId="579158E6" w14:textId="77777777">
        <w:trPr>
          <w:trHeight w:val="224"/>
        </w:trPr>
        <w:tc>
          <w:tcPr>
            <w:tcW w:w="4678" w:type="dxa"/>
            <w:tcBorders>
              <w:top w:val="nil"/>
              <w:left w:val="nil"/>
              <w:bottom w:val="nil"/>
              <w:right w:val="nil"/>
            </w:tcBorders>
            <w:vAlign w:val="center"/>
          </w:tcPr>
          <w:p w14:paraId="1933F930" w14:textId="79457C62" w:rsidR="002C07DC" w:rsidRPr="00177380" w:rsidRDefault="002C07DC" w:rsidP="00177380">
            <w:pPr>
              <w:pStyle w:val="Tabletext"/>
            </w:pPr>
            <w:r w:rsidRPr="00177380">
              <w:t>HIA</w:t>
            </w:r>
          </w:p>
        </w:tc>
        <w:tc>
          <w:tcPr>
            <w:tcW w:w="4536" w:type="dxa"/>
            <w:tcBorders>
              <w:top w:val="nil"/>
              <w:left w:val="nil"/>
              <w:bottom w:val="nil"/>
              <w:right w:val="nil"/>
            </w:tcBorders>
            <w:vAlign w:val="center"/>
          </w:tcPr>
          <w:p w14:paraId="79EB6BBE" w14:textId="79C1B355" w:rsidR="002C07DC" w:rsidRPr="00177380" w:rsidRDefault="002C07DC" w:rsidP="00177380">
            <w:pPr>
              <w:pStyle w:val="Tabletext"/>
            </w:pPr>
            <w:r w:rsidRPr="00177380">
              <w:t>Health Impact Assessment</w:t>
            </w:r>
          </w:p>
        </w:tc>
      </w:tr>
      <w:tr w:rsidR="002C07DC" w:rsidRPr="00733E9A" w14:paraId="266E16B6" w14:textId="77777777">
        <w:trPr>
          <w:trHeight w:val="224"/>
        </w:trPr>
        <w:tc>
          <w:tcPr>
            <w:tcW w:w="4678" w:type="dxa"/>
            <w:tcBorders>
              <w:top w:val="nil"/>
              <w:left w:val="nil"/>
              <w:bottom w:val="nil"/>
              <w:right w:val="nil"/>
            </w:tcBorders>
            <w:vAlign w:val="center"/>
          </w:tcPr>
          <w:p w14:paraId="7E0C5993" w14:textId="1709CE46" w:rsidR="002C07DC" w:rsidRPr="00177380" w:rsidRDefault="002C07DC" w:rsidP="00177380">
            <w:pPr>
              <w:pStyle w:val="Tabletext"/>
            </w:pPr>
            <w:r w:rsidRPr="00177380">
              <w:t>IEMA</w:t>
            </w:r>
          </w:p>
        </w:tc>
        <w:tc>
          <w:tcPr>
            <w:tcW w:w="4536" w:type="dxa"/>
            <w:tcBorders>
              <w:top w:val="nil"/>
              <w:left w:val="nil"/>
              <w:bottom w:val="nil"/>
              <w:right w:val="nil"/>
            </w:tcBorders>
            <w:vAlign w:val="center"/>
          </w:tcPr>
          <w:p w14:paraId="3AD55D6E" w14:textId="6E3B19C9" w:rsidR="002C07DC" w:rsidRPr="00177380" w:rsidRDefault="002C07DC" w:rsidP="00177380">
            <w:pPr>
              <w:pStyle w:val="Tabletext"/>
            </w:pPr>
            <w:r w:rsidRPr="00177380">
              <w:t>Institute of Environmental Management and Assessment</w:t>
            </w:r>
          </w:p>
        </w:tc>
      </w:tr>
      <w:tr w:rsidR="002C07DC" w:rsidRPr="00733E9A" w14:paraId="392927B5" w14:textId="77777777">
        <w:trPr>
          <w:trHeight w:val="224"/>
        </w:trPr>
        <w:tc>
          <w:tcPr>
            <w:tcW w:w="4678" w:type="dxa"/>
            <w:tcBorders>
              <w:top w:val="nil"/>
              <w:left w:val="nil"/>
              <w:bottom w:val="nil"/>
              <w:right w:val="nil"/>
            </w:tcBorders>
            <w:vAlign w:val="center"/>
          </w:tcPr>
          <w:p w14:paraId="6869FE1C" w14:textId="6C59235C" w:rsidR="002C07DC" w:rsidRPr="00177380" w:rsidRDefault="002C07DC" w:rsidP="00177380">
            <w:pPr>
              <w:pStyle w:val="Tabletext"/>
            </w:pPr>
            <w:r w:rsidRPr="00177380">
              <w:t>MASP</w:t>
            </w:r>
          </w:p>
        </w:tc>
        <w:tc>
          <w:tcPr>
            <w:tcW w:w="4536" w:type="dxa"/>
            <w:tcBorders>
              <w:top w:val="nil"/>
              <w:left w:val="nil"/>
              <w:bottom w:val="nil"/>
              <w:right w:val="nil"/>
            </w:tcBorders>
            <w:vAlign w:val="center"/>
          </w:tcPr>
          <w:p w14:paraId="454668A4" w14:textId="32AE7DA1" w:rsidR="002C07DC" w:rsidRPr="00177380" w:rsidRDefault="002C07DC" w:rsidP="00177380">
            <w:pPr>
              <w:pStyle w:val="Tabletext"/>
            </w:pPr>
            <w:r w:rsidRPr="00177380">
              <w:t>Metropolitan Area Strategic Plan</w:t>
            </w:r>
          </w:p>
        </w:tc>
      </w:tr>
      <w:tr w:rsidR="002C07DC" w:rsidRPr="00733E9A" w14:paraId="555A89BC" w14:textId="77777777">
        <w:trPr>
          <w:trHeight w:val="224"/>
        </w:trPr>
        <w:tc>
          <w:tcPr>
            <w:tcW w:w="4678" w:type="dxa"/>
            <w:tcBorders>
              <w:top w:val="nil"/>
              <w:left w:val="nil"/>
              <w:bottom w:val="nil"/>
              <w:right w:val="nil"/>
            </w:tcBorders>
            <w:vAlign w:val="center"/>
          </w:tcPr>
          <w:p w14:paraId="7AE51335" w14:textId="6B16510B" w:rsidR="002C07DC" w:rsidRPr="00177380" w:rsidRDefault="002C07DC" w:rsidP="00177380">
            <w:pPr>
              <w:pStyle w:val="Tabletext"/>
            </w:pPr>
            <w:r w:rsidRPr="00177380">
              <w:t>MDB</w:t>
            </w:r>
          </w:p>
        </w:tc>
        <w:tc>
          <w:tcPr>
            <w:tcW w:w="4536" w:type="dxa"/>
            <w:tcBorders>
              <w:top w:val="nil"/>
              <w:left w:val="nil"/>
              <w:bottom w:val="nil"/>
              <w:right w:val="nil"/>
            </w:tcBorders>
            <w:vAlign w:val="center"/>
          </w:tcPr>
          <w:p w14:paraId="411ECAE5" w14:textId="522FFEBE" w:rsidR="002C07DC" w:rsidRPr="00177380" w:rsidRDefault="002C07DC" w:rsidP="00177380">
            <w:pPr>
              <w:pStyle w:val="Tabletext"/>
            </w:pPr>
            <w:r w:rsidRPr="00177380">
              <w:t>MacCabe Durney Barnes</w:t>
            </w:r>
          </w:p>
        </w:tc>
      </w:tr>
      <w:tr w:rsidR="002C07DC" w:rsidRPr="00733E9A" w14:paraId="4B9A73D6" w14:textId="77777777">
        <w:trPr>
          <w:trHeight w:val="224"/>
        </w:trPr>
        <w:tc>
          <w:tcPr>
            <w:tcW w:w="4678" w:type="dxa"/>
            <w:tcBorders>
              <w:top w:val="nil"/>
              <w:left w:val="nil"/>
              <w:bottom w:val="nil"/>
              <w:right w:val="nil"/>
            </w:tcBorders>
            <w:vAlign w:val="center"/>
          </w:tcPr>
          <w:p w14:paraId="0D62C346" w14:textId="164CA0A8" w:rsidR="002C07DC" w:rsidRPr="00177380" w:rsidRDefault="002C07DC" w:rsidP="00177380">
            <w:pPr>
              <w:pStyle w:val="Tabletext"/>
            </w:pPr>
            <w:r w:rsidRPr="00177380">
              <w:t>NPF</w:t>
            </w:r>
          </w:p>
        </w:tc>
        <w:tc>
          <w:tcPr>
            <w:tcW w:w="4536" w:type="dxa"/>
            <w:tcBorders>
              <w:top w:val="nil"/>
              <w:left w:val="nil"/>
              <w:bottom w:val="nil"/>
              <w:right w:val="nil"/>
            </w:tcBorders>
            <w:vAlign w:val="center"/>
          </w:tcPr>
          <w:p w14:paraId="20E9FCF8" w14:textId="14BC1A83" w:rsidR="002C07DC" w:rsidRPr="00177380" w:rsidRDefault="002C07DC" w:rsidP="00177380">
            <w:pPr>
              <w:pStyle w:val="Tabletext"/>
            </w:pPr>
            <w:r w:rsidRPr="00177380">
              <w:t>National Planning Framework</w:t>
            </w:r>
          </w:p>
        </w:tc>
      </w:tr>
      <w:tr w:rsidR="002C07DC" w:rsidRPr="00733E9A" w14:paraId="11D84762" w14:textId="77777777">
        <w:trPr>
          <w:trHeight w:val="224"/>
        </w:trPr>
        <w:tc>
          <w:tcPr>
            <w:tcW w:w="4678" w:type="dxa"/>
            <w:tcBorders>
              <w:top w:val="nil"/>
              <w:left w:val="nil"/>
              <w:bottom w:val="nil"/>
              <w:right w:val="nil"/>
            </w:tcBorders>
            <w:vAlign w:val="center"/>
          </w:tcPr>
          <w:p w14:paraId="7F5AA5FD" w14:textId="0F51C007" w:rsidR="002C07DC" w:rsidRPr="00177380" w:rsidRDefault="002C07DC" w:rsidP="00177380">
            <w:pPr>
              <w:pStyle w:val="Tabletext"/>
            </w:pPr>
            <w:r w:rsidRPr="00177380">
              <w:t>NPO</w:t>
            </w:r>
          </w:p>
        </w:tc>
        <w:tc>
          <w:tcPr>
            <w:tcW w:w="4536" w:type="dxa"/>
            <w:tcBorders>
              <w:top w:val="nil"/>
              <w:left w:val="nil"/>
              <w:bottom w:val="nil"/>
              <w:right w:val="nil"/>
            </w:tcBorders>
            <w:vAlign w:val="center"/>
          </w:tcPr>
          <w:p w14:paraId="539EE587" w14:textId="4E407501" w:rsidR="002C07DC" w:rsidRPr="00177380" w:rsidRDefault="002C07DC" w:rsidP="00177380">
            <w:pPr>
              <w:pStyle w:val="Tabletext"/>
            </w:pPr>
            <w:r w:rsidRPr="00177380">
              <w:t>National Planning Objective</w:t>
            </w:r>
          </w:p>
        </w:tc>
      </w:tr>
      <w:tr w:rsidR="002C07DC" w:rsidRPr="00733E9A" w14:paraId="193B6D12" w14:textId="77777777">
        <w:trPr>
          <w:trHeight w:val="224"/>
        </w:trPr>
        <w:tc>
          <w:tcPr>
            <w:tcW w:w="4678" w:type="dxa"/>
            <w:tcBorders>
              <w:top w:val="nil"/>
              <w:left w:val="nil"/>
              <w:bottom w:val="nil"/>
              <w:right w:val="nil"/>
            </w:tcBorders>
            <w:vAlign w:val="center"/>
          </w:tcPr>
          <w:p w14:paraId="31373E30" w14:textId="19D58480" w:rsidR="002C07DC" w:rsidRPr="00177380" w:rsidRDefault="002C07DC" w:rsidP="00177380">
            <w:pPr>
              <w:pStyle w:val="Tabletext"/>
            </w:pPr>
            <w:r w:rsidRPr="00177380">
              <w:t>OS</w:t>
            </w:r>
          </w:p>
        </w:tc>
        <w:tc>
          <w:tcPr>
            <w:tcW w:w="4536" w:type="dxa"/>
            <w:tcBorders>
              <w:top w:val="nil"/>
              <w:left w:val="nil"/>
              <w:bottom w:val="nil"/>
              <w:right w:val="nil"/>
            </w:tcBorders>
            <w:vAlign w:val="center"/>
          </w:tcPr>
          <w:p w14:paraId="2F598B22" w14:textId="2F48F3E0" w:rsidR="002C07DC" w:rsidRPr="00177380" w:rsidRDefault="002C07DC" w:rsidP="00177380">
            <w:pPr>
              <w:pStyle w:val="Tabletext"/>
            </w:pPr>
            <w:r w:rsidRPr="00177380">
              <w:t>Open Space</w:t>
            </w:r>
          </w:p>
        </w:tc>
      </w:tr>
      <w:tr w:rsidR="002C07DC" w:rsidRPr="00733E9A" w14:paraId="26C27E68" w14:textId="77777777">
        <w:trPr>
          <w:trHeight w:val="224"/>
        </w:trPr>
        <w:tc>
          <w:tcPr>
            <w:tcW w:w="4678" w:type="dxa"/>
            <w:tcBorders>
              <w:top w:val="nil"/>
              <w:left w:val="nil"/>
              <w:bottom w:val="nil"/>
              <w:right w:val="nil"/>
            </w:tcBorders>
            <w:vAlign w:val="center"/>
          </w:tcPr>
          <w:p w14:paraId="17D41D97" w14:textId="1CC095E5" w:rsidR="002C07DC" w:rsidRPr="00177380" w:rsidRDefault="002C07DC" w:rsidP="00177380">
            <w:pPr>
              <w:pStyle w:val="Tabletext"/>
            </w:pPr>
            <w:r w:rsidRPr="00177380">
              <w:t>RES</w:t>
            </w:r>
          </w:p>
        </w:tc>
        <w:tc>
          <w:tcPr>
            <w:tcW w:w="4536" w:type="dxa"/>
            <w:tcBorders>
              <w:top w:val="nil"/>
              <w:left w:val="nil"/>
              <w:bottom w:val="nil"/>
              <w:right w:val="nil"/>
            </w:tcBorders>
            <w:vAlign w:val="center"/>
          </w:tcPr>
          <w:p w14:paraId="3F7FD95C" w14:textId="23432A8A" w:rsidR="002C07DC" w:rsidRPr="00177380" w:rsidRDefault="002C07DC" w:rsidP="00177380">
            <w:pPr>
              <w:pStyle w:val="Tabletext"/>
            </w:pPr>
            <w:r w:rsidRPr="00177380">
              <w:t>Residential</w:t>
            </w:r>
          </w:p>
        </w:tc>
      </w:tr>
      <w:tr w:rsidR="002C07DC" w:rsidRPr="00733E9A" w14:paraId="57989D89" w14:textId="77777777">
        <w:trPr>
          <w:trHeight w:val="224"/>
        </w:trPr>
        <w:tc>
          <w:tcPr>
            <w:tcW w:w="4678" w:type="dxa"/>
            <w:tcBorders>
              <w:top w:val="nil"/>
              <w:left w:val="nil"/>
              <w:bottom w:val="nil"/>
              <w:right w:val="nil"/>
            </w:tcBorders>
            <w:vAlign w:val="center"/>
          </w:tcPr>
          <w:p w14:paraId="0E782969" w14:textId="62C3BA63" w:rsidR="002C07DC" w:rsidRPr="00177380" w:rsidRDefault="002C07DC" w:rsidP="00177380">
            <w:pPr>
              <w:pStyle w:val="Tabletext"/>
            </w:pPr>
            <w:r w:rsidRPr="00177380">
              <w:t>RES-N</w:t>
            </w:r>
          </w:p>
        </w:tc>
        <w:tc>
          <w:tcPr>
            <w:tcW w:w="4536" w:type="dxa"/>
            <w:tcBorders>
              <w:top w:val="nil"/>
              <w:left w:val="nil"/>
              <w:bottom w:val="nil"/>
              <w:right w:val="nil"/>
            </w:tcBorders>
            <w:vAlign w:val="center"/>
          </w:tcPr>
          <w:p w14:paraId="32D95B84" w14:textId="09D24208" w:rsidR="002C07DC" w:rsidRPr="00177380" w:rsidRDefault="002C07DC" w:rsidP="00177380">
            <w:pPr>
              <w:pStyle w:val="Tabletext"/>
            </w:pPr>
            <w:r w:rsidRPr="00177380">
              <w:t>New Residential</w:t>
            </w:r>
          </w:p>
        </w:tc>
      </w:tr>
      <w:tr w:rsidR="002C07DC" w:rsidRPr="00733E9A" w14:paraId="41FBC374" w14:textId="77777777">
        <w:trPr>
          <w:trHeight w:val="224"/>
        </w:trPr>
        <w:tc>
          <w:tcPr>
            <w:tcW w:w="4678" w:type="dxa"/>
            <w:tcBorders>
              <w:top w:val="nil"/>
              <w:left w:val="nil"/>
              <w:bottom w:val="nil"/>
              <w:right w:val="nil"/>
            </w:tcBorders>
            <w:vAlign w:val="center"/>
          </w:tcPr>
          <w:p w14:paraId="14E06EA8" w14:textId="623BED1E" w:rsidR="002C07DC" w:rsidRPr="00177380" w:rsidRDefault="002C07DC" w:rsidP="00177380">
            <w:pPr>
              <w:pStyle w:val="Tabletext"/>
            </w:pPr>
            <w:r w:rsidRPr="00177380">
              <w:t>RPO</w:t>
            </w:r>
          </w:p>
        </w:tc>
        <w:tc>
          <w:tcPr>
            <w:tcW w:w="4536" w:type="dxa"/>
            <w:tcBorders>
              <w:top w:val="nil"/>
              <w:left w:val="nil"/>
              <w:bottom w:val="nil"/>
              <w:right w:val="nil"/>
            </w:tcBorders>
            <w:vAlign w:val="center"/>
          </w:tcPr>
          <w:p w14:paraId="0101ED5D" w14:textId="30048B4A" w:rsidR="002C07DC" w:rsidRPr="00177380" w:rsidRDefault="002C07DC" w:rsidP="00177380">
            <w:pPr>
              <w:pStyle w:val="Tabletext"/>
            </w:pPr>
            <w:r w:rsidRPr="00177380">
              <w:t>Regional Policy Objective</w:t>
            </w:r>
          </w:p>
        </w:tc>
      </w:tr>
      <w:tr w:rsidR="002C07DC" w:rsidRPr="00733E9A" w14:paraId="58BB20BC" w14:textId="77777777">
        <w:trPr>
          <w:trHeight w:val="224"/>
        </w:trPr>
        <w:tc>
          <w:tcPr>
            <w:tcW w:w="4678" w:type="dxa"/>
            <w:tcBorders>
              <w:top w:val="nil"/>
              <w:left w:val="nil"/>
              <w:bottom w:val="nil"/>
              <w:right w:val="nil"/>
            </w:tcBorders>
            <w:vAlign w:val="center"/>
          </w:tcPr>
          <w:p w14:paraId="72861B98" w14:textId="3960653C" w:rsidR="002C07DC" w:rsidRPr="00177380" w:rsidRDefault="002C07DC" w:rsidP="00177380">
            <w:pPr>
              <w:pStyle w:val="Tabletext"/>
            </w:pPr>
            <w:r w:rsidRPr="00177380">
              <w:t>RSES</w:t>
            </w:r>
          </w:p>
        </w:tc>
        <w:tc>
          <w:tcPr>
            <w:tcW w:w="4536" w:type="dxa"/>
            <w:tcBorders>
              <w:top w:val="nil"/>
              <w:left w:val="nil"/>
              <w:bottom w:val="nil"/>
              <w:right w:val="nil"/>
            </w:tcBorders>
            <w:vAlign w:val="center"/>
          </w:tcPr>
          <w:p w14:paraId="1DDD9573" w14:textId="42186FFC" w:rsidR="002C07DC" w:rsidRPr="00177380" w:rsidRDefault="002C07DC" w:rsidP="00177380">
            <w:pPr>
              <w:pStyle w:val="Tabletext"/>
            </w:pPr>
            <w:r w:rsidRPr="00177380">
              <w:t>Regional Spatial and Economic Strategy</w:t>
            </w:r>
          </w:p>
        </w:tc>
      </w:tr>
      <w:tr w:rsidR="00177380" w:rsidRPr="00733E9A" w14:paraId="6C743B58" w14:textId="77777777">
        <w:trPr>
          <w:trHeight w:val="224"/>
        </w:trPr>
        <w:tc>
          <w:tcPr>
            <w:tcW w:w="4678" w:type="dxa"/>
            <w:tcBorders>
              <w:top w:val="nil"/>
              <w:left w:val="nil"/>
              <w:bottom w:val="nil"/>
              <w:right w:val="nil"/>
            </w:tcBorders>
            <w:vAlign w:val="center"/>
          </w:tcPr>
          <w:p w14:paraId="6854BC68" w14:textId="71FEBB11" w:rsidR="00177380" w:rsidRPr="00177380" w:rsidRDefault="00177380" w:rsidP="00177380">
            <w:pPr>
              <w:pStyle w:val="Tabletext"/>
            </w:pPr>
            <w:r w:rsidRPr="00177380">
              <w:t>RU</w:t>
            </w:r>
          </w:p>
        </w:tc>
        <w:tc>
          <w:tcPr>
            <w:tcW w:w="4536" w:type="dxa"/>
            <w:tcBorders>
              <w:top w:val="nil"/>
              <w:left w:val="nil"/>
              <w:bottom w:val="nil"/>
              <w:right w:val="nil"/>
            </w:tcBorders>
            <w:vAlign w:val="center"/>
          </w:tcPr>
          <w:p w14:paraId="15CCCA29" w14:textId="4899EEDB" w:rsidR="00177380" w:rsidRPr="00177380" w:rsidRDefault="00177380" w:rsidP="00177380">
            <w:pPr>
              <w:pStyle w:val="Tabletext"/>
            </w:pPr>
            <w:r w:rsidRPr="00177380">
              <w:t>Rural</w:t>
            </w:r>
            <w:r>
              <w:t xml:space="preserve"> Amenity Objective</w:t>
            </w:r>
          </w:p>
        </w:tc>
      </w:tr>
      <w:tr w:rsidR="00177380" w:rsidRPr="00733E9A" w14:paraId="7D3C89F5" w14:textId="77777777">
        <w:trPr>
          <w:trHeight w:val="224"/>
        </w:trPr>
        <w:tc>
          <w:tcPr>
            <w:tcW w:w="4678" w:type="dxa"/>
            <w:tcBorders>
              <w:top w:val="nil"/>
              <w:left w:val="nil"/>
              <w:bottom w:val="nil"/>
              <w:right w:val="nil"/>
            </w:tcBorders>
            <w:vAlign w:val="center"/>
          </w:tcPr>
          <w:p w14:paraId="42157E81" w14:textId="529C40F3" w:rsidR="00177380" w:rsidRPr="00177380" w:rsidRDefault="00177380" w:rsidP="00177380">
            <w:pPr>
              <w:pStyle w:val="Tabletext"/>
            </w:pPr>
            <w:r w:rsidRPr="00177380">
              <w:t>SDCC</w:t>
            </w:r>
          </w:p>
        </w:tc>
        <w:tc>
          <w:tcPr>
            <w:tcW w:w="4536" w:type="dxa"/>
            <w:tcBorders>
              <w:top w:val="nil"/>
              <w:left w:val="nil"/>
              <w:bottom w:val="nil"/>
              <w:right w:val="nil"/>
            </w:tcBorders>
            <w:vAlign w:val="center"/>
          </w:tcPr>
          <w:p w14:paraId="4DA2E51E" w14:textId="4F749221" w:rsidR="00177380" w:rsidRPr="00177380" w:rsidRDefault="00177380" w:rsidP="00177380">
            <w:pPr>
              <w:pStyle w:val="Tabletext"/>
            </w:pPr>
            <w:r w:rsidRPr="00177380">
              <w:t>South Dublin County Council</w:t>
            </w:r>
          </w:p>
        </w:tc>
      </w:tr>
      <w:tr w:rsidR="00177380" w:rsidRPr="00733E9A" w14:paraId="00A664C6" w14:textId="77777777">
        <w:trPr>
          <w:trHeight w:val="224"/>
        </w:trPr>
        <w:tc>
          <w:tcPr>
            <w:tcW w:w="4678" w:type="dxa"/>
            <w:tcBorders>
              <w:top w:val="nil"/>
              <w:left w:val="nil"/>
              <w:bottom w:val="nil"/>
              <w:right w:val="nil"/>
            </w:tcBorders>
            <w:vAlign w:val="center"/>
          </w:tcPr>
          <w:p w14:paraId="168588F2" w14:textId="4616CC63" w:rsidR="00177380" w:rsidRPr="00177380" w:rsidRDefault="00177380" w:rsidP="00177380">
            <w:pPr>
              <w:pStyle w:val="Tabletext"/>
            </w:pPr>
            <w:r w:rsidRPr="00177380">
              <w:t>SDCCDP</w:t>
            </w:r>
          </w:p>
        </w:tc>
        <w:tc>
          <w:tcPr>
            <w:tcW w:w="4536" w:type="dxa"/>
            <w:tcBorders>
              <w:top w:val="nil"/>
              <w:left w:val="nil"/>
              <w:bottom w:val="nil"/>
              <w:right w:val="nil"/>
            </w:tcBorders>
            <w:vAlign w:val="center"/>
          </w:tcPr>
          <w:p w14:paraId="1BE37905" w14:textId="73ABC7FB" w:rsidR="00177380" w:rsidRPr="00177380" w:rsidRDefault="00177380" w:rsidP="00177380">
            <w:pPr>
              <w:pStyle w:val="Tabletext"/>
            </w:pPr>
            <w:r w:rsidRPr="00177380">
              <w:t>South Dublin County Development Plan</w:t>
            </w:r>
          </w:p>
        </w:tc>
      </w:tr>
      <w:tr w:rsidR="00177380" w:rsidRPr="00733E9A" w14:paraId="39B62F0A" w14:textId="77777777">
        <w:trPr>
          <w:trHeight w:val="224"/>
        </w:trPr>
        <w:tc>
          <w:tcPr>
            <w:tcW w:w="4678" w:type="dxa"/>
            <w:tcBorders>
              <w:top w:val="nil"/>
              <w:left w:val="nil"/>
              <w:bottom w:val="nil"/>
              <w:right w:val="nil"/>
            </w:tcBorders>
            <w:vAlign w:val="center"/>
          </w:tcPr>
          <w:p w14:paraId="0A74BD00" w14:textId="2023D61B" w:rsidR="00177380" w:rsidRPr="00177380" w:rsidRDefault="00177380" w:rsidP="00177380">
            <w:pPr>
              <w:pStyle w:val="Tabletext"/>
            </w:pPr>
            <w:r w:rsidRPr="00177380">
              <w:t>SLO</w:t>
            </w:r>
          </w:p>
        </w:tc>
        <w:tc>
          <w:tcPr>
            <w:tcW w:w="4536" w:type="dxa"/>
            <w:tcBorders>
              <w:top w:val="nil"/>
              <w:left w:val="nil"/>
              <w:bottom w:val="nil"/>
              <w:right w:val="nil"/>
            </w:tcBorders>
            <w:vAlign w:val="center"/>
          </w:tcPr>
          <w:p w14:paraId="3B835DE7" w14:textId="19D98F45" w:rsidR="00177380" w:rsidRPr="00177380" w:rsidRDefault="00177380" w:rsidP="00177380">
            <w:pPr>
              <w:pStyle w:val="Tabletext"/>
            </w:pPr>
            <w:r w:rsidRPr="00177380">
              <w:t>Specific Local Objective</w:t>
            </w:r>
          </w:p>
        </w:tc>
      </w:tr>
      <w:tr w:rsidR="00177380" w:rsidRPr="00733E9A" w14:paraId="3C5D2C61" w14:textId="77777777">
        <w:trPr>
          <w:trHeight w:val="224"/>
        </w:trPr>
        <w:tc>
          <w:tcPr>
            <w:tcW w:w="4678" w:type="dxa"/>
            <w:tcBorders>
              <w:top w:val="nil"/>
              <w:left w:val="nil"/>
              <w:bottom w:val="nil"/>
              <w:right w:val="nil"/>
            </w:tcBorders>
            <w:vAlign w:val="center"/>
          </w:tcPr>
          <w:p w14:paraId="1D3752C6" w14:textId="4A5A0C27" w:rsidR="00177380" w:rsidRPr="00177380" w:rsidRDefault="00177380" w:rsidP="00177380">
            <w:pPr>
              <w:pStyle w:val="Tabletext"/>
            </w:pPr>
            <w:r w:rsidRPr="00177380">
              <w:t>SuDS</w:t>
            </w:r>
          </w:p>
        </w:tc>
        <w:tc>
          <w:tcPr>
            <w:tcW w:w="4536" w:type="dxa"/>
            <w:tcBorders>
              <w:top w:val="nil"/>
              <w:left w:val="nil"/>
              <w:bottom w:val="nil"/>
              <w:right w:val="nil"/>
            </w:tcBorders>
            <w:vAlign w:val="center"/>
          </w:tcPr>
          <w:p w14:paraId="6E6F3BFC" w14:textId="7B9115F2" w:rsidR="00177380" w:rsidRPr="00177380" w:rsidRDefault="00177380" w:rsidP="00177380">
            <w:pPr>
              <w:pStyle w:val="Tabletext"/>
            </w:pPr>
            <w:r w:rsidRPr="00177380">
              <w:t>Sustainable Urban Drainage Systems</w:t>
            </w:r>
          </w:p>
        </w:tc>
      </w:tr>
      <w:tr w:rsidR="00177380" w:rsidRPr="00733E9A" w14:paraId="6C1B6BE5" w14:textId="77777777">
        <w:trPr>
          <w:trHeight w:val="224"/>
        </w:trPr>
        <w:tc>
          <w:tcPr>
            <w:tcW w:w="4678" w:type="dxa"/>
            <w:tcBorders>
              <w:top w:val="nil"/>
              <w:left w:val="nil"/>
              <w:bottom w:val="nil"/>
              <w:right w:val="nil"/>
            </w:tcBorders>
            <w:vAlign w:val="center"/>
          </w:tcPr>
          <w:p w14:paraId="5D7C6C90" w14:textId="0803E6B2" w:rsidR="00177380" w:rsidRPr="00177380" w:rsidRDefault="00177380" w:rsidP="00177380">
            <w:pPr>
              <w:pStyle w:val="Tabletext"/>
            </w:pPr>
            <w:r w:rsidRPr="00177380">
              <w:t>TA</w:t>
            </w:r>
          </w:p>
        </w:tc>
        <w:tc>
          <w:tcPr>
            <w:tcW w:w="4536" w:type="dxa"/>
            <w:tcBorders>
              <w:top w:val="nil"/>
              <w:left w:val="nil"/>
              <w:bottom w:val="nil"/>
              <w:right w:val="nil"/>
            </w:tcBorders>
            <w:vAlign w:val="center"/>
          </w:tcPr>
          <w:p w14:paraId="095DBCAA" w14:textId="18B5DEDB" w:rsidR="00177380" w:rsidRPr="00177380" w:rsidRDefault="00177380" w:rsidP="00177380">
            <w:pPr>
              <w:pStyle w:val="Tabletext"/>
            </w:pPr>
            <w:r w:rsidRPr="00177380">
              <w:t>Traveller Accommodation</w:t>
            </w:r>
          </w:p>
        </w:tc>
      </w:tr>
      <w:tr w:rsidR="00177380" w:rsidRPr="00733E9A" w14:paraId="5AD1B5C1" w14:textId="77777777">
        <w:trPr>
          <w:trHeight w:val="224"/>
        </w:trPr>
        <w:tc>
          <w:tcPr>
            <w:tcW w:w="4678" w:type="dxa"/>
            <w:tcBorders>
              <w:top w:val="nil"/>
              <w:left w:val="nil"/>
              <w:bottom w:val="nil"/>
              <w:right w:val="nil"/>
            </w:tcBorders>
            <w:vAlign w:val="center"/>
          </w:tcPr>
          <w:p w14:paraId="73071B7C" w14:textId="14334723" w:rsidR="00177380" w:rsidRPr="00177380" w:rsidRDefault="00177380" w:rsidP="00177380">
            <w:pPr>
              <w:pStyle w:val="Tabletext"/>
            </w:pPr>
            <w:r w:rsidRPr="00177380">
              <w:t>TUSLA</w:t>
            </w:r>
          </w:p>
        </w:tc>
        <w:tc>
          <w:tcPr>
            <w:tcW w:w="4536" w:type="dxa"/>
            <w:tcBorders>
              <w:top w:val="nil"/>
              <w:left w:val="nil"/>
              <w:bottom w:val="nil"/>
              <w:right w:val="nil"/>
            </w:tcBorders>
            <w:vAlign w:val="center"/>
          </w:tcPr>
          <w:p w14:paraId="72B66871" w14:textId="0E3CB973" w:rsidR="00177380" w:rsidRPr="00177380" w:rsidRDefault="00177380" w:rsidP="00177380">
            <w:pPr>
              <w:pStyle w:val="Tabletext"/>
            </w:pPr>
            <w:r w:rsidRPr="00177380">
              <w:t>Child and Family Agency</w:t>
            </w:r>
          </w:p>
        </w:tc>
      </w:tr>
      <w:tr w:rsidR="002C07DC" w:rsidRPr="00733E9A" w14:paraId="200F53B5" w14:textId="77777777">
        <w:trPr>
          <w:trHeight w:val="224"/>
        </w:trPr>
        <w:tc>
          <w:tcPr>
            <w:tcW w:w="4678" w:type="dxa"/>
            <w:tcBorders>
              <w:top w:val="nil"/>
              <w:left w:val="nil"/>
              <w:bottom w:val="nil"/>
              <w:right w:val="nil"/>
            </w:tcBorders>
            <w:vAlign w:val="center"/>
          </w:tcPr>
          <w:p w14:paraId="2C0C826F" w14:textId="77777777" w:rsidR="002C07DC" w:rsidRDefault="002C07DC" w:rsidP="002C07DC">
            <w:pPr>
              <w:pStyle w:val="Tabletext"/>
              <w:rPr>
                <w:rFonts w:ascii="Calibri" w:hAnsi="Calibri" w:cs="Calibri"/>
                <w:color w:val="000000"/>
                <w:sz w:val="22"/>
                <w:szCs w:val="22"/>
              </w:rPr>
            </w:pPr>
          </w:p>
        </w:tc>
        <w:tc>
          <w:tcPr>
            <w:tcW w:w="4536" w:type="dxa"/>
            <w:tcBorders>
              <w:top w:val="nil"/>
              <w:left w:val="nil"/>
              <w:bottom w:val="nil"/>
              <w:right w:val="nil"/>
            </w:tcBorders>
            <w:vAlign w:val="center"/>
          </w:tcPr>
          <w:p w14:paraId="76F49544" w14:textId="77777777" w:rsidR="002C07DC" w:rsidRDefault="002C07DC" w:rsidP="002C07DC">
            <w:pPr>
              <w:pStyle w:val="Tabletext"/>
              <w:rPr>
                <w:rFonts w:ascii="Calibri" w:hAnsi="Calibri" w:cs="Calibri"/>
                <w:color w:val="000000"/>
                <w:sz w:val="22"/>
                <w:szCs w:val="22"/>
              </w:rPr>
            </w:pPr>
          </w:p>
        </w:tc>
      </w:tr>
      <w:tr w:rsidR="002C07DC" w:rsidRPr="00733E9A" w14:paraId="0E1D03E4" w14:textId="77777777">
        <w:trPr>
          <w:trHeight w:val="224"/>
        </w:trPr>
        <w:tc>
          <w:tcPr>
            <w:tcW w:w="4678" w:type="dxa"/>
            <w:tcBorders>
              <w:top w:val="nil"/>
              <w:left w:val="nil"/>
              <w:bottom w:val="nil"/>
              <w:right w:val="nil"/>
            </w:tcBorders>
            <w:vAlign w:val="center"/>
          </w:tcPr>
          <w:p w14:paraId="070AFFEE" w14:textId="77777777" w:rsidR="002C07DC" w:rsidRDefault="002C07DC" w:rsidP="002C07DC">
            <w:pPr>
              <w:pStyle w:val="Tabletext"/>
              <w:rPr>
                <w:rFonts w:ascii="Calibri" w:hAnsi="Calibri" w:cs="Calibri"/>
                <w:color w:val="000000"/>
                <w:sz w:val="22"/>
                <w:szCs w:val="22"/>
              </w:rPr>
            </w:pPr>
          </w:p>
        </w:tc>
        <w:tc>
          <w:tcPr>
            <w:tcW w:w="4536" w:type="dxa"/>
            <w:tcBorders>
              <w:top w:val="nil"/>
              <w:left w:val="nil"/>
              <w:bottom w:val="nil"/>
              <w:right w:val="nil"/>
            </w:tcBorders>
            <w:vAlign w:val="center"/>
          </w:tcPr>
          <w:p w14:paraId="4C08F147" w14:textId="77777777" w:rsidR="002C07DC" w:rsidRDefault="002C07DC" w:rsidP="002C07DC">
            <w:pPr>
              <w:pStyle w:val="Tabletext"/>
              <w:rPr>
                <w:rFonts w:ascii="Calibri" w:hAnsi="Calibri" w:cs="Calibri"/>
                <w:color w:val="000000"/>
                <w:sz w:val="22"/>
                <w:szCs w:val="22"/>
              </w:rPr>
            </w:pPr>
          </w:p>
        </w:tc>
      </w:tr>
      <w:tr w:rsidR="002C07DC" w:rsidRPr="00733E9A" w14:paraId="7FBECE83" w14:textId="77777777">
        <w:trPr>
          <w:trHeight w:val="224"/>
        </w:trPr>
        <w:tc>
          <w:tcPr>
            <w:tcW w:w="4678" w:type="dxa"/>
            <w:tcBorders>
              <w:top w:val="nil"/>
              <w:left w:val="nil"/>
              <w:bottom w:val="nil"/>
              <w:right w:val="nil"/>
            </w:tcBorders>
            <w:vAlign w:val="center"/>
          </w:tcPr>
          <w:p w14:paraId="0A2B062B" w14:textId="77777777" w:rsidR="002C07DC" w:rsidRDefault="002C07DC" w:rsidP="002C07DC">
            <w:pPr>
              <w:pStyle w:val="Tabletext"/>
              <w:rPr>
                <w:rFonts w:ascii="Calibri" w:hAnsi="Calibri" w:cs="Calibri"/>
                <w:color w:val="000000"/>
                <w:sz w:val="22"/>
                <w:szCs w:val="22"/>
              </w:rPr>
            </w:pPr>
          </w:p>
        </w:tc>
        <w:tc>
          <w:tcPr>
            <w:tcW w:w="4536" w:type="dxa"/>
            <w:tcBorders>
              <w:top w:val="nil"/>
              <w:left w:val="nil"/>
              <w:bottom w:val="nil"/>
              <w:right w:val="nil"/>
            </w:tcBorders>
            <w:vAlign w:val="center"/>
          </w:tcPr>
          <w:p w14:paraId="2F9845E9" w14:textId="77777777" w:rsidR="002C07DC" w:rsidRDefault="002C07DC" w:rsidP="002C07DC">
            <w:pPr>
              <w:pStyle w:val="Tabletext"/>
              <w:rPr>
                <w:rFonts w:ascii="Calibri" w:hAnsi="Calibri" w:cs="Calibri"/>
                <w:color w:val="000000"/>
                <w:sz w:val="22"/>
                <w:szCs w:val="22"/>
              </w:rPr>
            </w:pPr>
          </w:p>
        </w:tc>
      </w:tr>
      <w:tr w:rsidR="002C07DC" w:rsidRPr="00733E9A" w14:paraId="7E2E0408" w14:textId="77777777">
        <w:trPr>
          <w:trHeight w:val="224"/>
        </w:trPr>
        <w:tc>
          <w:tcPr>
            <w:tcW w:w="4678" w:type="dxa"/>
            <w:tcBorders>
              <w:top w:val="nil"/>
              <w:left w:val="nil"/>
              <w:bottom w:val="nil"/>
              <w:right w:val="nil"/>
            </w:tcBorders>
            <w:vAlign w:val="center"/>
          </w:tcPr>
          <w:p w14:paraId="560573BF" w14:textId="77777777" w:rsidR="002C07DC" w:rsidRDefault="002C07DC" w:rsidP="002C07DC">
            <w:pPr>
              <w:pStyle w:val="Tabletext"/>
              <w:rPr>
                <w:rFonts w:ascii="Calibri" w:hAnsi="Calibri" w:cs="Calibri"/>
                <w:color w:val="000000"/>
                <w:sz w:val="22"/>
                <w:szCs w:val="22"/>
              </w:rPr>
            </w:pPr>
          </w:p>
        </w:tc>
        <w:tc>
          <w:tcPr>
            <w:tcW w:w="4536" w:type="dxa"/>
            <w:tcBorders>
              <w:top w:val="nil"/>
              <w:left w:val="nil"/>
              <w:bottom w:val="nil"/>
              <w:right w:val="nil"/>
            </w:tcBorders>
            <w:vAlign w:val="center"/>
          </w:tcPr>
          <w:p w14:paraId="2A363F7A" w14:textId="77777777" w:rsidR="002C07DC" w:rsidRDefault="002C07DC" w:rsidP="002C07DC">
            <w:pPr>
              <w:pStyle w:val="Tabletext"/>
              <w:rPr>
                <w:rFonts w:ascii="Calibri" w:hAnsi="Calibri" w:cs="Calibri"/>
                <w:color w:val="000000"/>
                <w:sz w:val="22"/>
                <w:szCs w:val="22"/>
              </w:rPr>
            </w:pPr>
          </w:p>
        </w:tc>
      </w:tr>
      <w:tr w:rsidR="002C07DC" w:rsidRPr="00733E9A" w14:paraId="3C708A3B" w14:textId="77777777">
        <w:trPr>
          <w:trHeight w:val="224"/>
        </w:trPr>
        <w:tc>
          <w:tcPr>
            <w:tcW w:w="4678" w:type="dxa"/>
            <w:tcBorders>
              <w:top w:val="nil"/>
              <w:left w:val="nil"/>
              <w:bottom w:val="nil"/>
              <w:right w:val="nil"/>
            </w:tcBorders>
            <w:vAlign w:val="center"/>
          </w:tcPr>
          <w:p w14:paraId="465DA982" w14:textId="77777777" w:rsidR="002C07DC" w:rsidRDefault="002C07DC" w:rsidP="002C07DC">
            <w:pPr>
              <w:pStyle w:val="Tabletext"/>
              <w:rPr>
                <w:rFonts w:ascii="Calibri" w:hAnsi="Calibri" w:cs="Calibri"/>
                <w:color w:val="000000"/>
                <w:sz w:val="22"/>
                <w:szCs w:val="22"/>
              </w:rPr>
            </w:pPr>
          </w:p>
        </w:tc>
        <w:tc>
          <w:tcPr>
            <w:tcW w:w="4536" w:type="dxa"/>
            <w:tcBorders>
              <w:top w:val="nil"/>
              <w:left w:val="nil"/>
              <w:bottom w:val="nil"/>
              <w:right w:val="nil"/>
            </w:tcBorders>
            <w:vAlign w:val="center"/>
          </w:tcPr>
          <w:p w14:paraId="123CAAC9" w14:textId="77777777" w:rsidR="002C07DC" w:rsidRDefault="002C07DC" w:rsidP="002C07DC">
            <w:pPr>
              <w:pStyle w:val="Tabletext"/>
              <w:rPr>
                <w:rFonts w:ascii="Calibri" w:hAnsi="Calibri" w:cs="Calibri"/>
                <w:color w:val="000000"/>
                <w:sz w:val="22"/>
                <w:szCs w:val="22"/>
              </w:rPr>
            </w:pPr>
          </w:p>
        </w:tc>
      </w:tr>
      <w:tr w:rsidR="002C07DC" w:rsidRPr="00733E9A" w14:paraId="0D396E4E" w14:textId="77777777">
        <w:trPr>
          <w:trHeight w:val="224"/>
        </w:trPr>
        <w:tc>
          <w:tcPr>
            <w:tcW w:w="4678" w:type="dxa"/>
            <w:tcBorders>
              <w:top w:val="nil"/>
              <w:left w:val="nil"/>
              <w:bottom w:val="nil"/>
              <w:right w:val="nil"/>
            </w:tcBorders>
            <w:vAlign w:val="center"/>
          </w:tcPr>
          <w:p w14:paraId="4473CF87" w14:textId="77777777" w:rsidR="002C07DC" w:rsidRDefault="002C07DC" w:rsidP="002C07DC">
            <w:pPr>
              <w:pStyle w:val="Tabletext"/>
              <w:rPr>
                <w:rFonts w:ascii="Calibri" w:hAnsi="Calibri" w:cs="Calibri"/>
                <w:color w:val="000000"/>
                <w:sz w:val="22"/>
                <w:szCs w:val="22"/>
              </w:rPr>
            </w:pPr>
          </w:p>
        </w:tc>
        <w:tc>
          <w:tcPr>
            <w:tcW w:w="4536" w:type="dxa"/>
            <w:tcBorders>
              <w:top w:val="nil"/>
              <w:left w:val="nil"/>
              <w:bottom w:val="nil"/>
              <w:right w:val="nil"/>
            </w:tcBorders>
            <w:vAlign w:val="center"/>
          </w:tcPr>
          <w:p w14:paraId="29ED3C92" w14:textId="77777777" w:rsidR="002C07DC" w:rsidRDefault="002C07DC" w:rsidP="002C07DC">
            <w:pPr>
              <w:pStyle w:val="Tabletext"/>
              <w:rPr>
                <w:rFonts w:ascii="Calibri" w:hAnsi="Calibri" w:cs="Calibri"/>
                <w:color w:val="000000"/>
                <w:sz w:val="22"/>
                <w:szCs w:val="22"/>
              </w:rPr>
            </w:pPr>
          </w:p>
        </w:tc>
      </w:tr>
    </w:tbl>
    <w:p w14:paraId="1224C0F8" w14:textId="77777777" w:rsidR="002B2F8D" w:rsidRDefault="002B2F8D" w:rsidP="002B2F8D">
      <w:pPr>
        <w:pStyle w:val="BodyText"/>
      </w:pPr>
    </w:p>
    <w:p w14:paraId="25B184AE" w14:textId="77777777" w:rsidR="00C16124" w:rsidRPr="002B2F8D" w:rsidRDefault="00C16124" w:rsidP="002B2F8D">
      <w:pPr>
        <w:pStyle w:val="BodyText"/>
        <w:sectPr w:rsidR="00C16124" w:rsidRPr="002B2F8D" w:rsidSect="00D2797C">
          <w:headerReference w:type="default" r:id="rId26"/>
          <w:footerReference w:type="default" r:id="rId27"/>
          <w:type w:val="continuous"/>
          <w:pgSz w:w="11906" w:h="16838"/>
          <w:pgMar w:top="1134" w:right="1134" w:bottom="851" w:left="1418" w:header="567" w:footer="284" w:gutter="0"/>
          <w:pgNumType w:start="1" w:chapStyle="1"/>
          <w:cols w:space="284"/>
          <w:docGrid w:linePitch="360"/>
        </w:sectPr>
      </w:pPr>
    </w:p>
    <w:bookmarkEnd w:id="105"/>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2AF0349F"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8"/>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11663" w14:textId="77777777" w:rsidR="00620DA6" w:rsidRDefault="00620DA6" w:rsidP="00253171">
      <w:pPr>
        <w:spacing w:line="240" w:lineRule="auto"/>
      </w:pPr>
      <w:r>
        <w:separator/>
      </w:r>
    </w:p>
  </w:endnote>
  <w:endnote w:type="continuationSeparator" w:id="0">
    <w:p w14:paraId="778CF73B" w14:textId="77777777" w:rsidR="00620DA6" w:rsidRDefault="00620DA6"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37B0B5A1"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6E8339A1"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350CF9">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350CF9">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2613A966"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716E074E"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2CD9002F"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350CF9">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350CF9">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4F7AA400"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15D5" w14:textId="77777777" w:rsidR="00620DA6" w:rsidRPr="00253171" w:rsidRDefault="00620DA6"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7F855DFD" w14:textId="77777777" w:rsidR="00620DA6" w:rsidRPr="00253171" w:rsidRDefault="00620DA6"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3567E958" w14:textId="69027021" w:rsidR="004802AE" w:rsidRPr="004802AE" w:rsidRDefault="004802AE">
      <w:pPr>
        <w:pStyle w:val="FootnoteText"/>
        <w:rPr>
          <w:lang w:val="en-IE"/>
        </w:rPr>
      </w:pPr>
      <w:r>
        <w:rPr>
          <w:rStyle w:val="FootnoteReference"/>
        </w:rPr>
        <w:footnoteRef/>
      </w:r>
      <w:r>
        <w:t xml:space="preserve"> </w:t>
      </w:r>
      <w:r w:rsidR="00FF0E3F" w:rsidRPr="00FF0E3F">
        <w:rPr>
          <w:lang w:val="en-IE"/>
        </w:rPr>
        <w:t>Rathcoole Town (2022) is compared with Rathcoole Settlement (2016). While the areas are broadly equivalent, minor differences in settlement boundaries exist between the datasets and should be considered when interpreting the results</w:t>
      </w:r>
    </w:p>
  </w:footnote>
  <w:footnote w:id="2">
    <w:p w14:paraId="538DC7BE" w14:textId="26A53CA9" w:rsidR="001872D2" w:rsidRPr="001872D2" w:rsidRDefault="001872D2" w:rsidP="001872D2">
      <w:pPr>
        <w:pStyle w:val="FootnoteText"/>
        <w:numPr>
          <w:ilvl w:val="4"/>
          <w:numId w:val="18"/>
        </w:numPr>
        <w:rPr>
          <w:lang w:val="en-IE"/>
        </w:rPr>
      </w:pPr>
      <w:r>
        <w:rPr>
          <w:rStyle w:val="FootnoteReference"/>
        </w:rPr>
        <w:footnoteRef/>
      </w:r>
      <w:r>
        <w:t xml:space="preserve"> </w:t>
      </w:r>
      <w:hyperlink r:id="rId1" w:history="1">
        <w:r w:rsidRPr="00B41E78">
          <w:rPr>
            <w:rStyle w:val="Hyperlink"/>
            <w:lang w:val="en-IE"/>
          </w:rPr>
          <w:t>Usually resident by means of travel to work, school, college or childcare</w:t>
        </w:r>
      </w:hyperlink>
    </w:p>
    <w:p w14:paraId="28A4BE41" w14:textId="01349566" w:rsidR="001872D2" w:rsidRPr="001872D2" w:rsidRDefault="001872D2">
      <w:pPr>
        <w:pStyle w:val="FootnoteText"/>
        <w:rPr>
          <w:lang w:val="en-IE"/>
        </w:rPr>
      </w:pPr>
    </w:p>
  </w:footnote>
  <w:footnote w:id="3">
    <w:p w14:paraId="152DA210" w14:textId="07B76311" w:rsidR="00B57776" w:rsidRPr="0082126C" w:rsidRDefault="00B57776">
      <w:pPr>
        <w:pStyle w:val="FootnoteText"/>
        <w:rPr>
          <w:lang w:val="en-IE"/>
        </w:rPr>
      </w:pPr>
      <w:r>
        <w:rPr>
          <w:rStyle w:val="FootnoteReference"/>
        </w:rPr>
        <w:footnoteRef/>
      </w:r>
      <w:r>
        <w:rPr>
          <w:lang w:val="en-IE"/>
        </w:rPr>
        <w:t xml:space="preserve">Planning permission granted for 1,000 pupil secondary school under PA Reg. Ref. </w:t>
      </w:r>
      <w:r w:rsidRPr="005E3344">
        <w:rPr>
          <w:lang w:val="en-IE"/>
        </w:rPr>
        <w:t>SD19A/0393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6F4B7A9E" w:rsidR="00566185" w:rsidRPr="0087529F" w:rsidRDefault="00350CF9"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0834E2D2" w:rsidR="00566185" w:rsidRPr="0087529F" w:rsidRDefault="004B5928" w:rsidP="00566185">
          <w:pPr>
            <w:pStyle w:val="Header"/>
            <w:jc w:val="right"/>
          </w:pPr>
          <w:r>
            <w:t xml:space="preserve">Chapter 05: </w:t>
          </w:r>
          <w:r w:rsidR="00A76346">
            <w:t>Population and Human Health</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350CF9">
            <w:instrText xml:space="preserve"> </w:instrText>
          </w:r>
          <w:r w:rsidR="00566185" w:rsidRPr="0087529F">
            <w:fldChar w:fldCharType="end"/>
          </w:r>
          <w:r w:rsidR="00566185" w:rsidRPr="0087529F">
            <w:instrText xml:space="preserve"> = "" "" "</w:instrText>
          </w:r>
        </w:p>
        <w:p w14:paraId="31D07E45" w14:textId="77777777" w:rsidR="0016164F" w:rsidRPr="0087529F" w:rsidRDefault="00566185" w:rsidP="00566185">
          <w:pPr>
            <w:pStyle w:val="Header"/>
            <w:jc w:val="right"/>
          </w:pPr>
          <w:r w:rsidRPr="0087529F">
            <w:instrText xml:space="preserve">" </w:instrText>
          </w:r>
          <w:r w:rsidRPr="0087529F">
            <w:fldChar w:fldCharType="separate"/>
          </w:r>
        </w:p>
        <w:p w14:paraId="4E389E98" w14:textId="6795CD6E" w:rsidR="00566185" w:rsidRPr="0087529F" w:rsidRDefault="00566185" w:rsidP="00566185">
          <w:pPr>
            <w:pStyle w:val="Header"/>
            <w:jc w:val="right"/>
          </w:pPr>
          <w:r w:rsidRPr="0087529F">
            <w:fldChar w:fldCharType="end"/>
          </w:r>
          <w:fldSimple w:instr="DOCPROPERTY  ProjectRef \* MERGEFORMAT">
            <w:r w:rsidR="00350CF9">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350CF9">
            <w:instrText xml:space="preserve"> </w:instrText>
          </w:r>
          <w:r w:rsidRPr="0087529F">
            <w:fldChar w:fldCharType="end"/>
          </w:r>
          <w:r w:rsidRPr="0087529F">
            <w:instrText xml:space="preserve"> = " " "" "</w:instrText>
          </w:r>
        </w:p>
        <w:p w14:paraId="5B67EBF4" w14:textId="71110602"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350CF9">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7610F2F5" w:rsidR="00566185" w:rsidRPr="0087529F" w:rsidRDefault="00350CF9" w:rsidP="00566185">
          <w:pPr>
            <w:pStyle w:val="Header"/>
            <w:jc w:val="center"/>
          </w:pPr>
          <w:fldSimple w:instr="DOCPROPERTY  Draft \* MERGEFORMAT">
            <w:r>
              <w:t>DRAFT</w:t>
            </w:r>
          </w:fldSimple>
        </w:p>
      </w:tc>
      <w:tc>
        <w:tcPr>
          <w:tcW w:w="2998" w:type="dxa"/>
        </w:tcPr>
        <w:p w14:paraId="544A1459" w14:textId="21715E23" w:rsidR="00B65176" w:rsidRDefault="00350CF9" w:rsidP="00B65176">
          <w:pPr>
            <w:pStyle w:val="Header"/>
            <w:jc w:val="right"/>
          </w:pPr>
          <w:fldSimple w:instr="DOCPROPERTY  HeaderClient \* MERGEFORMAT">
            <w:r>
              <w:t xml:space="preserve"> </w:t>
            </w:r>
          </w:fldSimple>
          <w:r w:rsidR="00B65176">
            <w:t xml:space="preserve"> Environmental Impact Assessment Report</w:t>
          </w:r>
        </w:p>
        <w:p w14:paraId="38FB7F30" w14:textId="17EBB5D8" w:rsidR="00B65176" w:rsidRPr="0087529F" w:rsidRDefault="00B65176" w:rsidP="00B65176">
          <w:pPr>
            <w:pStyle w:val="Header"/>
            <w:jc w:val="right"/>
          </w:pPr>
          <w:r>
            <w:t xml:space="preserve">Chapter 05: </w:t>
          </w:r>
          <w:r w:rsidR="00A76346">
            <w:t>Population and Human Health</w:t>
          </w:r>
          <w:fldSimple w:instr="DOCPROPERTY  HeaderClient \* MERGEFORMAT">
            <w:r w:rsidR="00350CF9">
              <w:t xml:space="preserve"> </w:t>
            </w:r>
          </w:fldSimple>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rsidR="00350CF9">
            <w:instrText xml:space="preserve"> </w:instrText>
          </w:r>
          <w:r w:rsidRPr="0087529F">
            <w:fldChar w:fldCharType="end"/>
          </w:r>
          <w:r w:rsidRPr="0087529F">
            <w:instrText xml:space="preserve"> = "" "" "</w:instrText>
          </w:r>
        </w:p>
        <w:p w14:paraId="56A8C6A7" w14:textId="77777777" w:rsidR="003F307A" w:rsidRPr="0087529F" w:rsidRDefault="00B65176" w:rsidP="00B65176">
          <w:pPr>
            <w:pStyle w:val="Header"/>
            <w:jc w:val="right"/>
          </w:pPr>
          <w:r w:rsidRPr="0087529F">
            <w:instrText xml:space="preserve">" </w:instrText>
          </w:r>
          <w:r w:rsidRPr="0087529F">
            <w:fldChar w:fldCharType="separate"/>
          </w:r>
        </w:p>
        <w:p w14:paraId="0BFBCF61" w14:textId="0B77ADC1"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350CF9">
            <w:instrText xml:space="preserve"> </w:instrText>
          </w:r>
          <w:r w:rsidR="00566185" w:rsidRPr="0087529F">
            <w:fldChar w:fldCharType="end"/>
          </w:r>
          <w:r w:rsidR="00566185" w:rsidRPr="0087529F">
            <w:instrText xml:space="preserve"> = "" "" "</w:instrText>
          </w:r>
        </w:p>
        <w:p w14:paraId="2E7D55EA" w14:textId="77777777" w:rsidR="003F307A" w:rsidRPr="0087529F" w:rsidRDefault="00566185" w:rsidP="00B65176">
          <w:pPr>
            <w:pStyle w:val="Header"/>
            <w:jc w:val="right"/>
          </w:pPr>
          <w:r w:rsidRPr="0087529F">
            <w:instrText xml:space="preserve">" </w:instrText>
          </w:r>
          <w:r w:rsidRPr="0087529F">
            <w:fldChar w:fldCharType="separate"/>
          </w:r>
        </w:p>
        <w:p w14:paraId="42A85831" w14:textId="71F8022E" w:rsidR="00566185" w:rsidRPr="0087529F" w:rsidRDefault="00566185" w:rsidP="00566185">
          <w:pPr>
            <w:pStyle w:val="Header"/>
            <w:jc w:val="right"/>
          </w:pPr>
          <w:r w:rsidRPr="0087529F">
            <w:fldChar w:fldCharType="end"/>
          </w:r>
          <w:fldSimple w:instr="DOCPROPERTY  ProjectRef \* MERGEFORMAT">
            <w:r w:rsidR="00350CF9">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350CF9">
            <w:instrText xml:space="preserve"> </w:instrText>
          </w:r>
          <w:r w:rsidRPr="0087529F">
            <w:fldChar w:fldCharType="end"/>
          </w:r>
          <w:r w:rsidRPr="0087529F">
            <w:instrText xml:space="preserve"> = " " "" "</w:instrText>
          </w:r>
        </w:p>
        <w:p w14:paraId="395ED94F" w14:textId="332BBCBD"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350CF9">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B0B5818"/>
    <w:multiLevelType w:val="hybridMultilevel"/>
    <w:tmpl w:val="9B8242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F574CF"/>
    <w:multiLevelType w:val="multilevel"/>
    <w:tmpl w:val="E766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0387F3D"/>
    <w:multiLevelType w:val="hybridMultilevel"/>
    <w:tmpl w:val="122EBFC8"/>
    <w:lvl w:ilvl="0" w:tplc="1B5016C2">
      <w:start w:val="1"/>
      <w:numFmt w:val="bullet"/>
      <w:lvlText w:val=""/>
      <w:lvlJc w:val="left"/>
      <w:pPr>
        <w:ind w:left="1287" w:hanging="360"/>
      </w:pPr>
      <w:rPr>
        <w:rFonts w:ascii="Wingdings" w:hAnsi="Wingdings" w:hint="default"/>
        <w:color w:val="A6A6A6"/>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3A5333BD"/>
    <w:multiLevelType w:val="multilevel"/>
    <w:tmpl w:val="CF8A748A"/>
    <w:name w:val="AECOM Outline numbering22"/>
    <w:lvl w:ilvl="0">
      <w:start w:val="5"/>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397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4" w15:restartNumberingAfterBreak="0">
    <w:nsid w:val="4360775B"/>
    <w:multiLevelType w:val="hybridMultilevel"/>
    <w:tmpl w:val="6E16DA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6"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8"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9"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0"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21" w15:restartNumberingAfterBreak="0">
    <w:nsid w:val="5D4B5B56"/>
    <w:multiLevelType w:val="hybridMultilevel"/>
    <w:tmpl w:val="67885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23" w15:restartNumberingAfterBreak="0">
    <w:nsid w:val="61A8264D"/>
    <w:multiLevelType w:val="multilevel"/>
    <w:tmpl w:val="0184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5"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6"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27"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7833AF0"/>
    <w:multiLevelType w:val="hybridMultilevel"/>
    <w:tmpl w:val="9534607A"/>
    <w:lvl w:ilvl="0" w:tplc="94AC0DD4">
      <w:start w:val="1"/>
      <w:numFmt w:val="decimal"/>
      <w:lvlText w:val="%1)"/>
      <w:lvlJc w:val="left"/>
      <w:pPr>
        <w:ind w:left="720" w:hanging="360"/>
      </w:pPr>
    </w:lvl>
    <w:lvl w:ilvl="1" w:tplc="F28A27D4">
      <w:start w:val="1"/>
      <w:numFmt w:val="decimal"/>
      <w:lvlText w:val="%2)"/>
      <w:lvlJc w:val="left"/>
      <w:pPr>
        <w:ind w:left="720" w:hanging="360"/>
      </w:pPr>
    </w:lvl>
    <w:lvl w:ilvl="2" w:tplc="6AC215C2">
      <w:start w:val="1"/>
      <w:numFmt w:val="decimal"/>
      <w:lvlText w:val="%3)"/>
      <w:lvlJc w:val="left"/>
      <w:pPr>
        <w:ind w:left="720" w:hanging="360"/>
      </w:pPr>
    </w:lvl>
    <w:lvl w:ilvl="3" w:tplc="29006C46">
      <w:start w:val="1"/>
      <w:numFmt w:val="decimal"/>
      <w:lvlText w:val="%4)"/>
      <w:lvlJc w:val="left"/>
      <w:pPr>
        <w:ind w:left="720" w:hanging="360"/>
      </w:pPr>
    </w:lvl>
    <w:lvl w:ilvl="4" w:tplc="5B74F18E">
      <w:start w:val="1"/>
      <w:numFmt w:val="decimal"/>
      <w:lvlText w:val="%5)"/>
      <w:lvlJc w:val="left"/>
      <w:pPr>
        <w:ind w:left="720" w:hanging="360"/>
      </w:pPr>
    </w:lvl>
    <w:lvl w:ilvl="5" w:tplc="5A9C8408">
      <w:start w:val="1"/>
      <w:numFmt w:val="decimal"/>
      <w:lvlText w:val="%6)"/>
      <w:lvlJc w:val="left"/>
      <w:pPr>
        <w:ind w:left="720" w:hanging="360"/>
      </w:pPr>
    </w:lvl>
    <w:lvl w:ilvl="6" w:tplc="B13CE422">
      <w:start w:val="1"/>
      <w:numFmt w:val="decimal"/>
      <w:lvlText w:val="%7)"/>
      <w:lvlJc w:val="left"/>
      <w:pPr>
        <w:ind w:left="720" w:hanging="360"/>
      </w:pPr>
    </w:lvl>
    <w:lvl w:ilvl="7" w:tplc="862E046A">
      <w:start w:val="1"/>
      <w:numFmt w:val="decimal"/>
      <w:lvlText w:val="%8)"/>
      <w:lvlJc w:val="left"/>
      <w:pPr>
        <w:ind w:left="720" w:hanging="360"/>
      </w:pPr>
    </w:lvl>
    <w:lvl w:ilvl="8" w:tplc="B8229AB4">
      <w:start w:val="1"/>
      <w:numFmt w:val="decimal"/>
      <w:lvlText w:val="%9)"/>
      <w:lvlJc w:val="left"/>
      <w:pPr>
        <w:ind w:left="720" w:hanging="360"/>
      </w:pPr>
    </w:lvl>
  </w:abstractNum>
  <w:num w:numId="1" w16cid:durableId="2135635180">
    <w:abstractNumId w:val="5"/>
  </w:num>
  <w:num w:numId="2" w16cid:durableId="387923486">
    <w:abstractNumId w:val="2"/>
  </w:num>
  <w:num w:numId="3" w16cid:durableId="1705712907">
    <w:abstractNumId w:val="16"/>
  </w:num>
  <w:num w:numId="4" w16cid:durableId="2025135039">
    <w:abstractNumId w:val="15"/>
  </w:num>
  <w:num w:numId="5" w16cid:durableId="580794723">
    <w:abstractNumId w:val="27"/>
  </w:num>
  <w:num w:numId="6" w16cid:durableId="639068601">
    <w:abstractNumId w:val="18"/>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6"/>
  </w:num>
  <w:num w:numId="12" w16cid:durableId="1174340146">
    <w:abstractNumId w:val="9"/>
  </w:num>
  <w:num w:numId="13" w16cid:durableId="159004624">
    <w:abstractNumId w:val="25"/>
  </w:num>
  <w:num w:numId="14" w16cid:durableId="91972502">
    <w:abstractNumId w:val="24"/>
  </w:num>
  <w:num w:numId="15" w16cid:durableId="2116359737">
    <w:abstractNumId w:val="12"/>
  </w:num>
  <w:num w:numId="16" w16cid:durableId="1826043905">
    <w:abstractNumId w:val="17"/>
  </w:num>
  <w:num w:numId="17" w16cid:durableId="2117095775">
    <w:abstractNumId w:val="11"/>
  </w:num>
  <w:num w:numId="18" w16cid:durableId="28721247">
    <w:abstractNumId w:val="13"/>
  </w:num>
  <w:num w:numId="19" w16cid:durableId="1820920233">
    <w:abstractNumId w:val="20"/>
  </w:num>
  <w:num w:numId="20" w16cid:durableId="59211129">
    <w:abstractNumId w:val="26"/>
  </w:num>
  <w:num w:numId="21" w16cid:durableId="218981434">
    <w:abstractNumId w:val="22"/>
  </w:num>
  <w:num w:numId="22" w16cid:durableId="1312370830">
    <w:abstractNumId w:val="28"/>
  </w:num>
  <w:num w:numId="23" w16cid:durableId="650446511">
    <w:abstractNumId w:val="7"/>
  </w:num>
  <w:num w:numId="24" w16cid:durableId="1564174036">
    <w:abstractNumId w:val="10"/>
  </w:num>
  <w:num w:numId="25" w16cid:durableId="884751499">
    <w:abstractNumId w:val="21"/>
  </w:num>
  <w:num w:numId="26" w16cid:durableId="746925133">
    <w:abstractNumId w:val="8"/>
  </w:num>
  <w:num w:numId="27" w16cid:durableId="1669284035">
    <w:abstractNumId w:val="14"/>
  </w:num>
  <w:num w:numId="28" w16cid:durableId="138769826">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730"/>
    <w:rsid w:val="00005303"/>
    <w:rsid w:val="0000567F"/>
    <w:rsid w:val="00005796"/>
    <w:rsid w:val="00007031"/>
    <w:rsid w:val="00011B0A"/>
    <w:rsid w:val="00012A6F"/>
    <w:rsid w:val="000139BC"/>
    <w:rsid w:val="000144E9"/>
    <w:rsid w:val="00015702"/>
    <w:rsid w:val="000157D2"/>
    <w:rsid w:val="000158D5"/>
    <w:rsid w:val="000163E0"/>
    <w:rsid w:val="00016970"/>
    <w:rsid w:val="0001766E"/>
    <w:rsid w:val="00020949"/>
    <w:rsid w:val="00020DBC"/>
    <w:rsid w:val="00022579"/>
    <w:rsid w:val="00022D23"/>
    <w:rsid w:val="00023274"/>
    <w:rsid w:val="00023F39"/>
    <w:rsid w:val="000243B8"/>
    <w:rsid w:val="00024D2C"/>
    <w:rsid w:val="00027303"/>
    <w:rsid w:val="00030250"/>
    <w:rsid w:val="00030D05"/>
    <w:rsid w:val="0003139A"/>
    <w:rsid w:val="0003173A"/>
    <w:rsid w:val="00031F5D"/>
    <w:rsid w:val="0003297A"/>
    <w:rsid w:val="00033DAA"/>
    <w:rsid w:val="000359B7"/>
    <w:rsid w:val="00036276"/>
    <w:rsid w:val="000364E3"/>
    <w:rsid w:val="00036ABD"/>
    <w:rsid w:val="00041899"/>
    <w:rsid w:val="0004233E"/>
    <w:rsid w:val="00045F2C"/>
    <w:rsid w:val="0004726B"/>
    <w:rsid w:val="00050057"/>
    <w:rsid w:val="00050B0F"/>
    <w:rsid w:val="0005363D"/>
    <w:rsid w:val="000537D2"/>
    <w:rsid w:val="00053F18"/>
    <w:rsid w:val="000556E5"/>
    <w:rsid w:val="00056094"/>
    <w:rsid w:val="0005776B"/>
    <w:rsid w:val="0005782B"/>
    <w:rsid w:val="00057F94"/>
    <w:rsid w:val="00061422"/>
    <w:rsid w:val="00062EC2"/>
    <w:rsid w:val="00064272"/>
    <w:rsid w:val="0006445F"/>
    <w:rsid w:val="000652F7"/>
    <w:rsid w:val="0006538C"/>
    <w:rsid w:val="00065862"/>
    <w:rsid w:val="000663FA"/>
    <w:rsid w:val="00066A8B"/>
    <w:rsid w:val="00067457"/>
    <w:rsid w:val="00070695"/>
    <w:rsid w:val="000715A0"/>
    <w:rsid w:val="00073DD3"/>
    <w:rsid w:val="000741FA"/>
    <w:rsid w:val="0007700D"/>
    <w:rsid w:val="0008106E"/>
    <w:rsid w:val="000818FF"/>
    <w:rsid w:val="00082023"/>
    <w:rsid w:val="00082797"/>
    <w:rsid w:val="00083354"/>
    <w:rsid w:val="000840C5"/>
    <w:rsid w:val="00084E95"/>
    <w:rsid w:val="0008533E"/>
    <w:rsid w:val="00086A8C"/>
    <w:rsid w:val="000879DD"/>
    <w:rsid w:val="0009153B"/>
    <w:rsid w:val="00093D2D"/>
    <w:rsid w:val="000941FF"/>
    <w:rsid w:val="00094484"/>
    <w:rsid w:val="00094B0C"/>
    <w:rsid w:val="00095E83"/>
    <w:rsid w:val="0009611E"/>
    <w:rsid w:val="000965A7"/>
    <w:rsid w:val="00096CF0"/>
    <w:rsid w:val="00097250"/>
    <w:rsid w:val="00097A5D"/>
    <w:rsid w:val="000A14DC"/>
    <w:rsid w:val="000A2D0C"/>
    <w:rsid w:val="000A34B1"/>
    <w:rsid w:val="000A5396"/>
    <w:rsid w:val="000A54F6"/>
    <w:rsid w:val="000A5E31"/>
    <w:rsid w:val="000A6A13"/>
    <w:rsid w:val="000B0F4B"/>
    <w:rsid w:val="000B10E6"/>
    <w:rsid w:val="000B1364"/>
    <w:rsid w:val="000B28E6"/>
    <w:rsid w:val="000B4E06"/>
    <w:rsid w:val="000B6940"/>
    <w:rsid w:val="000B73C5"/>
    <w:rsid w:val="000C014C"/>
    <w:rsid w:val="000C0D5A"/>
    <w:rsid w:val="000C10F5"/>
    <w:rsid w:val="000C27AF"/>
    <w:rsid w:val="000C2AC6"/>
    <w:rsid w:val="000C334B"/>
    <w:rsid w:val="000C3C1D"/>
    <w:rsid w:val="000C3CC6"/>
    <w:rsid w:val="000C6D3B"/>
    <w:rsid w:val="000C7533"/>
    <w:rsid w:val="000D13AF"/>
    <w:rsid w:val="000D29D1"/>
    <w:rsid w:val="000D3075"/>
    <w:rsid w:val="000D58A3"/>
    <w:rsid w:val="000D6880"/>
    <w:rsid w:val="000D749C"/>
    <w:rsid w:val="000D7939"/>
    <w:rsid w:val="000E290E"/>
    <w:rsid w:val="000E4587"/>
    <w:rsid w:val="000E67AA"/>
    <w:rsid w:val="000F0027"/>
    <w:rsid w:val="000F22FF"/>
    <w:rsid w:val="000F2C08"/>
    <w:rsid w:val="000F4ABC"/>
    <w:rsid w:val="000F4FA0"/>
    <w:rsid w:val="000F5328"/>
    <w:rsid w:val="000F55B9"/>
    <w:rsid w:val="000F66C9"/>
    <w:rsid w:val="000F7B9E"/>
    <w:rsid w:val="00100471"/>
    <w:rsid w:val="00100DB1"/>
    <w:rsid w:val="00100F5E"/>
    <w:rsid w:val="00101CCE"/>
    <w:rsid w:val="0010315A"/>
    <w:rsid w:val="00103630"/>
    <w:rsid w:val="0010409E"/>
    <w:rsid w:val="00105D90"/>
    <w:rsid w:val="00106769"/>
    <w:rsid w:val="00110478"/>
    <w:rsid w:val="00111E5B"/>
    <w:rsid w:val="0011252D"/>
    <w:rsid w:val="00112827"/>
    <w:rsid w:val="00112D1B"/>
    <w:rsid w:val="00112D5C"/>
    <w:rsid w:val="00113896"/>
    <w:rsid w:val="00115CA4"/>
    <w:rsid w:val="001168FE"/>
    <w:rsid w:val="00117B56"/>
    <w:rsid w:val="0012093B"/>
    <w:rsid w:val="00120F18"/>
    <w:rsid w:val="0012456A"/>
    <w:rsid w:val="00125336"/>
    <w:rsid w:val="0012619B"/>
    <w:rsid w:val="0012660E"/>
    <w:rsid w:val="0012697D"/>
    <w:rsid w:val="00126E75"/>
    <w:rsid w:val="0012700E"/>
    <w:rsid w:val="00127AF4"/>
    <w:rsid w:val="00130B8C"/>
    <w:rsid w:val="001313A0"/>
    <w:rsid w:val="001314C2"/>
    <w:rsid w:val="001315BF"/>
    <w:rsid w:val="00132860"/>
    <w:rsid w:val="00133853"/>
    <w:rsid w:val="00133F7D"/>
    <w:rsid w:val="001343B0"/>
    <w:rsid w:val="00134992"/>
    <w:rsid w:val="00135211"/>
    <w:rsid w:val="001352A2"/>
    <w:rsid w:val="001354EB"/>
    <w:rsid w:val="00135C9C"/>
    <w:rsid w:val="00135D79"/>
    <w:rsid w:val="00136AA6"/>
    <w:rsid w:val="00136BEA"/>
    <w:rsid w:val="00136C29"/>
    <w:rsid w:val="00137944"/>
    <w:rsid w:val="00137A22"/>
    <w:rsid w:val="001408A2"/>
    <w:rsid w:val="001418E4"/>
    <w:rsid w:val="0014212F"/>
    <w:rsid w:val="00142136"/>
    <w:rsid w:val="001430F2"/>
    <w:rsid w:val="00143D54"/>
    <w:rsid w:val="00144B71"/>
    <w:rsid w:val="00144DAD"/>
    <w:rsid w:val="001453AD"/>
    <w:rsid w:val="00145502"/>
    <w:rsid w:val="00145561"/>
    <w:rsid w:val="0014571E"/>
    <w:rsid w:val="00146125"/>
    <w:rsid w:val="00150531"/>
    <w:rsid w:val="0015250C"/>
    <w:rsid w:val="001535D0"/>
    <w:rsid w:val="00156EA5"/>
    <w:rsid w:val="001600DD"/>
    <w:rsid w:val="001602A3"/>
    <w:rsid w:val="00160952"/>
    <w:rsid w:val="00160B1D"/>
    <w:rsid w:val="0016164F"/>
    <w:rsid w:val="001617D1"/>
    <w:rsid w:val="00163714"/>
    <w:rsid w:val="00164CB2"/>
    <w:rsid w:val="001657EF"/>
    <w:rsid w:val="00166D71"/>
    <w:rsid w:val="00170392"/>
    <w:rsid w:val="00171125"/>
    <w:rsid w:val="0017116A"/>
    <w:rsid w:val="001750DB"/>
    <w:rsid w:val="001751D3"/>
    <w:rsid w:val="001762BB"/>
    <w:rsid w:val="00177077"/>
    <w:rsid w:val="00177380"/>
    <w:rsid w:val="00177C13"/>
    <w:rsid w:val="00177DEA"/>
    <w:rsid w:val="0018100D"/>
    <w:rsid w:val="001817F9"/>
    <w:rsid w:val="00181FBC"/>
    <w:rsid w:val="0018305D"/>
    <w:rsid w:val="001855B4"/>
    <w:rsid w:val="00186090"/>
    <w:rsid w:val="00186254"/>
    <w:rsid w:val="00186702"/>
    <w:rsid w:val="00186D81"/>
    <w:rsid w:val="001872D2"/>
    <w:rsid w:val="0018772B"/>
    <w:rsid w:val="00190CDA"/>
    <w:rsid w:val="001920F8"/>
    <w:rsid w:val="0019259D"/>
    <w:rsid w:val="001928BC"/>
    <w:rsid w:val="00193189"/>
    <w:rsid w:val="001937F2"/>
    <w:rsid w:val="00193855"/>
    <w:rsid w:val="00193A2F"/>
    <w:rsid w:val="00196AB1"/>
    <w:rsid w:val="00196E20"/>
    <w:rsid w:val="001A11B6"/>
    <w:rsid w:val="001A1417"/>
    <w:rsid w:val="001A1887"/>
    <w:rsid w:val="001A19B4"/>
    <w:rsid w:val="001A1F61"/>
    <w:rsid w:val="001A52C9"/>
    <w:rsid w:val="001A52DD"/>
    <w:rsid w:val="001A59AA"/>
    <w:rsid w:val="001A63FE"/>
    <w:rsid w:val="001A793E"/>
    <w:rsid w:val="001A7FA4"/>
    <w:rsid w:val="001B017C"/>
    <w:rsid w:val="001B143D"/>
    <w:rsid w:val="001B17F0"/>
    <w:rsid w:val="001B2947"/>
    <w:rsid w:val="001B304F"/>
    <w:rsid w:val="001B31D4"/>
    <w:rsid w:val="001B3398"/>
    <w:rsid w:val="001B3802"/>
    <w:rsid w:val="001B3A3B"/>
    <w:rsid w:val="001B4846"/>
    <w:rsid w:val="001B4FB9"/>
    <w:rsid w:val="001B5C2B"/>
    <w:rsid w:val="001B795D"/>
    <w:rsid w:val="001C0082"/>
    <w:rsid w:val="001C07AF"/>
    <w:rsid w:val="001C08C1"/>
    <w:rsid w:val="001C2925"/>
    <w:rsid w:val="001C2BC0"/>
    <w:rsid w:val="001C3001"/>
    <w:rsid w:val="001C3018"/>
    <w:rsid w:val="001C5F36"/>
    <w:rsid w:val="001C60EF"/>
    <w:rsid w:val="001C6706"/>
    <w:rsid w:val="001C6D2B"/>
    <w:rsid w:val="001C7BEF"/>
    <w:rsid w:val="001C7D04"/>
    <w:rsid w:val="001D00AE"/>
    <w:rsid w:val="001D0498"/>
    <w:rsid w:val="001D1299"/>
    <w:rsid w:val="001D1452"/>
    <w:rsid w:val="001D150B"/>
    <w:rsid w:val="001D1850"/>
    <w:rsid w:val="001D1963"/>
    <w:rsid w:val="001D22AC"/>
    <w:rsid w:val="001D33BC"/>
    <w:rsid w:val="001D350E"/>
    <w:rsid w:val="001D41F2"/>
    <w:rsid w:val="001D4967"/>
    <w:rsid w:val="001D499A"/>
    <w:rsid w:val="001D58FE"/>
    <w:rsid w:val="001D6365"/>
    <w:rsid w:val="001D6CF4"/>
    <w:rsid w:val="001D77F6"/>
    <w:rsid w:val="001D798B"/>
    <w:rsid w:val="001E029A"/>
    <w:rsid w:val="001E1717"/>
    <w:rsid w:val="001E1DB1"/>
    <w:rsid w:val="001E1FC4"/>
    <w:rsid w:val="001E270E"/>
    <w:rsid w:val="001E3048"/>
    <w:rsid w:val="001E4F99"/>
    <w:rsid w:val="001E562D"/>
    <w:rsid w:val="001E75F0"/>
    <w:rsid w:val="001F013F"/>
    <w:rsid w:val="001F0526"/>
    <w:rsid w:val="001F0B71"/>
    <w:rsid w:val="001F142A"/>
    <w:rsid w:val="001F1634"/>
    <w:rsid w:val="001F1BFB"/>
    <w:rsid w:val="001F32CB"/>
    <w:rsid w:val="001F3443"/>
    <w:rsid w:val="001F34A3"/>
    <w:rsid w:val="001F3E66"/>
    <w:rsid w:val="001F4214"/>
    <w:rsid w:val="001F55AE"/>
    <w:rsid w:val="001F5E46"/>
    <w:rsid w:val="001F6256"/>
    <w:rsid w:val="001F6D8F"/>
    <w:rsid w:val="001F76C4"/>
    <w:rsid w:val="00200613"/>
    <w:rsid w:val="00201C88"/>
    <w:rsid w:val="00201FD5"/>
    <w:rsid w:val="002024D6"/>
    <w:rsid w:val="00202D00"/>
    <w:rsid w:val="00203182"/>
    <w:rsid w:val="00203A4A"/>
    <w:rsid w:val="00204146"/>
    <w:rsid w:val="002061D3"/>
    <w:rsid w:val="002063A4"/>
    <w:rsid w:val="002122AA"/>
    <w:rsid w:val="00212C80"/>
    <w:rsid w:val="00213173"/>
    <w:rsid w:val="00213392"/>
    <w:rsid w:val="002134B0"/>
    <w:rsid w:val="00213816"/>
    <w:rsid w:val="00214171"/>
    <w:rsid w:val="002147C0"/>
    <w:rsid w:val="0021591F"/>
    <w:rsid w:val="00215A8B"/>
    <w:rsid w:val="00215FCC"/>
    <w:rsid w:val="00216F12"/>
    <w:rsid w:val="00220286"/>
    <w:rsid w:val="00221B56"/>
    <w:rsid w:val="002222DB"/>
    <w:rsid w:val="0022472C"/>
    <w:rsid w:val="002247D7"/>
    <w:rsid w:val="002253D6"/>
    <w:rsid w:val="00226F2C"/>
    <w:rsid w:val="00230683"/>
    <w:rsid w:val="00230A71"/>
    <w:rsid w:val="00230B38"/>
    <w:rsid w:val="00231993"/>
    <w:rsid w:val="00231DE0"/>
    <w:rsid w:val="00232084"/>
    <w:rsid w:val="00232719"/>
    <w:rsid w:val="002327F1"/>
    <w:rsid w:val="002340CC"/>
    <w:rsid w:val="00236C97"/>
    <w:rsid w:val="0023749B"/>
    <w:rsid w:val="00240214"/>
    <w:rsid w:val="002402D4"/>
    <w:rsid w:val="00240661"/>
    <w:rsid w:val="00241364"/>
    <w:rsid w:val="002423EB"/>
    <w:rsid w:val="0024247B"/>
    <w:rsid w:val="00242515"/>
    <w:rsid w:val="00244809"/>
    <w:rsid w:val="00245043"/>
    <w:rsid w:val="00245060"/>
    <w:rsid w:val="00245426"/>
    <w:rsid w:val="002463C6"/>
    <w:rsid w:val="00247AB2"/>
    <w:rsid w:val="0025027C"/>
    <w:rsid w:val="00251A3E"/>
    <w:rsid w:val="0025293F"/>
    <w:rsid w:val="00252C7F"/>
    <w:rsid w:val="00253171"/>
    <w:rsid w:val="00253DCB"/>
    <w:rsid w:val="00254EC8"/>
    <w:rsid w:val="00255930"/>
    <w:rsid w:val="00255F89"/>
    <w:rsid w:val="00256FC2"/>
    <w:rsid w:val="00257B6D"/>
    <w:rsid w:val="002603F2"/>
    <w:rsid w:val="0026089E"/>
    <w:rsid w:val="002609AD"/>
    <w:rsid w:val="00262657"/>
    <w:rsid w:val="0026315A"/>
    <w:rsid w:val="00263874"/>
    <w:rsid w:val="00263F55"/>
    <w:rsid w:val="00266969"/>
    <w:rsid w:val="00267056"/>
    <w:rsid w:val="002673BB"/>
    <w:rsid w:val="00270177"/>
    <w:rsid w:val="00270B61"/>
    <w:rsid w:val="00270E14"/>
    <w:rsid w:val="002725AA"/>
    <w:rsid w:val="00272D18"/>
    <w:rsid w:val="002740A7"/>
    <w:rsid w:val="002741BD"/>
    <w:rsid w:val="00274722"/>
    <w:rsid w:val="002762F6"/>
    <w:rsid w:val="0027656E"/>
    <w:rsid w:val="002770A0"/>
    <w:rsid w:val="00277FF1"/>
    <w:rsid w:val="0028145A"/>
    <w:rsid w:val="002815C8"/>
    <w:rsid w:val="002819C8"/>
    <w:rsid w:val="00281B19"/>
    <w:rsid w:val="00281C9D"/>
    <w:rsid w:val="00283697"/>
    <w:rsid w:val="00284C82"/>
    <w:rsid w:val="0029038D"/>
    <w:rsid w:val="00290872"/>
    <w:rsid w:val="00291461"/>
    <w:rsid w:val="00292670"/>
    <w:rsid w:val="00292783"/>
    <w:rsid w:val="00292A59"/>
    <w:rsid w:val="00292BCA"/>
    <w:rsid w:val="00293875"/>
    <w:rsid w:val="00293C45"/>
    <w:rsid w:val="00295FA7"/>
    <w:rsid w:val="00296132"/>
    <w:rsid w:val="0029697A"/>
    <w:rsid w:val="002A127F"/>
    <w:rsid w:val="002A1FA4"/>
    <w:rsid w:val="002A2F4D"/>
    <w:rsid w:val="002A4548"/>
    <w:rsid w:val="002A4F3E"/>
    <w:rsid w:val="002A5497"/>
    <w:rsid w:val="002A7CB9"/>
    <w:rsid w:val="002B1CCC"/>
    <w:rsid w:val="002B1D7D"/>
    <w:rsid w:val="002B26BA"/>
    <w:rsid w:val="002B2F8D"/>
    <w:rsid w:val="002B32C9"/>
    <w:rsid w:val="002B42F5"/>
    <w:rsid w:val="002B4677"/>
    <w:rsid w:val="002B5A8F"/>
    <w:rsid w:val="002B6CFB"/>
    <w:rsid w:val="002C07DC"/>
    <w:rsid w:val="002C1830"/>
    <w:rsid w:val="002C3551"/>
    <w:rsid w:val="002C407D"/>
    <w:rsid w:val="002C40AE"/>
    <w:rsid w:val="002C45DC"/>
    <w:rsid w:val="002C4904"/>
    <w:rsid w:val="002C4B35"/>
    <w:rsid w:val="002C5124"/>
    <w:rsid w:val="002C5B28"/>
    <w:rsid w:val="002C5ED4"/>
    <w:rsid w:val="002C646C"/>
    <w:rsid w:val="002C66D1"/>
    <w:rsid w:val="002C69BC"/>
    <w:rsid w:val="002C7295"/>
    <w:rsid w:val="002C72E0"/>
    <w:rsid w:val="002C77CB"/>
    <w:rsid w:val="002C78EC"/>
    <w:rsid w:val="002C7E48"/>
    <w:rsid w:val="002D0143"/>
    <w:rsid w:val="002D1696"/>
    <w:rsid w:val="002D1969"/>
    <w:rsid w:val="002D1F63"/>
    <w:rsid w:val="002D45C8"/>
    <w:rsid w:val="002D51B3"/>
    <w:rsid w:val="002D6882"/>
    <w:rsid w:val="002D6FD9"/>
    <w:rsid w:val="002D704C"/>
    <w:rsid w:val="002D79E6"/>
    <w:rsid w:val="002E0CAD"/>
    <w:rsid w:val="002E11FC"/>
    <w:rsid w:val="002E26C2"/>
    <w:rsid w:val="002E42F7"/>
    <w:rsid w:val="002E543B"/>
    <w:rsid w:val="002E5AC9"/>
    <w:rsid w:val="002E69BE"/>
    <w:rsid w:val="002E6EF9"/>
    <w:rsid w:val="002E72EA"/>
    <w:rsid w:val="002E7392"/>
    <w:rsid w:val="002F12BA"/>
    <w:rsid w:val="002F29C6"/>
    <w:rsid w:val="002F3B02"/>
    <w:rsid w:val="002F65B3"/>
    <w:rsid w:val="003013D2"/>
    <w:rsid w:val="00301623"/>
    <w:rsid w:val="00302616"/>
    <w:rsid w:val="00302A12"/>
    <w:rsid w:val="0030585F"/>
    <w:rsid w:val="00306118"/>
    <w:rsid w:val="00311C82"/>
    <w:rsid w:val="003128C1"/>
    <w:rsid w:val="00312994"/>
    <w:rsid w:val="003130BF"/>
    <w:rsid w:val="003130C2"/>
    <w:rsid w:val="00313DF2"/>
    <w:rsid w:val="00314B29"/>
    <w:rsid w:val="00315C27"/>
    <w:rsid w:val="003163CC"/>
    <w:rsid w:val="00316CE6"/>
    <w:rsid w:val="00317123"/>
    <w:rsid w:val="00320337"/>
    <w:rsid w:val="00322E6A"/>
    <w:rsid w:val="00322F16"/>
    <w:rsid w:val="00323122"/>
    <w:rsid w:val="00323654"/>
    <w:rsid w:val="0032404B"/>
    <w:rsid w:val="00327242"/>
    <w:rsid w:val="00327DD0"/>
    <w:rsid w:val="0033096D"/>
    <w:rsid w:val="00330DC8"/>
    <w:rsid w:val="003337F8"/>
    <w:rsid w:val="003338AE"/>
    <w:rsid w:val="003343E8"/>
    <w:rsid w:val="0033458C"/>
    <w:rsid w:val="0033460F"/>
    <w:rsid w:val="00336BAB"/>
    <w:rsid w:val="0033783B"/>
    <w:rsid w:val="003404F0"/>
    <w:rsid w:val="003417E2"/>
    <w:rsid w:val="00342A65"/>
    <w:rsid w:val="00342FC4"/>
    <w:rsid w:val="00343248"/>
    <w:rsid w:val="00344831"/>
    <w:rsid w:val="00344A00"/>
    <w:rsid w:val="003466CC"/>
    <w:rsid w:val="00346CA3"/>
    <w:rsid w:val="00347538"/>
    <w:rsid w:val="00347F07"/>
    <w:rsid w:val="00350CF9"/>
    <w:rsid w:val="003516E8"/>
    <w:rsid w:val="003540CF"/>
    <w:rsid w:val="00355438"/>
    <w:rsid w:val="00355B06"/>
    <w:rsid w:val="00357198"/>
    <w:rsid w:val="003574B0"/>
    <w:rsid w:val="003608F6"/>
    <w:rsid w:val="00361A59"/>
    <w:rsid w:val="00361FDB"/>
    <w:rsid w:val="00362B55"/>
    <w:rsid w:val="003636AD"/>
    <w:rsid w:val="00364376"/>
    <w:rsid w:val="00364FD7"/>
    <w:rsid w:val="00365491"/>
    <w:rsid w:val="003657A5"/>
    <w:rsid w:val="00366F72"/>
    <w:rsid w:val="003723EF"/>
    <w:rsid w:val="003727C7"/>
    <w:rsid w:val="003732CF"/>
    <w:rsid w:val="0037348D"/>
    <w:rsid w:val="003742A0"/>
    <w:rsid w:val="00374FE5"/>
    <w:rsid w:val="003760C4"/>
    <w:rsid w:val="003761C6"/>
    <w:rsid w:val="0037743B"/>
    <w:rsid w:val="003774B9"/>
    <w:rsid w:val="0037784E"/>
    <w:rsid w:val="003824E2"/>
    <w:rsid w:val="0038337F"/>
    <w:rsid w:val="00383735"/>
    <w:rsid w:val="00385737"/>
    <w:rsid w:val="00387B7C"/>
    <w:rsid w:val="00387DEF"/>
    <w:rsid w:val="0039114F"/>
    <w:rsid w:val="003934D8"/>
    <w:rsid w:val="003940A9"/>
    <w:rsid w:val="003964DC"/>
    <w:rsid w:val="003964F2"/>
    <w:rsid w:val="003966E5"/>
    <w:rsid w:val="003A03B9"/>
    <w:rsid w:val="003A1A4F"/>
    <w:rsid w:val="003A2FB5"/>
    <w:rsid w:val="003A5137"/>
    <w:rsid w:val="003A5ACA"/>
    <w:rsid w:val="003A7385"/>
    <w:rsid w:val="003A79BB"/>
    <w:rsid w:val="003A7AA8"/>
    <w:rsid w:val="003B0619"/>
    <w:rsid w:val="003B18BF"/>
    <w:rsid w:val="003B27F3"/>
    <w:rsid w:val="003B31A5"/>
    <w:rsid w:val="003B36BF"/>
    <w:rsid w:val="003B388A"/>
    <w:rsid w:val="003B432C"/>
    <w:rsid w:val="003B6C9A"/>
    <w:rsid w:val="003B7688"/>
    <w:rsid w:val="003B7F2B"/>
    <w:rsid w:val="003C0E10"/>
    <w:rsid w:val="003C10A6"/>
    <w:rsid w:val="003C11A1"/>
    <w:rsid w:val="003C2E04"/>
    <w:rsid w:val="003C3DA6"/>
    <w:rsid w:val="003C43E3"/>
    <w:rsid w:val="003C5BE7"/>
    <w:rsid w:val="003D08F2"/>
    <w:rsid w:val="003D1681"/>
    <w:rsid w:val="003D2760"/>
    <w:rsid w:val="003D2814"/>
    <w:rsid w:val="003D2F13"/>
    <w:rsid w:val="003D3C07"/>
    <w:rsid w:val="003D4537"/>
    <w:rsid w:val="003D46CB"/>
    <w:rsid w:val="003D499C"/>
    <w:rsid w:val="003D50EF"/>
    <w:rsid w:val="003D77AD"/>
    <w:rsid w:val="003E04ED"/>
    <w:rsid w:val="003E0580"/>
    <w:rsid w:val="003E1070"/>
    <w:rsid w:val="003E170C"/>
    <w:rsid w:val="003E2A5E"/>
    <w:rsid w:val="003E2E04"/>
    <w:rsid w:val="003E3547"/>
    <w:rsid w:val="003E3DFD"/>
    <w:rsid w:val="003E44DC"/>
    <w:rsid w:val="003E4FE3"/>
    <w:rsid w:val="003E5168"/>
    <w:rsid w:val="003E5C28"/>
    <w:rsid w:val="003E5E12"/>
    <w:rsid w:val="003E60AF"/>
    <w:rsid w:val="003E6143"/>
    <w:rsid w:val="003E6981"/>
    <w:rsid w:val="003F0B26"/>
    <w:rsid w:val="003F307A"/>
    <w:rsid w:val="003F3085"/>
    <w:rsid w:val="003F3736"/>
    <w:rsid w:val="003F405A"/>
    <w:rsid w:val="003F54D0"/>
    <w:rsid w:val="003F618A"/>
    <w:rsid w:val="003F68E6"/>
    <w:rsid w:val="003F6D88"/>
    <w:rsid w:val="003F7123"/>
    <w:rsid w:val="003F7459"/>
    <w:rsid w:val="003F7EA0"/>
    <w:rsid w:val="004006F8"/>
    <w:rsid w:val="00400934"/>
    <w:rsid w:val="00400AFF"/>
    <w:rsid w:val="00400C10"/>
    <w:rsid w:val="00401F02"/>
    <w:rsid w:val="004023A5"/>
    <w:rsid w:val="0040516C"/>
    <w:rsid w:val="00405611"/>
    <w:rsid w:val="0040621C"/>
    <w:rsid w:val="00407772"/>
    <w:rsid w:val="004134BE"/>
    <w:rsid w:val="0041372D"/>
    <w:rsid w:val="00413BDE"/>
    <w:rsid w:val="00413F22"/>
    <w:rsid w:val="00415158"/>
    <w:rsid w:val="00415998"/>
    <w:rsid w:val="0041646A"/>
    <w:rsid w:val="00417649"/>
    <w:rsid w:val="004217B6"/>
    <w:rsid w:val="00421F7F"/>
    <w:rsid w:val="00422DA1"/>
    <w:rsid w:val="00423BAA"/>
    <w:rsid w:val="0042403E"/>
    <w:rsid w:val="004252AD"/>
    <w:rsid w:val="00430027"/>
    <w:rsid w:val="00430B5B"/>
    <w:rsid w:val="0043135C"/>
    <w:rsid w:val="004314B6"/>
    <w:rsid w:val="00435C6E"/>
    <w:rsid w:val="00437546"/>
    <w:rsid w:val="0044100E"/>
    <w:rsid w:val="004433A6"/>
    <w:rsid w:val="00443BCF"/>
    <w:rsid w:val="004460FF"/>
    <w:rsid w:val="004511E7"/>
    <w:rsid w:val="0045162F"/>
    <w:rsid w:val="00451CD1"/>
    <w:rsid w:val="00452DF7"/>
    <w:rsid w:val="0045356C"/>
    <w:rsid w:val="0045457B"/>
    <w:rsid w:val="00454CD3"/>
    <w:rsid w:val="0045667E"/>
    <w:rsid w:val="00456B84"/>
    <w:rsid w:val="00456DAC"/>
    <w:rsid w:val="00457BB1"/>
    <w:rsid w:val="00457E79"/>
    <w:rsid w:val="004604EC"/>
    <w:rsid w:val="00460F70"/>
    <w:rsid w:val="00461235"/>
    <w:rsid w:val="00461E68"/>
    <w:rsid w:val="004634D4"/>
    <w:rsid w:val="00463B04"/>
    <w:rsid w:val="00463E15"/>
    <w:rsid w:val="004641BD"/>
    <w:rsid w:val="00464B40"/>
    <w:rsid w:val="0046543F"/>
    <w:rsid w:val="00465906"/>
    <w:rsid w:val="00465D8C"/>
    <w:rsid w:val="00467014"/>
    <w:rsid w:val="00470EEC"/>
    <w:rsid w:val="00472275"/>
    <w:rsid w:val="0047374E"/>
    <w:rsid w:val="00473BA7"/>
    <w:rsid w:val="00473ED8"/>
    <w:rsid w:val="0047442C"/>
    <w:rsid w:val="004745EA"/>
    <w:rsid w:val="00474E2D"/>
    <w:rsid w:val="00475126"/>
    <w:rsid w:val="004754AE"/>
    <w:rsid w:val="00475A0B"/>
    <w:rsid w:val="00475C76"/>
    <w:rsid w:val="004775A3"/>
    <w:rsid w:val="00477CC4"/>
    <w:rsid w:val="004802AE"/>
    <w:rsid w:val="0048053F"/>
    <w:rsid w:val="00480F13"/>
    <w:rsid w:val="00481540"/>
    <w:rsid w:val="00481A96"/>
    <w:rsid w:val="00481BEA"/>
    <w:rsid w:val="004824C8"/>
    <w:rsid w:val="00482A91"/>
    <w:rsid w:val="004831AA"/>
    <w:rsid w:val="004837CE"/>
    <w:rsid w:val="00485857"/>
    <w:rsid w:val="004862BD"/>
    <w:rsid w:val="004864E1"/>
    <w:rsid w:val="00486D5A"/>
    <w:rsid w:val="0048755A"/>
    <w:rsid w:val="004875EE"/>
    <w:rsid w:val="00490643"/>
    <w:rsid w:val="004908C7"/>
    <w:rsid w:val="0049120E"/>
    <w:rsid w:val="00491D33"/>
    <w:rsid w:val="00492B01"/>
    <w:rsid w:val="00493CF1"/>
    <w:rsid w:val="00493F74"/>
    <w:rsid w:val="00495508"/>
    <w:rsid w:val="004968DC"/>
    <w:rsid w:val="00497387"/>
    <w:rsid w:val="00497D17"/>
    <w:rsid w:val="004A019D"/>
    <w:rsid w:val="004A1D27"/>
    <w:rsid w:val="004A23EB"/>
    <w:rsid w:val="004A4299"/>
    <w:rsid w:val="004A438B"/>
    <w:rsid w:val="004A5995"/>
    <w:rsid w:val="004A7221"/>
    <w:rsid w:val="004A776D"/>
    <w:rsid w:val="004A7A11"/>
    <w:rsid w:val="004A7B05"/>
    <w:rsid w:val="004B1C2E"/>
    <w:rsid w:val="004B1D19"/>
    <w:rsid w:val="004B2B36"/>
    <w:rsid w:val="004B30FD"/>
    <w:rsid w:val="004B4326"/>
    <w:rsid w:val="004B509F"/>
    <w:rsid w:val="004B5928"/>
    <w:rsid w:val="004B609B"/>
    <w:rsid w:val="004B6720"/>
    <w:rsid w:val="004B77D4"/>
    <w:rsid w:val="004C1357"/>
    <w:rsid w:val="004C145D"/>
    <w:rsid w:val="004C172C"/>
    <w:rsid w:val="004C237F"/>
    <w:rsid w:val="004C255D"/>
    <w:rsid w:val="004C4813"/>
    <w:rsid w:val="004C4865"/>
    <w:rsid w:val="004C4C4B"/>
    <w:rsid w:val="004C4DCF"/>
    <w:rsid w:val="004C563A"/>
    <w:rsid w:val="004C5C85"/>
    <w:rsid w:val="004C6DA5"/>
    <w:rsid w:val="004C7160"/>
    <w:rsid w:val="004C720F"/>
    <w:rsid w:val="004D02B2"/>
    <w:rsid w:val="004D0300"/>
    <w:rsid w:val="004D04BC"/>
    <w:rsid w:val="004D09C6"/>
    <w:rsid w:val="004D1548"/>
    <w:rsid w:val="004D4675"/>
    <w:rsid w:val="004D487F"/>
    <w:rsid w:val="004D4A35"/>
    <w:rsid w:val="004D602E"/>
    <w:rsid w:val="004D65DF"/>
    <w:rsid w:val="004D7826"/>
    <w:rsid w:val="004E09E4"/>
    <w:rsid w:val="004E0F82"/>
    <w:rsid w:val="004E1B08"/>
    <w:rsid w:val="004E385F"/>
    <w:rsid w:val="004E43B0"/>
    <w:rsid w:val="004E4C77"/>
    <w:rsid w:val="004E4FA4"/>
    <w:rsid w:val="004E7828"/>
    <w:rsid w:val="004F2A79"/>
    <w:rsid w:val="004F5C53"/>
    <w:rsid w:val="004F6146"/>
    <w:rsid w:val="004F664B"/>
    <w:rsid w:val="004F66F3"/>
    <w:rsid w:val="004F6E2F"/>
    <w:rsid w:val="004F7D69"/>
    <w:rsid w:val="005006CA"/>
    <w:rsid w:val="005018A2"/>
    <w:rsid w:val="0050381D"/>
    <w:rsid w:val="00503E92"/>
    <w:rsid w:val="00504F1E"/>
    <w:rsid w:val="005056EB"/>
    <w:rsid w:val="00505900"/>
    <w:rsid w:val="005070A3"/>
    <w:rsid w:val="00507677"/>
    <w:rsid w:val="00507724"/>
    <w:rsid w:val="0050790B"/>
    <w:rsid w:val="005100A7"/>
    <w:rsid w:val="00511F94"/>
    <w:rsid w:val="00512091"/>
    <w:rsid w:val="00512B79"/>
    <w:rsid w:val="005137B7"/>
    <w:rsid w:val="005158F3"/>
    <w:rsid w:val="00516141"/>
    <w:rsid w:val="00517F7D"/>
    <w:rsid w:val="00521201"/>
    <w:rsid w:val="00521494"/>
    <w:rsid w:val="005217F3"/>
    <w:rsid w:val="0052193B"/>
    <w:rsid w:val="00526BED"/>
    <w:rsid w:val="00526E84"/>
    <w:rsid w:val="005307EB"/>
    <w:rsid w:val="0053188B"/>
    <w:rsid w:val="00531E50"/>
    <w:rsid w:val="00532594"/>
    <w:rsid w:val="0053280E"/>
    <w:rsid w:val="00533195"/>
    <w:rsid w:val="00534916"/>
    <w:rsid w:val="005354C0"/>
    <w:rsid w:val="00535AD0"/>
    <w:rsid w:val="00536BBE"/>
    <w:rsid w:val="00537728"/>
    <w:rsid w:val="00542152"/>
    <w:rsid w:val="00542F08"/>
    <w:rsid w:val="0054315A"/>
    <w:rsid w:val="0054374D"/>
    <w:rsid w:val="005440C0"/>
    <w:rsid w:val="00544719"/>
    <w:rsid w:val="00544CD3"/>
    <w:rsid w:val="005453AF"/>
    <w:rsid w:val="0055004B"/>
    <w:rsid w:val="00550A23"/>
    <w:rsid w:val="00550FEA"/>
    <w:rsid w:val="005522BE"/>
    <w:rsid w:val="005522CA"/>
    <w:rsid w:val="00553114"/>
    <w:rsid w:val="00555AFC"/>
    <w:rsid w:val="0055609F"/>
    <w:rsid w:val="00556327"/>
    <w:rsid w:val="00556737"/>
    <w:rsid w:val="00556CD9"/>
    <w:rsid w:val="00556EBF"/>
    <w:rsid w:val="005601AF"/>
    <w:rsid w:val="0056068A"/>
    <w:rsid w:val="00560DBB"/>
    <w:rsid w:val="0056313A"/>
    <w:rsid w:val="00564C9C"/>
    <w:rsid w:val="00566185"/>
    <w:rsid w:val="00566993"/>
    <w:rsid w:val="00566B7C"/>
    <w:rsid w:val="0057050D"/>
    <w:rsid w:val="00570BCD"/>
    <w:rsid w:val="00572E76"/>
    <w:rsid w:val="005737F7"/>
    <w:rsid w:val="005756F4"/>
    <w:rsid w:val="00575E44"/>
    <w:rsid w:val="0057675F"/>
    <w:rsid w:val="005769FD"/>
    <w:rsid w:val="00577A3F"/>
    <w:rsid w:val="00582989"/>
    <w:rsid w:val="005848E2"/>
    <w:rsid w:val="00584C84"/>
    <w:rsid w:val="00584F78"/>
    <w:rsid w:val="005901FC"/>
    <w:rsid w:val="00590677"/>
    <w:rsid w:val="00590AFC"/>
    <w:rsid w:val="00590CE6"/>
    <w:rsid w:val="00591758"/>
    <w:rsid w:val="00592730"/>
    <w:rsid w:val="00592BC9"/>
    <w:rsid w:val="00593748"/>
    <w:rsid w:val="005938E1"/>
    <w:rsid w:val="00593970"/>
    <w:rsid w:val="005941D1"/>
    <w:rsid w:val="00595315"/>
    <w:rsid w:val="00595665"/>
    <w:rsid w:val="0059571F"/>
    <w:rsid w:val="005964DE"/>
    <w:rsid w:val="005A028F"/>
    <w:rsid w:val="005A0E66"/>
    <w:rsid w:val="005A0EAB"/>
    <w:rsid w:val="005A19DC"/>
    <w:rsid w:val="005A1BA3"/>
    <w:rsid w:val="005A1E1E"/>
    <w:rsid w:val="005A1EF1"/>
    <w:rsid w:val="005A51F3"/>
    <w:rsid w:val="005A5DA8"/>
    <w:rsid w:val="005A6B59"/>
    <w:rsid w:val="005A76AB"/>
    <w:rsid w:val="005A7BED"/>
    <w:rsid w:val="005B0062"/>
    <w:rsid w:val="005B0064"/>
    <w:rsid w:val="005B0C99"/>
    <w:rsid w:val="005B11AA"/>
    <w:rsid w:val="005B3E9A"/>
    <w:rsid w:val="005B40A6"/>
    <w:rsid w:val="005B4302"/>
    <w:rsid w:val="005B64DE"/>
    <w:rsid w:val="005C013C"/>
    <w:rsid w:val="005C0247"/>
    <w:rsid w:val="005C077A"/>
    <w:rsid w:val="005C07A7"/>
    <w:rsid w:val="005C080D"/>
    <w:rsid w:val="005C0ACE"/>
    <w:rsid w:val="005C0E4D"/>
    <w:rsid w:val="005C148B"/>
    <w:rsid w:val="005C4C2B"/>
    <w:rsid w:val="005C5634"/>
    <w:rsid w:val="005C569E"/>
    <w:rsid w:val="005C56EA"/>
    <w:rsid w:val="005C5D9E"/>
    <w:rsid w:val="005C6D4B"/>
    <w:rsid w:val="005D15E5"/>
    <w:rsid w:val="005D1FE4"/>
    <w:rsid w:val="005D2840"/>
    <w:rsid w:val="005E07F5"/>
    <w:rsid w:val="005E081B"/>
    <w:rsid w:val="005E0DAF"/>
    <w:rsid w:val="005E1CC0"/>
    <w:rsid w:val="005E24E7"/>
    <w:rsid w:val="005E3344"/>
    <w:rsid w:val="005E38E1"/>
    <w:rsid w:val="005E391C"/>
    <w:rsid w:val="005E4697"/>
    <w:rsid w:val="005E577F"/>
    <w:rsid w:val="005E66C8"/>
    <w:rsid w:val="005E690E"/>
    <w:rsid w:val="005E6D69"/>
    <w:rsid w:val="005F033C"/>
    <w:rsid w:val="005F0A9D"/>
    <w:rsid w:val="005F0F49"/>
    <w:rsid w:val="005F25CD"/>
    <w:rsid w:val="005F45A8"/>
    <w:rsid w:val="005F476A"/>
    <w:rsid w:val="005F5275"/>
    <w:rsid w:val="005F61C5"/>
    <w:rsid w:val="005F626E"/>
    <w:rsid w:val="005F65F7"/>
    <w:rsid w:val="005F7AB9"/>
    <w:rsid w:val="00600629"/>
    <w:rsid w:val="00601502"/>
    <w:rsid w:val="00601842"/>
    <w:rsid w:val="00601F9F"/>
    <w:rsid w:val="00602C82"/>
    <w:rsid w:val="006044BB"/>
    <w:rsid w:val="0060626A"/>
    <w:rsid w:val="00606621"/>
    <w:rsid w:val="0060731A"/>
    <w:rsid w:val="0060740D"/>
    <w:rsid w:val="00607C23"/>
    <w:rsid w:val="00610177"/>
    <w:rsid w:val="00611A1B"/>
    <w:rsid w:val="00611E36"/>
    <w:rsid w:val="006120CE"/>
    <w:rsid w:val="00612EE1"/>
    <w:rsid w:val="006134BB"/>
    <w:rsid w:val="00616244"/>
    <w:rsid w:val="0061647B"/>
    <w:rsid w:val="00616DDD"/>
    <w:rsid w:val="0061776B"/>
    <w:rsid w:val="00620B19"/>
    <w:rsid w:val="00620DA6"/>
    <w:rsid w:val="006220ED"/>
    <w:rsid w:val="00622B20"/>
    <w:rsid w:val="00624095"/>
    <w:rsid w:val="00624CAA"/>
    <w:rsid w:val="00625A5A"/>
    <w:rsid w:val="006347B1"/>
    <w:rsid w:val="006354D9"/>
    <w:rsid w:val="006359D6"/>
    <w:rsid w:val="00635A5A"/>
    <w:rsid w:val="00635B74"/>
    <w:rsid w:val="0064059B"/>
    <w:rsid w:val="00641769"/>
    <w:rsid w:val="00643BA6"/>
    <w:rsid w:val="00643F22"/>
    <w:rsid w:val="00644C99"/>
    <w:rsid w:val="00644DB9"/>
    <w:rsid w:val="00646A8B"/>
    <w:rsid w:val="006475BB"/>
    <w:rsid w:val="006517F9"/>
    <w:rsid w:val="00652D06"/>
    <w:rsid w:val="00653608"/>
    <w:rsid w:val="006545BF"/>
    <w:rsid w:val="00654711"/>
    <w:rsid w:val="00655083"/>
    <w:rsid w:val="0065674E"/>
    <w:rsid w:val="00657830"/>
    <w:rsid w:val="006579B6"/>
    <w:rsid w:val="00660232"/>
    <w:rsid w:val="006604A3"/>
    <w:rsid w:val="00663636"/>
    <w:rsid w:val="00663BAA"/>
    <w:rsid w:val="00665408"/>
    <w:rsid w:val="00665688"/>
    <w:rsid w:val="006660F2"/>
    <w:rsid w:val="00670DB7"/>
    <w:rsid w:val="00671D53"/>
    <w:rsid w:val="00673A12"/>
    <w:rsid w:val="00674190"/>
    <w:rsid w:val="006760E5"/>
    <w:rsid w:val="00676FE6"/>
    <w:rsid w:val="00677259"/>
    <w:rsid w:val="00677E97"/>
    <w:rsid w:val="006800F0"/>
    <w:rsid w:val="006815BE"/>
    <w:rsid w:val="00683849"/>
    <w:rsid w:val="00684BAC"/>
    <w:rsid w:val="0068595A"/>
    <w:rsid w:val="0068631C"/>
    <w:rsid w:val="00687AC1"/>
    <w:rsid w:val="00690539"/>
    <w:rsid w:val="006913C2"/>
    <w:rsid w:val="00691641"/>
    <w:rsid w:val="00693992"/>
    <w:rsid w:val="00695529"/>
    <w:rsid w:val="006A1681"/>
    <w:rsid w:val="006A3705"/>
    <w:rsid w:val="006A6EAA"/>
    <w:rsid w:val="006A73C0"/>
    <w:rsid w:val="006A7B50"/>
    <w:rsid w:val="006A7D49"/>
    <w:rsid w:val="006B0261"/>
    <w:rsid w:val="006B0622"/>
    <w:rsid w:val="006B1820"/>
    <w:rsid w:val="006B2CD7"/>
    <w:rsid w:val="006B3160"/>
    <w:rsid w:val="006B3705"/>
    <w:rsid w:val="006B4663"/>
    <w:rsid w:val="006B4E63"/>
    <w:rsid w:val="006B4F45"/>
    <w:rsid w:val="006B50EB"/>
    <w:rsid w:val="006B6036"/>
    <w:rsid w:val="006B7CFA"/>
    <w:rsid w:val="006C160E"/>
    <w:rsid w:val="006C22EC"/>
    <w:rsid w:val="006C29A9"/>
    <w:rsid w:val="006C2E8F"/>
    <w:rsid w:val="006C2F0A"/>
    <w:rsid w:val="006C3AE4"/>
    <w:rsid w:val="006C3E8E"/>
    <w:rsid w:val="006C4218"/>
    <w:rsid w:val="006C4F04"/>
    <w:rsid w:val="006C5B6B"/>
    <w:rsid w:val="006C713C"/>
    <w:rsid w:val="006C72A2"/>
    <w:rsid w:val="006C78A3"/>
    <w:rsid w:val="006D002D"/>
    <w:rsid w:val="006D0366"/>
    <w:rsid w:val="006D077C"/>
    <w:rsid w:val="006D0940"/>
    <w:rsid w:val="006D1D49"/>
    <w:rsid w:val="006D2CD1"/>
    <w:rsid w:val="006D3975"/>
    <w:rsid w:val="006D6FEB"/>
    <w:rsid w:val="006D75A3"/>
    <w:rsid w:val="006D7C48"/>
    <w:rsid w:val="006E10C1"/>
    <w:rsid w:val="006E1490"/>
    <w:rsid w:val="006E17B6"/>
    <w:rsid w:val="006E46AB"/>
    <w:rsid w:val="006E4DFA"/>
    <w:rsid w:val="006E4F1E"/>
    <w:rsid w:val="006F1D36"/>
    <w:rsid w:val="006F2E02"/>
    <w:rsid w:val="006F69CA"/>
    <w:rsid w:val="006F6E88"/>
    <w:rsid w:val="006F78BC"/>
    <w:rsid w:val="006F7B81"/>
    <w:rsid w:val="00700437"/>
    <w:rsid w:val="0070238A"/>
    <w:rsid w:val="007024FC"/>
    <w:rsid w:val="007026CB"/>
    <w:rsid w:val="00702CA0"/>
    <w:rsid w:val="00703825"/>
    <w:rsid w:val="00706C71"/>
    <w:rsid w:val="00707E31"/>
    <w:rsid w:val="007105A4"/>
    <w:rsid w:val="0071120A"/>
    <w:rsid w:val="00711C68"/>
    <w:rsid w:val="00712560"/>
    <w:rsid w:val="0071266A"/>
    <w:rsid w:val="00713369"/>
    <w:rsid w:val="007148B1"/>
    <w:rsid w:val="00716E07"/>
    <w:rsid w:val="007178E6"/>
    <w:rsid w:val="00717AD3"/>
    <w:rsid w:val="00720331"/>
    <w:rsid w:val="00720F66"/>
    <w:rsid w:val="00721070"/>
    <w:rsid w:val="007215E2"/>
    <w:rsid w:val="00722E1F"/>
    <w:rsid w:val="007234EF"/>
    <w:rsid w:val="00723A16"/>
    <w:rsid w:val="00724066"/>
    <w:rsid w:val="007244FB"/>
    <w:rsid w:val="0072559F"/>
    <w:rsid w:val="00725883"/>
    <w:rsid w:val="0072618C"/>
    <w:rsid w:val="007273BE"/>
    <w:rsid w:val="00727808"/>
    <w:rsid w:val="0072788B"/>
    <w:rsid w:val="00727915"/>
    <w:rsid w:val="00727AD0"/>
    <w:rsid w:val="00727B5E"/>
    <w:rsid w:val="007305BD"/>
    <w:rsid w:val="00732650"/>
    <w:rsid w:val="00732894"/>
    <w:rsid w:val="00733565"/>
    <w:rsid w:val="007337B0"/>
    <w:rsid w:val="007339E3"/>
    <w:rsid w:val="00733E9A"/>
    <w:rsid w:val="0073464C"/>
    <w:rsid w:val="00734E4C"/>
    <w:rsid w:val="0073521B"/>
    <w:rsid w:val="007361CB"/>
    <w:rsid w:val="00737061"/>
    <w:rsid w:val="00737731"/>
    <w:rsid w:val="0074106F"/>
    <w:rsid w:val="007422B0"/>
    <w:rsid w:val="00743E10"/>
    <w:rsid w:val="00743ECB"/>
    <w:rsid w:val="00745606"/>
    <w:rsid w:val="007463A3"/>
    <w:rsid w:val="0074687F"/>
    <w:rsid w:val="007473A8"/>
    <w:rsid w:val="00747724"/>
    <w:rsid w:val="00752B26"/>
    <w:rsid w:val="00752BBC"/>
    <w:rsid w:val="007545F9"/>
    <w:rsid w:val="00754A06"/>
    <w:rsid w:val="007555BC"/>
    <w:rsid w:val="00755784"/>
    <w:rsid w:val="007559A5"/>
    <w:rsid w:val="0075696F"/>
    <w:rsid w:val="007570F6"/>
    <w:rsid w:val="007577F1"/>
    <w:rsid w:val="00757D02"/>
    <w:rsid w:val="00760F1A"/>
    <w:rsid w:val="00761BA6"/>
    <w:rsid w:val="00762955"/>
    <w:rsid w:val="007630BE"/>
    <w:rsid w:val="00765127"/>
    <w:rsid w:val="007669A8"/>
    <w:rsid w:val="00766ED0"/>
    <w:rsid w:val="00767AA5"/>
    <w:rsid w:val="00767C8C"/>
    <w:rsid w:val="00767F19"/>
    <w:rsid w:val="00770285"/>
    <w:rsid w:val="00770B51"/>
    <w:rsid w:val="00772011"/>
    <w:rsid w:val="00773737"/>
    <w:rsid w:val="007743C5"/>
    <w:rsid w:val="007752B1"/>
    <w:rsid w:val="007754CD"/>
    <w:rsid w:val="00775B25"/>
    <w:rsid w:val="0077606D"/>
    <w:rsid w:val="00776115"/>
    <w:rsid w:val="00776618"/>
    <w:rsid w:val="007769E5"/>
    <w:rsid w:val="007770FF"/>
    <w:rsid w:val="00780341"/>
    <w:rsid w:val="0078040F"/>
    <w:rsid w:val="00781E9F"/>
    <w:rsid w:val="00782498"/>
    <w:rsid w:val="007828DA"/>
    <w:rsid w:val="00785A24"/>
    <w:rsid w:val="00786A3E"/>
    <w:rsid w:val="007872C9"/>
    <w:rsid w:val="00790710"/>
    <w:rsid w:val="007918BF"/>
    <w:rsid w:val="00792BB8"/>
    <w:rsid w:val="00792ECF"/>
    <w:rsid w:val="007935AD"/>
    <w:rsid w:val="007939B0"/>
    <w:rsid w:val="0079441F"/>
    <w:rsid w:val="0079512B"/>
    <w:rsid w:val="00796780"/>
    <w:rsid w:val="0079679F"/>
    <w:rsid w:val="00796D79"/>
    <w:rsid w:val="007A0E8A"/>
    <w:rsid w:val="007A13F1"/>
    <w:rsid w:val="007A238A"/>
    <w:rsid w:val="007A265A"/>
    <w:rsid w:val="007A2D64"/>
    <w:rsid w:val="007A3A9B"/>
    <w:rsid w:val="007A3EDE"/>
    <w:rsid w:val="007A5BF4"/>
    <w:rsid w:val="007A6A86"/>
    <w:rsid w:val="007A6D86"/>
    <w:rsid w:val="007A73F6"/>
    <w:rsid w:val="007A755D"/>
    <w:rsid w:val="007B0631"/>
    <w:rsid w:val="007B197F"/>
    <w:rsid w:val="007B276B"/>
    <w:rsid w:val="007B2DD8"/>
    <w:rsid w:val="007B302E"/>
    <w:rsid w:val="007B3656"/>
    <w:rsid w:val="007B6F89"/>
    <w:rsid w:val="007C0985"/>
    <w:rsid w:val="007C09EC"/>
    <w:rsid w:val="007C1047"/>
    <w:rsid w:val="007C2368"/>
    <w:rsid w:val="007C2401"/>
    <w:rsid w:val="007C3E57"/>
    <w:rsid w:val="007C4ABB"/>
    <w:rsid w:val="007C5A0A"/>
    <w:rsid w:val="007C5DC6"/>
    <w:rsid w:val="007C6056"/>
    <w:rsid w:val="007C6447"/>
    <w:rsid w:val="007C6821"/>
    <w:rsid w:val="007C6C3B"/>
    <w:rsid w:val="007C715B"/>
    <w:rsid w:val="007C739E"/>
    <w:rsid w:val="007D1868"/>
    <w:rsid w:val="007D1FEA"/>
    <w:rsid w:val="007D2209"/>
    <w:rsid w:val="007D349C"/>
    <w:rsid w:val="007D3CAA"/>
    <w:rsid w:val="007D46F9"/>
    <w:rsid w:val="007D4896"/>
    <w:rsid w:val="007D5C05"/>
    <w:rsid w:val="007D5FEB"/>
    <w:rsid w:val="007D60D8"/>
    <w:rsid w:val="007D6967"/>
    <w:rsid w:val="007D6A58"/>
    <w:rsid w:val="007D6F74"/>
    <w:rsid w:val="007D7362"/>
    <w:rsid w:val="007D7917"/>
    <w:rsid w:val="007D7A49"/>
    <w:rsid w:val="007E0D0E"/>
    <w:rsid w:val="007E0F3D"/>
    <w:rsid w:val="007E1DC3"/>
    <w:rsid w:val="007E287A"/>
    <w:rsid w:val="007E4C95"/>
    <w:rsid w:val="007E613F"/>
    <w:rsid w:val="007E6AC7"/>
    <w:rsid w:val="007E7445"/>
    <w:rsid w:val="007E7FF2"/>
    <w:rsid w:val="007F258A"/>
    <w:rsid w:val="007F28FD"/>
    <w:rsid w:val="007F3444"/>
    <w:rsid w:val="007F459E"/>
    <w:rsid w:val="007F47E6"/>
    <w:rsid w:val="007F4887"/>
    <w:rsid w:val="007F4A4C"/>
    <w:rsid w:val="007F582E"/>
    <w:rsid w:val="007F6341"/>
    <w:rsid w:val="007F6ED9"/>
    <w:rsid w:val="007F73C2"/>
    <w:rsid w:val="007F76CD"/>
    <w:rsid w:val="0080040C"/>
    <w:rsid w:val="0080079A"/>
    <w:rsid w:val="00800A95"/>
    <w:rsid w:val="00800AB6"/>
    <w:rsid w:val="00801011"/>
    <w:rsid w:val="00801711"/>
    <w:rsid w:val="00801987"/>
    <w:rsid w:val="00801F28"/>
    <w:rsid w:val="00802C08"/>
    <w:rsid w:val="0080324C"/>
    <w:rsid w:val="008037DF"/>
    <w:rsid w:val="00803F1F"/>
    <w:rsid w:val="00803FE8"/>
    <w:rsid w:val="00805278"/>
    <w:rsid w:val="008059C6"/>
    <w:rsid w:val="0080702A"/>
    <w:rsid w:val="00807E23"/>
    <w:rsid w:val="008106FC"/>
    <w:rsid w:val="00811CEA"/>
    <w:rsid w:val="00812B2B"/>
    <w:rsid w:val="00815510"/>
    <w:rsid w:val="00815FDD"/>
    <w:rsid w:val="0081688E"/>
    <w:rsid w:val="00816D85"/>
    <w:rsid w:val="008171E3"/>
    <w:rsid w:val="00817B9D"/>
    <w:rsid w:val="00820B19"/>
    <w:rsid w:val="00820DCE"/>
    <w:rsid w:val="0082126C"/>
    <w:rsid w:val="008222EE"/>
    <w:rsid w:val="00822364"/>
    <w:rsid w:val="00822BA1"/>
    <w:rsid w:val="00823124"/>
    <w:rsid w:val="00824D22"/>
    <w:rsid w:val="008255D4"/>
    <w:rsid w:val="008306F8"/>
    <w:rsid w:val="00831688"/>
    <w:rsid w:val="008316A8"/>
    <w:rsid w:val="00834477"/>
    <w:rsid w:val="008348CF"/>
    <w:rsid w:val="00836039"/>
    <w:rsid w:val="008367C5"/>
    <w:rsid w:val="00836B56"/>
    <w:rsid w:val="00836DB3"/>
    <w:rsid w:val="008400D1"/>
    <w:rsid w:val="00840C89"/>
    <w:rsid w:val="008412EB"/>
    <w:rsid w:val="00841B4A"/>
    <w:rsid w:val="008436CA"/>
    <w:rsid w:val="008457D1"/>
    <w:rsid w:val="008471D1"/>
    <w:rsid w:val="0084722C"/>
    <w:rsid w:val="008518E3"/>
    <w:rsid w:val="00851B51"/>
    <w:rsid w:val="00854622"/>
    <w:rsid w:val="00854BE1"/>
    <w:rsid w:val="00855774"/>
    <w:rsid w:val="00855D75"/>
    <w:rsid w:val="0085613B"/>
    <w:rsid w:val="008570A8"/>
    <w:rsid w:val="00860AA6"/>
    <w:rsid w:val="0086126D"/>
    <w:rsid w:val="008616CE"/>
    <w:rsid w:val="00862485"/>
    <w:rsid w:val="00863A0D"/>
    <w:rsid w:val="00863E7C"/>
    <w:rsid w:val="00866E69"/>
    <w:rsid w:val="00867F0D"/>
    <w:rsid w:val="00871151"/>
    <w:rsid w:val="008723CB"/>
    <w:rsid w:val="00872CBA"/>
    <w:rsid w:val="008741BE"/>
    <w:rsid w:val="008741EF"/>
    <w:rsid w:val="008742B7"/>
    <w:rsid w:val="0087529F"/>
    <w:rsid w:val="00875D96"/>
    <w:rsid w:val="00875FCB"/>
    <w:rsid w:val="00877AF3"/>
    <w:rsid w:val="00880B3B"/>
    <w:rsid w:val="008812C6"/>
    <w:rsid w:val="00882818"/>
    <w:rsid w:val="0088323B"/>
    <w:rsid w:val="008842C5"/>
    <w:rsid w:val="008842DD"/>
    <w:rsid w:val="00884492"/>
    <w:rsid w:val="008847F5"/>
    <w:rsid w:val="00884837"/>
    <w:rsid w:val="008851BC"/>
    <w:rsid w:val="008864AF"/>
    <w:rsid w:val="00890216"/>
    <w:rsid w:val="00890ADA"/>
    <w:rsid w:val="008920A0"/>
    <w:rsid w:val="00892B17"/>
    <w:rsid w:val="008930A0"/>
    <w:rsid w:val="00893EBA"/>
    <w:rsid w:val="0089505B"/>
    <w:rsid w:val="008951C5"/>
    <w:rsid w:val="008952D6"/>
    <w:rsid w:val="008964A0"/>
    <w:rsid w:val="00896800"/>
    <w:rsid w:val="008976C3"/>
    <w:rsid w:val="008A14ED"/>
    <w:rsid w:val="008A15C2"/>
    <w:rsid w:val="008A19FD"/>
    <w:rsid w:val="008A2DAE"/>
    <w:rsid w:val="008A369B"/>
    <w:rsid w:val="008A552F"/>
    <w:rsid w:val="008A5B73"/>
    <w:rsid w:val="008A627B"/>
    <w:rsid w:val="008B0EC1"/>
    <w:rsid w:val="008B1352"/>
    <w:rsid w:val="008B35A1"/>
    <w:rsid w:val="008B35CE"/>
    <w:rsid w:val="008B395D"/>
    <w:rsid w:val="008B4042"/>
    <w:rsid w:val="008B4844"/>
    <w:rsid w:val="008B5278"/>
    <w:rsid w:val="008B5A6C"/>
    <w:rsid w:val="008B5D1C"/>
    <w:rsid w:val="008B5F5A"/>
    <w:rsid w:val="008B6D54"/>
    <w:rsid w:val="008B7BF8"/>
    <w:rsid w:val="008B7C26"/>
    <w:rsid w:val="008C03CC"/>
    <w:rsid w:val="008C0A74"/>
    <w:rsid w:val="008C0C9B"/>
    <w:rsid w:val="008C1858"/>
    <w:rsid w:val="008C2E13"/>
    <w:rsid w:val="008C352A"/>
    <w:rsid w:val="008C389D"/>
    <w:rsid w:val="008C3E42"/>
    <w:rsid w:val="008C4D97"/>
    <w:rsid w:val="008C5FF6"/>
    <w:rsid w:val="008C79E9"/>
    <w:rsid w:val="008D1F2D"/>
    <w:rsid w:val="008D2071"/>
    <w:rsid w:val="008D3556"/>
    <w:rsid w:val="008D42D4"/>
    <w:rsid w:val="008D4CA8"/>
    <w:rsid w:val="008D51C8"/>
    <w:rsid w:val="008E04FA"/>
    <w:rsid w:val="008E07DE"/>
    <w:rsid w:val="008E0C55"/>
    <w:rsid w:val="008E1AE1"/>
    <w:rsid w:val="008E1BBE"/>
    <w:rsid w:val="008E24F5"/>
    <w:rsid w:val="008E2991"/>
    <w:rsid w:val="008E39F1"/>
    <w:rsid w:val="008E4D34"/>
    <w:rsid w:val="008E722A"/>
    <w:rsid w:val="008F157F"/>
    <w:rsid w:val="008F189F"/>
    <w:rsid w:val="008F1D2F"/>
    <w:rsid w:val="008F257D"/>
    <w:rsid w:val="008F2C96"/>
    <w:rsid w:val="008F4111"/>
    <w:rsid w:val="008F4BB3"/>
    <w:rsid w:val="008F69EE"/>
    <w:rsid w:val="009022EC"/>
    <w:rsid w:val="009039B7"/>
    <w:rsid w:val="00904014"/>
    <w:rsid w:val="00904F8E"/>
    <w:rsid w:val="00904FC0"/>
    <w:rsid w:val="009052D1"/>
    <w:rsid w:val="00905B42"/>
    <w:rsid w:val="00905F9B"/>
    <w:rsid w:val="00906BFE"/>
    <w:rsid w:val="00906DB7"/>
    <w:rsid w:val="00907041"/>
    <w:rsid w:val="0090758E"/>
    <w:rsid w:val="0090796B"/>
    <w:rsid w:val="009104FB"/>
    <w:rsid w:val="0091063E"/>
    <w:rsid w:val="009107D6"/>
    <w:rsid w:val="00911729"/>
    <w:rsid w:val="0091189F"/>
    <w:rsid w:val="009132A4"/>
    <w:rsid w:val="009136D1"/>
    <w:rsid w:val="00913ABA"/>
    <w:rsid w:val="00913B69"/>
    <w:rsid w:val="00914098"/>
    <w:rsid w:val="009158DD"/>
    <w:rsid w:val="00916F5B"/>
    <w:rsid w:val="00917035"/>
    <w:rsid w:val="009211C9"/>
    <w:rsid w:val="0092122A"/>
    <w:rsid w:val="00922B38"/>
    <w:rsid w:val="00922DD7"/>
    <w:rsid w:val="00923CA3"/>
    <w:rsid w:val="00923CB1"/>
    <w:rsid w:val="00925FB1"/>
    <w:rsid w:val="00926569"/>
    <w:rsid w:val="00927E35"/>
    <w:rsid w:val="00930C3A"/>
    <w:rsid w:val="00930E73"/>
    <w:rsid w:val="0093165E"/>
    <w:rsid w:val="00935FEE"/>
    <w:rsid w:val="00937E0A"/>
    <w:rsid w:val="00940615"/>
    <w:rsid w:val="00941876"/>
    <w:rsid w:val="00942DBB"/>
    <w:rsid w:val="00942DEA"/>
    <w:rsid w:val="00943105"/>
    <w:rsid w:val="009432EB"/>
    <w:rsid w:val="00943340"/>
    <w:rsid w:val="009434C6"/>
    <w:rsid w:val="0094420A"/>
    <w:rsid w:val="00946CE0"/>
    <w:rsid w:val="009508E5"/>
    <w:rsid w:val="00950AE6"/>
    <w:rsid w:val="00950F65"/>
    <w:rsid w:val="009519B8"/>
    <w:rsid w:val="00953FA6"/>
    <w:rsid w:val="009546C3"/>
    <w:rsid w:val="00956893"/>
    <w:rsid w:val="00957FA7"/>
    <w:rsid w:val="009609D4"/>
    <w:rsid w:val="00960BB7"/>
    <w:rsid w:val="009613BD"/>
    <w:rsid w:val="00962654"/>
    <w:rsid w:val="00962E07"/>
    <w:rsid w:val="009643B3"/>
    <w:rsid w:val="009643B4"/>
    <w:rsid w:val="00967914"/>
    <w:rsid w:val="0097033B"/>
    <w:rsid w:val="00972B49"/>
    <w:rsid w:val="0097459C"/>
    <w:rsid w:val="00974FF4"/>
    <w:rsid w:val="009758C4"/>
    <w:rsid w:val="00975DC5"/>
    <w:rsid w:val="00977BA8"/>
    <w:rsid w:val="0098067F"/>
    <w:rsid w:val="00980D92"/>
    <w:rsid w:val="0098103A"/>
    <w:rsid w:val="00981269"/>
    <w:rsid w:val="009828DC"/>
    <w:rsid w:val="00983C98"/>
    <w:rsid w:val="00984672"/>
    <w:rsid w:val="0098549D"/>
    <w:rsid w:val="00985837"/>
    <w:rsid w:val="00985FFF"/>
    <w:rsid w:val="00986056"/>
    <w:rsid w:val="0098664B"/>
    <w:rsid w:val="00986D24"/>
    <w:rsid w:val="00986F6B"/>
    <w:rsid w:val="00987E0D"/>
    <w:rsid w:val="00987FD0"/>
    <w:rsid w:val="0099132B"/>
    <w:rsid w:val="00991F98"/>
    <w:rsid w:val="00993F2D"/>
    <w:rsid w:val="00994E30"/>
    <w:rsid w:val="009958FE"/>
    <w:rsid w:val="00996799"/>
    <w:rsid w:val="009969F2"/>
    <w:rsid w:val="00996F07"/>
    <w:rsid w:val="009975D4"/>
    <w:rsid w:val="0099765C"/>
    <w:rsid w:val="00997B09"/>
    <w:rsid w:val="00997BF8"/>
    <w:rsid w:val="009A14A9"/>
    <w:rsid w:val="009A17A0"/>
    <w:rsid w:val="009A2042"/>
    <w:rsid w:val="009A2B87"/>
    <w:rsid w:val="009A411E"/>
    <w:rsid w:val="009A4478"/>
    <w:rsid w:val="009A4FFE"/>
    <w:rsid w:val="009A535C"/>
    <w:rsid w:val="009A6734"/>
    <w:rsid w:val="009B0939"/>
    <w:rsid w:val="009B115E"/>
    <w:rsid w:val="009B14E7"/>
    <w:rsid w:val="009B2783"/>
    <w:rsid w:val="009B2A83"/>
    <w:rsid w:val="009B3E6E"/>
    <w:rsid w:val="009B5A79"/>
    <w:rsid w:val="009B5FD0"/>
    <w:rsid w:val="009B6400"/>
    <w:rsid w:val="009B7EEB"/>
    <w:rsid w:val="009C013D"/>
    <w:rsid w:val="009C113E"/>
    <w:rsid w:val="009C277F"/>
    <w:rsid w:val="009C5359"/>
    <w:rsid w:val="009C590C"/>
    <w:rsid w:val="009C61FB"/>
    <w:rsid w:val="009C7425"/>
    <w:rsid w:val="009C76C9"/>
    <w:rsid w:val="009D044D"/>
    <w:rsid w:val="009D20FA"/>
    <w:rsid w:val="009D321D"/>
    <w:rsid w:val="009D3D1C"/>
    <w:rsid w:val="009D3F4F"/>
    <w:rsid w:val="009D5ECE"/>
    <w:rsid w:val="009D7636"/>
    <w:rsid w:val="009D7D60"/>
    <w:rsid w:val="009E1307"/>
    <w:rsid w:val="009E27B7"/>
    <w:rsid w:val="009E3003"/>
    <w:rsid w:val="009E37E4"/>
    <w:rsid w:val="009E3C08"/>
    <w:rsid w:val="009E44DE"/>
    <w:rsid w:val="009E57C9"/>
    <w:rsid w:val="009E5EEE"/>
    <w:rsid w:val="009E64D5"/>
    <w:rsid w:val="009E66A1"/>
    <w:rsid w:val="009E6ED7"/>
    <w:rsid w:val="009E6FE0"/>
    <w:rsid w:val="009F0463"/>
    <w:rsid w:val="009F0821"/>
    <w:rsid w:val="009F0E63"/>
    <w:rsid w:val="009F117B"/>
    <w:rsid w:val="009F29EA"/>
    <w:rsid w:val="009F2EA5"/>
    <w:rsid w:val="009F360F"/>
    <w:rsid w:val="009F3AD9"/>
    <w:rsid w:val="009F5A8F"/>
    <w:rsid w:val="009F67A4"/>
    <w:rsid w:val="009F6B65"/>
    <w:rsid w:val="009F7624"/>
    <w:rsid w:val="00A0089E"/>
    <w:rsid w:val="00A00968"/>
    <w:rsid w:val="00A0335B"/>
    <w:rsid w:val="00A04433"/>
    <w:rsid w:val="00A059A0"/>
    <w:rsid w:val="00A0637A"/>
    <w:rsid w:val="00A1090C"/>
    <w:rsid w:val="00A10B0D"/>
    <w:rsid w:val="00A10D47"/>
    <w:rsid w:val="00A10FC1"/>
    <w:rsid w:val="00A11786"/>
    <w:rsid w:val="00A12531"/>
    <w:rsid w:val="00A147CD"/>
    <w:rsid w:val="00A20592"/>
    <w:rsid w:val="00A20B0C"/>
    <w:rsid w:val="00A20B4A"/>
    <w:rsid w:val="00A20D93"/>
    <w:rsid w:val="00A20F45"/>
    <w:rsid w:val="00A23029"/>
    <w:rsid w:val="00A24314"/>
    <w:rsid w:val="00A24421"/>
    <w:rsid w:val="00A2561B"/>
    <w:rsid w:val="00A25CF6"/>
    <w:rsid w:val="00A25E16"/>
    <w:rsid w:val="00A26FC4"/>
    <w:rsid w:val="00A3005D"/>
    <w:rsid w:val="00A30146"/>
    <w:rsid w:val="00A32CCF"/>
    <w:rsid w:val="00A33A44"/>
    <w:rsid w:val="00A33E39"/>
    <w:rsid w:val="00A34EE8"/>
    <w:rsid w:val="00A353F8"/>
    <w:rsid w:val="00A375D1"/>
    <w:rsid w:val="00A40809"/>
    <w:rsid w:val="00A41317"/>
    <w:rsid w:val="00A42450"/>
    <w:rsid w:val="00A446D0"/>
    <w:rsid w:val="00A457C4"/>
    <w:rsid w:val="00A50C39"/>
    <w:rsid w:val="00A51050"/>
    <w:rsid w:val="00A51BD1"/>
    <w:rsid w:val="00A52EC1"/>
    <w:rsid w:val="00A5446A"/>
    <w:rsid w:val="00A544B1"/>
    <w:rsid w:val="00A54995"/>
    <w:rsid w:val="00A54E61"/>
    <w:rsid w:val="00A558F0"/>
    <w:rsid w:val="00A55C6B"/>
    <w:rsid w:val="00A5663A"/>
    <w:rsid w:val="00A56EB6"/>
    <w:rsid w:val="00A5722F"/>
    <w:rsid w:val="00A608EB"/>
    <w:rsid w:val="00A609EC"/>
    <w:rsid w:val="00A61364"/>
    <w:rsid w:val="00A62422"/>
    <w:rsid w:val="00A6605E"/>
    <w:rsid w:val="00A67B9D"/>
    <w:rsid w:val="00A701A8"/>
    <w:rsid w:val="00A70FD8"/>
    <w:rsid w:val="00A74F9C"/>
    <w:rsid w:val="00A75124"/>
    <w:rsid w:val="00A76346"/>
    <w:rsid w:val="00A7652B"/>
    <w:rsid w:val="00A77BD6"/>
    <w:rsid w:val="00A80338"/>
    <w:rsid w:val="00A816DD"/>
    <w:rsid w:val="00A816F7"/>
    <w:rsid w:val="00A81C25"/>
    <w:rsid w:val="00A82573"/>
    <w:rsid w:val="00A83941"/>
    <w:rsid w:val="00A867E2"/>
    <w:rsid w:val="00A87700"/>
    <w:rsid w:val="00A87D6A"/>
    <w:rsid w:val="00A902A8"/>
    <w:rsid w:val="00A9157F"/>
    <w:rsid w:val="00A919F6"/>
    <w:rsid w:val="00A92456"/>
    <w:rsid w:val="00A93595"/>
    <w:rsid w:val="00A93D8B"/>
    <w:rsid w:val="00A95635"/>
    <w:rsid w:val="00A957C4"/>
    <w:rsid w:val="00A9590C"/>
    <w:rsid w:val="00A95F94"/>
    <w:rsid w:val="00A965FB"/>
    <w:rsid w:val="00AA045B"/>
    <w:rsid w:val="00AA1F91"/>
    <w:rsid w:val="00AA2BD5"/>
    <w:rsid w:val="00AA2E8D"/>
    <w:rsid w:val="00AA3280"/>
    <w:rsid w:val="00AA3CA5"/>
    <w:rsid w:val="00AA5933"/>
    <w:rsid w:val="00AA5C4D"/>
    <w:rsid w:val="00AA5F1C"/>
    <w:rsid w:val="00AA6543"/>
    <w:rsid w:val="00AA75D4"/>
    <w:rsid w:val="00AB03B9"/>
    <w:rsid w:val="00AB0589"/>
    <w:rsid w:val="00AB0F1B"/>
    <w:rsid w:val="00AB1CBE"/>
    <w:rsid w:val="00AB3065"/>
    <w:rsid w:val="00AB353F"/>
    <w:rsid w:val="00AB4586"/>
    <w:rsid w:val="00AB51AB"/>
    <w:rsid w:val="00AB7B2B"/>
    <w:rsid w:val="00AC0B1B"/>
    <w:rsid w:val="00AC1908"/>
    <w:rsid w:val="00AC2452"/>
    <w:rsid w:val="00AC2C13"/>
    <w:rsid w:val="00AC4239"/>
    <w:rsid w:val="00AC4D4F"/>
    <w:rsid w:val="00AC7AC1"/>
    <w:rsid w:val="00AD023D"/>
    <w:rsid w:val="00AD1A34"/>
    <w:rsid w:val="00AD2129"/>
    <w:rsid w:val="00AD2672"/>
    <w:rsid w:val="00AD2D01"/>
    <w:rsid w:val="00AD3736"/>
    <w:rsid w:val="00AD3B61"/>
    <w:rsid w:val="00AD7833"/>
    <w:rsid w:val="00AD789B"/>
    <w:rsid w:val="00AE0A00"/>
    <w:rsid w:val="00AE1B0C"/>
    <w:rsid w:val="00AE1C15"/>
    <w:rsid w:val="00AE38FD"/>
    <w:rsid w:val="00AE63A4"/>
    <w:rsid w:val="00AE6CFB"/>
    <w:rsid w:val="00AE7552"/>
    <w:rsid w:val="00AE76CD"/>
    <w:rsid w:val="00AF09F8"/>
    <w:rsid w:val="00AF4882"/>
    <w:rsid w:val="00AF5FA3"/>
    <w:rsid w:val="00AF63AA"/>
    <w:rsid w:val="00AF7177"/>
    <w:rsid w:val="00AF77C4"/>
    <w:rsid w:val="00B05C20"/>
    <w:rsid w:val="00B062B2"/>
    <w:rsid w:val="00B069A0"/>
    <w:rsid w:val="00B112E2"/>
    <w:rsid w:val="00B11AB0"/>
    <w:rsid w:val="00B11B87"/>
    <w:rsid w:val="00B12D51"/>
    <w:rsid w:val="00B13232"/>
    <w:rsid w:val="00B13899"/>
    <w:rsid w:val="00B1595F"/>
    <w:rsid w:val="00B168CE"/>
    <w:rsid w:val="00B171FE"/>
    <w:rsid w:val="00B20831"/>
    <w:rsid w:val="00B20DA2"/>
    <w:rsid w:val="00B20E71"/>
    <w:rsid w:val="00B21DBF"/>
    <w:rsid w:val="00B21F4E"/>
    <w:rsid w:val="00B226BD"/>
    <w:rsid w:val="00B23900"/>
    <w:rsid w:val="00B25623"/>
    <w:rsid w:val="00B25976"/>
    <w:rsid w:val="00B25DD1"/>
    <w:rsid w:val="00B25FEA"/>
    <w:rsid w:val="00B26855"/>
    <w:rsid w:val="00B2723C"/>
    <w:rsid w:val="00B308B2"/>
    <w:rsid w:val="00B30E3B"/>
    <w:rsid w:val="00B31298"/>
    <w:rsid w:val="00B31316"/>
    <w:rsid w:val="00B316CA"/>
    <w:rsid w:val="00B316FF"/>
    <w:rsid w:val="00B32749"/>
    <w:rsid w:val="00B33CB5"/>
    <w:rsid w:val="00B34ABF"/>
    <w:rsid w:val="00B3542E"/>
    <w:rsid w:val="00B358C3"/>
    <w:rsid w:val="00B372A8"/>
    <w:rsid w:val="00B40F02"/>
    <w:rsid w:val="00B41E78"/>
    <w:rsid w:val="00B425D0"/>
    <w:rsid w:val="00B43F27"/>
    <w:rsid w:val="00B45852"/>
    <w:rsid w:val="00B478F6"/>
    <w:rsid w:val="00B510F4"/>
    <w:rsid w:val="00B537E0"/>
    <w:rsid w:val="00B53FE4"/>
    <w:rsid w:val="00B543E2"/>
    <w:rsid w:val="00B55307"/>
    <w:rsid w:val="00B56D1C"/>
    <w:rsid w:val="00B57020"/>
    <w:rsid w:val="00B575A4"/>
    <w:rsid w:val="00B57776"/>
    <w:rsid w:val="00B60251"/>
    <w:rsid w:val="00B603C6"/>
    <w:rsid w:val="00B604D2"/>
    <w:rsid w:val="00B606ED"/>
    <w:rsid w:val="00B6266D"/>
    <w:rsid w:val="00B62937"/>
    <w:rsid w:val="00B630A3"/>
    <w:rsid w:val="00B637C2"/>
    <w:rsid w:val="00B64E1E"/>
    <w:rsid w:val="00B65176"/>
    <w:rsid w:val="00B6642F"/>
    <w:rsid w:val="00B666CF"/>
    <w:rsid w:val="00B66AA8"/>
    <w:rsid w:val="00B66D08"/>
    <w:rsid w:val="00B66EE6"/>
    <w:rsid w:val="00B70189"/>
    <w:rsid w:val="00B70278"/>
    <w:rsid w:val="00B73210"/>
    <w:rsid w:val="00B73C6C"/>
    <w:rsid w:val="00B740B0"/>
    <w:rsid w:val="00B744FB"/>
    <w:rsid w:val="00B74575"/>
    <w:rsid w:val="00B759DB"/>
    <w:rsid w:val="00B77413"/>
    <w:rsid w:val="00B801BD"/>
    <w:rsid w:val="00B80441"/>
    <w:rsid w:val="00B81041"/>
    <w:rsid w:val="00B81557"/>
    <w:rsid w:val="00B83644"/>
    <w:rsid w:val="00B83660"/>
    <w:rsid w:val="00B84A92"/>
    <w:rsid w:val="00B84BDC"/>
    <w:rsid w:val="00B87460"/>
    <w:rsid w:val="00B8778A"/>
    <w:rsid w:val="00B87909"/>
    <w:rsid w:val="00B87C81"/>
    <w:rsid w:val="00B90324"/>
    <w:rsid w:val="00B911C6"/>
    <w:rsid w:val="00B916BB"/>
    <w:rsid w:val="00B918A8"/>
    <w:rsid w:val="00B91F89"/>
    <w:rsid w:val="00B92280"/>
    <w:rsid w:val="00B922E4"/>
    <w:rsid w:val="00B96C70"/>
    <w:rsid w:val="00B97816"/>
    <w:rsid w:val="00BA01EF"/>
    <w:rsid w:val="00BA05BE"/>
    <w:rsid w:val="00BA08E0"/>
    <w:rsid w:val="00BA1205"/>
    <w:rsid w:val="00BA343D"/>
    <w:rsid w:val="00BA39DC"/>
    <w:rsid w:val="00BA3D61"/>
    <w:rsid w:val="00BA470F"/>
    <w:rsid w:val="00BA4724"/>
    <w:rsid w:val="00BA4A3A"/>
    <w:rsid w:val="00BA5047"/>
    <w:rsid w:val="00BA6E62"/>
    <w:rsid w:val="00BA7F9B"/>
    <w:rsid w:val="00BB0F0A"/>
    <w:rsid w:val="00BB275E"/>
    <w:rsid w:val="00BB359F"/>
    <w:rsid w:val="00BB3FC6"/>
    <w:rsid w:val="00BB422B"/>
    <w:rsid w:val="00BB589D"/>
    <w:rsid w:val="00BB6891"/>
    <w:rsid w:val="00BB700E"/>
    <w:rsid w:val="00BC0A49"/>
    <w:rsid w:val="00BC0D27"/>
    <w:rsid w:val="00BC0DC7"/>
    <w:rsid w:val="00BC1274"/>
    <w:rsid w:val="00BC47D1"/>
    <w:rsid w:val="00BC5CE1"/>
    <w:rsid w:val="00BC63B5"/>
    <w:rsid w:val="00BC70B1"/>
    <w:rsid w:val="00BC76A2"/>
    <w:rsid w:val="00BC7A44"/>
    <w:rsid w:val="00BC7D43"/>
    <w:rsid w:val="00BD17DF"/>
    <w:rsid w:val="00BD338B"/>
    <w:rsid w:val="00BD4B7F"/>
    <w:rsid w:val="00BD7718"/>
    <w:rsid w:val="00BE0120"/>
    <w:rsid w:val="00BE1369"/>
    <w:rsid w:val="00BE1C50"/>
    <w:rsid w:val="00BE246F"/>
    <w:rsid w:val="00BE32D0"/>
    <w:rsid w:val="00BE391D"/>
    <w:rsid w:val="00BE3C6A"/>
    <w:rsid w:val="00BE5D51"/>
    <w:rsid w:val="00BE60DC"/>
    <w:rsid w:val="00BE6E33"/>
    <w:rsid w:val="00BE730B"/>
    <w:rsid w:val="00BF01E0"/>
    <w:rsid w:val="00BF02AC"/>
    <w:rsid w:val="00BF0E26"/>
    <w:rsid w:val="00BF2806"/>
    <w:rsid w:val="00BF30C7"/>
    <w:rsid w:val="00BF3319"/>
    <w:rsid w:val="00BF3396"/>
    <w:rsid w:val="00BF3645"/>
    <w:rsid w:val="00BF3B19"/>
    <w:rsid w:val="00BF448F"/>
    <w:rsid w:val="00BF53A6"/>
    <w:rsid w:val="00BF558C"/>
    <w:rsid w:val="00BF57E2"/>
    <w:rsid w:val="00BF6516"/>
    <w:rsid w:val="00BF757D"/>
    <w:rsid w:val="00BF7F90"/>
    <w:rsid w:val="00C00634"/>
    <w:rsid w:val="00C00DC7"/>
    <w:rsid w:val="00C019BF"/>
    <w:rsid w:val="00C03EE3"/>
    <w:rsid w:val="00C0529B"/>
    <w:rsid w:val="00C0531F"/>
    <w:rsid w:val="00C0556F"/>
    <w:rsid w:val="00C0644E"/>
    <w:rsid w:val="00C06E79"/>
    <w:rsid w:val="00C079F0"/>
    <w:rsid w:val="00C109DF"/>
    <w:rsid w:val="00C11747"/>
    <w:rsid w:val="00C118E9"/>
    <w:rsid w:val="00C120D8"/>
    <w:rsid w:val="00C136F8"/>
    <w:rsid w:val="00C16124"/>
    <w:rsid w:val="00C178BC"/>
    <w:rsid w:val="00C20313"/>
    <w:rsid w:val="00C21130"/>
    <w:rsid w:val="00C2143D"/>
    <w:rsid w:val="00C23BF5"/>
    <w:rsid w:val="00C247FF"/>
    <w:rsid w:val="00C2509A"/>
    <w:rsid w:val="00C25EF3"/>
    <w:rsid w:val="00C2653D"/>
    <w:rsid w:val="00C26A5D"/>
    <w:rsid w:val="00C2719F"/>
    <w:rsid w:val="00C27D3B"/>
    <w:rsid w:val="00C30F49"/>
    <w:rsid w:val="00C314D3"/>
    <w:rsid w:val="00C322A4"/>
    <w:rsid w:val="00C34D9C"/>
    <w:rsid w:val="00C351C5"/>
    <w:rsid w:val="00C3546B"/>
    <w:rsid w:val="00C35973"/>
    <w:rsid w:val="00C36A16"/>
    <w:rsid w:val="00C403CE"/>
    <w:rsid w:val="00C405F8"/>
    <w:rsid w:val="00C40B38"/>
    <w:rsid w:val="00C40CB7"/>
    <w:rsid w:val="00C42354"/>
    <w:rsid w:val="00C42B8B"/>
    <w:rsid w:val="00C44061"/>
    <w:rsid w:val="00C44447"/>
    <w:rsid w:val="00C46E97"/>
    <w:rsid w:val="00C479CA"/>
    <w:rsid w:val="00C509ED"/>
    <w:rsid w:val="00C54D47"/>
    <w:rsid w:val="00C55045"/>
    <w:rsid w:val="00C55079"/>
    <w:rsid w:val="00C554DF"/>
    <w:rsid w:val="00C571C1"/>
    <w:rsid w:val="00C62009"/>
    <w:rsid w:val="00C630DB"/>
    <w:rsid w:val="00C63396"/>
    <w:rsid w:val="00C63C8B"/>
    <w:rsid w:val="00C63E07"/>
    <w:rsid w:val="00C64C58"/>
    <w:rsid w:val="00C7190A"/>
    <w:rsid w:val="00C71F22"/>
    <w:rsid w:val="00C71FBB"/>
    <w:rsid w:val="00C7243E"/>
    <w:rsid w:val="00C76A34"/>
    <w:rsid w:val="00C82BC8"/>
    <w:rsid w:val="00C83327"/>
    <w:rsid w:val="00C83D20"/>
    <w:rsid w:val="00C8544F"/>
    <w:rsid w:val="00C86409"/>
    <w:rsid w:val="00C86544"/>
    <w:rsid w:val="00C870FF"/>
    <w:rsid w:val="00C87A06"/>
    <w:rsid w:val="00C87FA6"/>
    <w:rsid w:val="00C90041"/>
    <w:rsid w:val="00C9014F"/>
    <w:rsid w:val="00C9086F"/>
    <w:rsid w:val="00C90A1A"/>
    <w:rsid w:val="00C90D89"/>
    <w:rsid w:val="00C917BF"/>
    <w:rsid w:val="00C91EDF"/>
    <w:rsid w:val="00C91EF4"/>
    <w:rsid w:val="00C92893"/>
    <w:rsid w:val="00C932BA"/>
    <w:rsid w:val="00C941DB"/>
    <w:rsid w:val="00C942BD"/>
    <w:rsid w:val="00C945EE"/>
    <w:rsid w:val="00C94E82"/>
    <w:rsid w:val="00C95141"/>
    <w:rsid w:val="00C95F4D"/>
    <w:rsid w:val="00CA08B9"/>
    <w:rsid w:val="00CA11C7"/>
    <w:rsid w:val="00CA1D76"/>
    <w:rsid w:val="00CA37F6"/>
    <w:rsid w:val="00CA436F"/>
    <w:rsid w:val="00CA464D"/>
    <w:rsid w:val="00CA5C8B"/>
    <w:rsid w:val="00CA788C"/>
    <w:rsid w:val="00CB24F6"/>
    <w:rsid w:val="00CB5778"/>
    <w:rsid w:val="00CB604C"/>
    <w:rsid w:val="00CB79EB"/>
    <w:rsid w:val="00CC0B1D"/>
    <w:rsid w:val="00CC113E"/>
    <w:rsid w:val="00CC1747"/>
    <w:rsid w:val="00CC1794"/>
    <w:rsid w:val="00CC2164"/>
    <w:rsid w:val="00CC2C0E"/>
    <w:rsid w:val="00CC5132"/>
    <w:rsid w:val="00CC56EE"/>
    <w:rsid w:val="00CC5B17"/>
    <w:rsid w:val="00CC6BF1"/>
    <w:rsid w:val="00CC6C9B"/>
    <w:rsid w:val="00CC7E3A"/>
    <w:rsid w:val="00CD0090"/>
    <w:rsid w:val="00CD0C41"/>
    <w:rsid w:val="00CD0F63"/>
    <w:rsid w:val="00CD19D6"/>
    <w:rsid w:val="00CD1EA1"/>
    <w:rsid w:val="00CD2902"/>
    <w:rsid w:val="00CD2C30"/>
    <w:rsid w:val="00CD5D22"/>
    <w:rsid w:val="00CD62E2"/>
    <w:rsid w:val="00CD67AC"/>
    <w:rsid w:val="00CD73DD"/>
    <w:rsid w:val="00CD7BA4"/>
    <w:rsid w:val="00CE0186"/>
    <w:rsid w:val="00CE129F"/>
    <w:rsid w:val="00CE196A"/>
    <w:rsid w:val="00CE36A9"/>
    <w:rsid w:val="00CE4F43"/>
    <w:rsid w:val="00CE57D2"/>
    <w:rsid w:val="00CE57F1"/>
    <w:rsid w:val="00CE70E2"/>
    <w:rsid w:val="00CE7A87"/>
    <w:rsid w:val="00CF0DE2"/>
    <w:rsid w:val="00CF1968"/>
    <w:rsid w:val="00CF237B"/>
    <w:rsid w:val="00CF289D"/>
    <w:rsid w:val="00CF31AA"/>
    <w:rsid w:val="00CF41EF"/>
    <w:rsid w:val="00CF56D9"/>
    <w:rsid w:val="00CF706E"/>
    <w:rsid w:val="00CF721F"/>
    <w:rsid w:val="00CF77BB"/>
    <w:rsid w:val="00D00F2E"/>
    <w:rsid w:val="00D00FAE"/>
    <w:rsid w:val="00D0350C"/>
    <w:rsid w:val="00D03962"/>
    <w:rsid w:val="00D0449D"/>
    <w:rsid w:val="00D04719"/>
    <w:rsid w:val="00D05970"/>
    <w:rsid w:val="00D05BC7"/>
    <w:rsid w:val="00D07012"/>
    <w:rsid w:val="00D10318"/>
    <w:rsid w:val="00D10392"/>
    <w:rsid w:val="00D11FEC"/>
    <w:rsid w:val="00D12286"/>
    <w:rsid w:val="00D122F0"/>
    <w:rsid w:val="00D12339"/>
    <w:rsid w:val="00D129FA"/>
    <w:rsid w:val="00D12CAD"/>
    <w:rsid w:val="00D133D2"/>
    <w:rsid w:val="00D13D49"/>
    <w:rsid w:val="00D146AE"/>
    <w:rsid w:val="00D14CA7"/>
    <w:rsid w:val="00D16490"/>
    <w:rsid w:val="00D17178"/>
    <w:rsid w:val="00D2601A"/>
    <w:rsid w:val="00D2612B"/>
    <w:rsid w:val="00D271AE"/>
    <w:rsid w:val="00D2797C"/>
    <w:rsid w:val="00D27D18"/>
    <w:rsid w:val="00D31930"/>
    <w:rsid w:val="00D31EB1"/>
    <w:rsid w:val="00D32043"/>
    <w:rsid w:val="00D3317D"/>
    <w:rsid w:val="00D336A3"/>
    <w:rsid w:val="00D336E3"/>
    <w:rsid w:val="00D35B24"/>
    <w:rsid w:val="00D3773D"/>
    <w:rsid w:val="00D42B2A"/>
    <w:rsid w:val="00D452DB"/>
    <w:rsid w:val="00D4562C"/>
    <w:rsid w:val="00D46636"/>
    <w:rsid w:val="00D46F69"/>
    <w:rsid w:val="00D50026"/>
    <w:rsid w:val="00D50B91"/>
    <w:rsid w:val="00D50E1B"/>
    <w:rsid w:val="00D529BC"/>
    <w:rsid w:val="00D52C40"/>
    <w:rsid w:val="00D52D3D"/>
    <w:rsid w:val="00D53BBB"/>
    <w:rsid w:val="00D54666"/>
    <w:rsid w:val="00D5764C"/>
    <w:rsid w:val="00D61F10"/>
    <w:rsid w:val="00D62005"/>
    <w:rsid w:val="00D62FF0"/>
    <w:rsid w:val="00D63991"/>
    <w:rsid w:val="00D63F79"/>
    <w:rsid w:val="00D64394"/>
    <w:rsid w:val="00D64A71"/>
    <w:rsid w:val="00D65AB5"/>
    <w:rsid w:val="00D65F32"/>
    <w:rsid w:val="00D677CF"/>
    <w:rsid w:val="00D7036F"/>
    <w:rsid w:val="00D70C23"/>
    <w:rsid w:val="00D720A5"/>
    <w:rsid w:val="00D75E9D"/>
    <w:rsid w:val="00D768BC"/>
    <w:rsid w:val="00D76A57"/>
    <w:rsid w:val="00D773B3"/>
    <w:rsid w:val="00D77455"/>
    <w:rsid w:val="00D77880"/>
    <w:rsid w:val="00D77DE0"/>
    <w:rsid w:val="00D80120"/>
    <w:rsid w:val="00D80165"/>
    <w:rsid w:val="00D809F9"/>
    <w:rsid w:val="00D80EB8"/>
    <w:rsid w:val="00D8116C"/>
    <w:rsid w:val="00D82FB8"/>
    <w:rsid w:val="00D84F42"/>
    <w:rsid w:val="00D86501"/>
    <w:rsid w:val="00D86BE7"/>
    <w:rsid w:val="00D8720D"/>
    <w:rsid w:val="00D87644"/>
    <w:rsid w:val="00D90195"/>
    <w:rsid w:val="00D903E2"/>
    <w:rsid w:val="00D907AD"/>
    <w:rsid w:val="00D908E7"/>
    <w:rsid w:val="00D918A0"/>
    <w:rsid w:val="00D92A58"/>
    <w:rsid w:val="00D93888"/>
    <w:rsid w:val="00D93C19"/>
    <w:rsid w:val="00D95264"/>
    <w:rsid w:val="00D953D4"/>
    <w:rsid w:val="00D9541C"/>
    <w:rsid w:val="00D955D8"/>
    <w:rsid w:val="00D965C1"/>
    <w:rsid w:val="00D975CC"/>
    <w:rsid w:val="00D97C63"/>
    <w:rsid w:val="00DA12F0"/>
    <w:rsid w:val="00DA177A"/>
    <w:rsid w:val="00DA2A3A"/>
    <w:rsid w:val="00DA39EC"/>
    <w:rsid w:val="00DA3ABC"/>
    <w:rsid w:val="00DA62D5"/>
    <w:rsid w:val="00DA67A8"/>
    <w:rsid w:val="00DA691D"/>
    <w:rsid w:val="00DA6A06"/>
    <w:rsid w:val="00DA79BC"/>
    <w:rsid w:val="00DA7EBA"/>
    <w:rsid w:val="00DB02DD"/>
    <w:rsid w:val="00DB13A5"/>
    <w:rsid w:val="00DB1D68"/>
    <w:rsid w:val="00DB2D08"/>
    <w:rsid w:val="00DB2F35"/>
    <w:rsid w:val="00DB3946"/>
    <w:rsid w:val="00DB4227"/>
    <w:rsid w:val="00DB5933"/>
    <w:rsid w:val="00DB6270"/>
    <w:rsid w:val="00DB6F2B"/>
    <w:rsid w:val="00DC0341"/>
    <w:rsid w:val="00DC0402"/>
    <w:rsid w:val="00DC11E7"/>
    <w:rsid w:val="00DC18A9"/>
    <w:rsid w:val="00DC37A3"/>
    <w:rsid w:val="00DC3CC8"/>
    <w:rsid w:val="00DC4869"/>
    <w:rsid w:val="00DC5B53"/>
    <w:rsid w:val="00DC7936"/>
    <w:rsid w:val="00DD0941"/>
    <w:rsid w:val="00DD205C"/>
    <w:rsid w:val="00DD2283"/>
    <w:rsid w:val="00DD27CE"/>
    <w:rsid w:val="00DD2CD8"/>
    <w:rsid w:val="00DD3356"/>
    <w:rsid w:val="00DD5843"/>
    <w:rsid w:val="00DD73DB"/>
    <w:rsid w:val="00DD76F4"/>
    <w:rsid w:val="00DD7722"/>
    <w:rsid w:val="00DE11D8"/>
    <w:rsid w:val="00DE123B"/>
    <w:rsid w:val="00DE12F6"/>
    <w:rsid w:val="00DE16A0"/>
    <w:rsid w:val="00DE17E0"/>
    <w:rsid w:val="00DE18EB"/>
    <w:rsid w:val="00DE1DC6"/>
    <w:rsid w:val="00DE3A4D"/>
    <w:rsid w:val="00DE3A5B"/>
    <w:rsid w:val="00DE4598"/>
    <w:rsid w:val="00DE58F9"/>
    <w:rsid w:val="00DE6456"/>
    <w:rsid w:val="00DE6D11"/>
    <w:rsid w:val="00DE71C4"/>
    <w:rsid w:val="00DF052E"/>
    <w:rsid w:val="00DF107B"/>
    <w:rsid w:val="00DF258A"/>
    <w:rsid w:val="00DF3BC1"/>
    <w:rsid w:val="00DF3C40"/>
    <w:rsid w:val="00DF4952"/>
    <w:rsid w:val="00DF67FF"/>
    <w:rsid w:val="00DF6921"/>
    <w:rsid w:val="00E03661"/>
    <w:rsid w:val="00E0369E"/>
    <w:rsid w:val="00E05BDE"/>
    <w:rsid w:val="00E05E21"/>
    <w:rsid w:val="00E07744"/>
    <w:rsid w:val="00E07DD7"/>
    <w:rsid w:val="00E11111"/>
    <w:rsid w:val="00E11707"/>
    <w:rsid w:val="00E117A8"/>
    <w:rsid w:val="00E12451"/>
    <w:rsid w:val="00E13A8D"/>
    <w:rsid w:val="00E1550D"/>
    <w:rsid w:val="00E17FB4"/>
    <w:rsid w:val="00E2064E"/>
    <w:rsid w:val="00E206ED"/>
    <w:rsid w:val="00E208A4"/>
    <w:rsid w:val="00E24738"/>
    <w:rsid w:val="00E2567B"/>
    <w:rsid w:val="00E2570C"/>
    <w:rsid w:val="00E25EEC"/>
    <w:rsid w:val="00E27294"/>
    <w:rsid w:val="00E30236"/>
    <w:rsid w:val="00E305F2"/>
    <w:rsid w:val="00E30D7F"/>
    <w:rsid w:val="00E30E9A"/>
    <w:rsid w:val="00E3122F"/>
    <w:rsid w:val="00E31539"/>
    <w:rsid w:val="00E31EFC"/>
    <w:rsid w:val="00E330AA"/>
    <w:rsid w:val="00E330CF"/>
    <w:rsid w:val="00E3458C"/>
    <w:rsid w:val="00E349E9"/>
    <w:rsid w:val="00E35ECE"/>
    <w:rsid w:val="00E36625"/>
    <w:rsid w:val="00E404CB"/>
    <w:rsid w:val="00E41A5E"/>
    <w:rsid w:val="00E429F1"/>
    <w:rsid w:val="00E43A04"/>
    <w:rsid w:val="00E43B45"/>
    <w:rsid w:val="00E44246"/>
    <w:rsid w:val="00E44C55"/>
    <w:rsid w:val="00E46205"/>
    <w:rsid w:val="00E465E8"/>
    <w:rsid w:val="00E46A29"/>
    <w:rsid w:val="00E472BA"/>
    <w:rsid w:val="00E506C8"/>
    <w:rsid w:val="00E51402"/>
    <w:rsid w:val="00E514C8"/>
    <w:rsid w:val="00E520E1"/>
    <w:rsid w:val="00E52634"/>
    <w:rsid w:val="00E56255"/>
    <w:rsid w:val="00E56BF3"/>
    <w:rsid w:val="00E57474"/>
    <w:rsid w:val="00E608BF"/>
    <w:rsid w:val="00E60986"/>
    <w:rsid w:val="00E61820"/>
    <w:rsid w:val="00E61CCD"/>
    <w:rsid w:val="00E62270"/>
    <w:rsid w:val="00E6477B"/>
    <w:rsid w:val="00E64E6C"/>
    <w:rsid w:val="00E65659"/>
    <w:rsid w:val="00E6592F"/>
    <w:rsid w:val="00E67B8D"/>
    <w:rsid w:val="00E70074"/>
    <w:rsid w:val="00E707E3"/>
    <w:rsid w:val="00E70B3F"/>
    <w:rsid w:val="00E71211"/>
    <w:rsid w:val="00E71D3A"/>
    <w:rsid w:val="00E7436A"/>
    <w:rsid w:val="00E747A8"/>
    <w:rsid w:val="00E74B97"/>
    <w:rsid w:val="00E74D7E"/>
    <w:rsid w:val="00E75AAF"/>
    <w:rsid w:val="00E7679A"/>
    <w:rsid w:val="00E76FDC"/>
    <w:rsid w:val="00E772F5"/>
    <w:rsid w:val="00E77BAF"/>
    <w:rsid w:val="00E77BFC"/>
    <w:rsid w:val="00E80C67"/>
    <w:rsid w:val="00E80DC6"/>
    <w:rsid w:val="00E826A1"/>
    <w:rsid w:val="00E83FAA"/>
    <w:rsid w:val="00E8402D"/>
    <w:rsid w:val="00E8460D"/>
    <w:rsid w:val="00E8470E"/>
    <w:rsid w:val="00E86AFA"/>
    <w:rsid w:val="00E87CB9"/>
    <w:rsid w:val="00E9204D"/>
    <w:rsid w:val="00E935AC"/>
    <w:rsid w:val="00E95559"/>
    <w:rsid w:val="00E95FDD"/>
    <w:rsid w:val="00E97F6E"/>
    <w:rsid w:val="00EA0106"/>
    <w:rsid w:val="00EA0DDB"/>
    <w:rsid w:val="00EA22D2"/>
    <w:rsid w:val="00EA2991"/>
    <w:rsid w:val="00EA35AF"/>
    <w:rsid w:val="00EA4EF3"/>
    <w:rsid w:val="00EA76D8"/>
    <w:rsid w:val="00EA7D9C"/>
    <w:rsid w:val="00EB1326"/>
    <w:rsid w:val="00EB1918"/>
    <w:rsid w:val="00EB216B"/>
    <w:rsid w:val="00EB2A50"/>
    <w:rsid w:val="00EB2A60"/>
    <w:rsid w:val="00EB4559"/>
    <w:rsid w:val="00EB4F0F"/>
    <w:rsid w:val="00EB53C0"/>
    <w:rsid w:val="00EB57D9"/>
    <w:rsid w:val="00EB5F08"/>
    <w:rsid w:val="00EB603B"/>
    <w:rsid w:val="00EB6660"/>
    <w:rsid w:val="00EB6C62"/>
    <w:rsid w:val="00EB7268"/>
    <w:rsid w:val="00EC00A5"/>
    <w:rsid w:val="00EC0C55"/>
    <w:rsid w:val="00EC1A90"/>
    <w:rsid w:val="00EC4857"/>
    <w:rsid w:val="00ED0E2F"/>
    <w:rsid w:val="00ED14C1"/>
    <w:rsid w:val="00ED3F59"/>
    <w:rsid w:val="00ED3F62"/>
    <w:rsid w:val="00ED43B9"/>
    <w:rsid w:val="00ED5439"/>
    <w:rsid w:val="00ED658A"/>
    <w:rsid w:val="00ED6901"/>
    <w:rsid w:val="00EE1735"/>
    <w:rsid w:val="00EE1B27"/>
    <w:rsid w:val="00EE58D5"/>
    <w:rsid w:val="00EE5B75"/>
    <w:rsid w:val="00EE78CA"/>
    <w:rsid w:val="00EF02CF"/>
    <w:rsid w:val="00EF1061"/>
    <w:rsid w:val="00EF2222"/>
    <w:rsid w:val="00EF2D71"/>
    <w:rsid w:val="00EF3C8D"/>
    <w:rsid w:val="00EF4B7B"/>
    <w:rsid w:val="00EF4DD7"/>
    <w:rsid w:val="00EF613B"/>
    <w:rsid w:val="00EF62EF"/>
    <w:rsid w:val="00EF6AE7"/>
    <w:rsid w:val="00EF7463"/>
    <w:rsid w:val="00EF7B85"/>
    <w:rsid w:val="00EF7C15"/>
    <w:rsid w:val="00F01CA6"/>
    <w:rsid w:val="00F01F8B"/>
    <w:rsid w:val="00F0223C"/>
    <w:rsid w:val="00F026CB"/>
    <w:rsid w:val="00F029AD"/>
    <w:rsid w:val="00F0303C"/>
    <w:rsid w:val="00F044DD"/>
    <w:rsid w:val="00F06D36"/>
    <w:rsid w:val="00F10480"/>
    <w:rsid w:val="00F109AC"/>
    <w:rsid w:val="00F109B3"/>
    <w:rsid w:val="00F10D8F"/>
    <w:rsid w:val="00F10F78"/>
    <w:rsid w:val="00F11001"/>
    <w:rsid w:val="00F1294A"/>
    <w:rsid w:val="00F12D26"/>
    <w:rsid w:val="00F12DD7"/>
    <w:rsid w:val="00F12FBD"/>
    <w:rsid w:val="00F1315B"/>
    <w:rsid w:val="00F14566"/>
    <w:rsid w:val="00F158FA"/>
    <w:rsid w:val="00F15DE3"/>
    <w:rsid w:val="00F15F1A"/>
    <w:rsid w:val="00F175B4"/>
    <w:rsid w:val="00F201C9"/>
    <w:rsid w:val="00F21211"/>
    <w:rsid w:val="00F21447"/>
    <w:rsid w:val="00F21AED"/>
    <w:rsid w:val="00F21EA0"/>
    <w:rsid w:val="00F2252A"/>
    <w:rsid w:val="00F229D8"/>
    <w:rsid w:val="00F22CC7"/>
    <w:rsid w:val="00F24434"/>
    <w:rsid w:val="00F253CA"/>
    <w:rsid w:val="00F2630D"/>
    <w:rsid w:val="00F271AA"/>
    <w:rsid w:val="00F27E4A"/>
    <w:rsid w:val="00F30A50"/>
    <w:rsid w:val="00F31609"/>
    <w:rsid w:val="00F31E62"/>
    <w:rsid w:val="00F333F4"/>
    <w:rsid w:val="00F344C6"/>
    <w:rsid w:val="00F352C7"/>
    <w:rsid w:val="00F36AED"/>
    <w:rsid w:val="00F36D40"/>
    <w:rsid w:val="00F37E44"/>
    <w:rsid w:val="00F402C9"/>
    <w:rsid w:val="00F407DD"/>
    <w:rsid w:val="00F409E8"/>
    <w:rsid w:val="00F40C78"/>
    <w:rsid w:val="00F41CCB"/>
    <w:rsid w:val="00F4332F"/>
    <w:rsid w:val="00F434FC"/>
    <w:rsid w:val="00F43B98"/>
    <w:rsid w:val="00F4510C"/>
    <w:rsid w:val="00F46294"/>
    <w:rsid w:val="00F47E25"/>
    <w:rsid w:val="00F50A4A"/>
    <w:rsid w:val="00F5169B"/>
    <w:rsid w:val="00F52180"/>
    <w:rsid w:val="00F53532"/>
    <w:rsid w:val="00F539EB"/>
    <w:rsid w:val="00F53BF6"/>
    <w:rsid w:val="00F57398"/>
    <w:rsid w:val="00F57F53"/>
    <w:rsid w:val="00F6045F"/>
    <w:rsid w:val="00F61B53"/>
    <w:rsid w:val="00F61F05"/>
    <w:rsid w:val="00F65647"/>
    <w:rsid w:val="00F66A91"/>
    <w:rsid w:val="00F674A6"/>
    <w:rsid w:val="00F67EAD"/>
    <w:rsid w:val="00F67EE7"/>
    <w:rsid w:val="00F70B97"/>
    <w:rsid w:val="00F71DE9"/>
    <w:rsid w:val="00F73035"/>
    <w:rsid w:val="00F74319"/>
    <w:rsid w:val="00F7745E"/>
    <w:rsid w:val="00F77A3B"/>
    <w:rsid w:val="00F80A75"/>
    <w:rsid w:val="00F80EFA"/>
    <w:rsid w:val="00F81E15"/>
    <w:rsid w:val="00F81E97"/>
    <w:rsid w:val="00F823E4"/>
    <w:rsid w:val="00F82F1F"/>
    <w:rsid w:val="00F83749"/>
    <w:rsid w:val="00F83F8B"/>
    <w:rsid w:val="00F84000"/>
    <w:rsid w:val="00F8470E"/>
    <w:rsid w:val="00F86669"/>
    <w:rsid w:val="00F87B8E"/>
    <w:rsid w:val="00F9195E"/>
    <w:rsid w:val="00F91FAF"/>
    <w:rsid w:val="00F9218B"/>
    <w:rsid w:val="00F93525"/>
    <w:rsid w:val="00F93BE5"/>
    <w:rsid w:val="00F95879"/>
    <w:rsid w:val="00F958F9"/>
    <w:rsid w:val="00F95B66"/>
    <w:rsid w:val="00F975B8"/>
    <w:rsid w:val="00F97D16"/>
    <w:rsid w:val="00F97FCB"/>
    <w:rsid w:val="00FA0A28"/>
    <w:rsid w:val="00FA1C33"/>
    <w:rsid w:val="00FA24D0"/>
    <w:rsid w:val="00FA2EC8"/>
    <w:rsid w:val="00FA3151"/>
    <w:rsid w:val="00FA3266"/>
    <w:rsid w:val="00FA4DF2"/>
    <w:rsid w:val="00FA594B"/>
    <w:rsid w:val="00FA7C7A"/>
    <w:rsid w:val="00FB23D9"/>
    <w:rsid w:val="00FB4B49"/>
    <w:rsid w:val="00FB53A2"/>
    <w:rsid w:val="00FB5593"/>
    <w:rsid w:val="00FB6799"/>
    <w:rsid w:val="00FC0533"/>
    <w:rsid w:val="00FC0A4A"/>
    <w:rsid w:val="00FC0C64"/>
    <w:rsid w:val="00FC0DCE"/>
    <w:rsid w:val="00FC0E79"/>
    <w:rsid w:val="00FC2C98"/>
    <w:rsid w:val="00FC3303"/>
    <w:rsid w:val="00FC6C3D"/>
    <w:rsid w:val="00FD0235"/>
    <w:rsid w:val="00FD06E3"/>
    <w:rsid w:val="00FD098C"/>
    <w:rsid w:val="00FD1D4A"/>
    <w:rsid w:val="00FD1F69"/>
    <w:rsid w:val="00FD338E"/>
    <w:rsid w:val="00FD39A3"/>
    <w:rsid w:val="00FD3D4D"/>
    <w:rsid w:val="00FD4D1F"/>
    <w:rsid w:val="00FD4E66"/>
    <w:rsid w:val="00FD4F68"/>
    <w:rsid w:val="00FD609E"/>
    <w:rsid w:val="00FD652C"/>
    <w:rsid w:val="00FD6585"/>
    <w:rsid w:val="00FD7133"/>
    <w:rsid w:val="00FD7D5F"/>
    <w:rsid w:val="00FD7E15"/>
    <w:rsid w:val="00FE0B0D"/>
    <w:rsid w:val="00FE14A8"/>
    <w:rsid w:val="00FE2733"/>
    <w:rsid w:val="00FE51BC"/>
    <w:rsid w:val="00FE69F9"/>
    <w:rsid w:val="00FF093C"/>
    <w:rsid w:val="00FF0E3F"/>
    <w:rsid w:val="00FF186F"/>
    <w:rsid w:val="00FF1E0D"/>
    <w:rsid w:val="00FF2B4C"/>
    <w:rsid w:val="00FF317A"/>
    <w:rsid w:val="00FF3844"/>
    <w:rsid w:val="00FF61E8"/>
    <w:rsid w:val="00FF6346"/>
    <w:rsid w:val="00FF7A5C"/>
    <w:rsid w:val="043358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6787FBD4-E5AE-48FC-9DE7-DAFD3058F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1E4F99"/>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ind w:left="850"/>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1E4F99"/>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unhideWhenUsed/>
    <w:qFormat/>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link w:val="ListParagraphChar"/>
    <w:uiPriority w:val="34"/>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styleId="UnresolvedMention">
    <w:name w:val="Unresolved Mention"/>
    <w:basedOn w:val="DefaultParagraphFont"/>
    <w:uiPriority w:val="99"/>
    <w:semiHidden/>
    <w:unhideWhenUsed/>
    <w:rsid w:val="00B41E78"/>
    <w:rPr>
      <w:color w:val="605E5C"/>
      <w:shd w:val="clear" w:color="auto" w:fill="E1DFDD"/>
    </w:rPr>
  </w:style>
  <w:style w:type="character" w:customStyle="1" w:styleId="ListParagraphChar">
    <w:name w:val="List Paragraph Char"/>
    <w:link w:val="ListParagraph"/>
    <w:uiPriority w:val="34"/>
    <w:rsid w:val="00A30146"/>
    <w:rPr>
      <w:kern w:val="18"/>
      <w:sz w:val="20"/>
    </w:rPr>
  </w:style>
  <w:style w:type="paragraph" w:customStyle="1" w:styleId="TextNormal">
    <w:name w:val="TextNormal"/>
    <w:link w:val="TextNormalChar"/>
    <w:qFormat/>
    <w:rsid w:val="009969F2"/>
    <w:pPr>
      <w:spacing w:line="276" w:lineRule="auto"/>
      <w:jc w:val="both"/>
    </w:pPr>
    <w:rPr>
      <w:rFonts w:ascii="Segoe UI" w:hAnsi="Segoe UI"/>
      <w:sz w:val="20"/>
      <w:szCs w:val="22"/>
      <w:lang w:val="en-IE"/>
    </w:rPr>
  </w:style>
  <w:style w:type="table" w:styleId="GridTable4-Accent3">
    <w:name w:val="Grid Table 4 Accent 3"/>
    <w:basedOn w:val="TableNormal"/>
    <w:uiPriority w:val="49"/>
    <w:rsid w:val="009969F2"/>
    <w:rPr>
      <w:rFonts w:ascii="Times New Roman" w:eastAsia="Times New Roman" w:hAnsi="Times New Roman" w:cs="Times New Roman"/>
      <w:sz w:val="20"/>
      <w:szCs w:val="20"/>
      <w:lang w:val="en-IE" w:eastAsia="en-IE"/>
    </w:rPr>
    <w:tblPr>
      <w:tblStyleRowBandSize w:val="1"/>
      <w:tblStyleColBandSize w:val="1"/>
      <w:tblBorders>
        <w:top w:val="single" w:sz="4" w:space="0" w:color="CEE097" w:themeColor="accent3" w:themeTint="99"/>
        <w:left w:val="single" w:sz="4" w:space="0" w:color="CEE097" w:themeColor="accent3" w:themeTint="99"/>
        <w:bottom w:val="single" w:sz="4" w:space="0" w:color="CEE097" w:themeColor="accent3" w:themeTint="99"/>
        <w:right w:val="single" w:sz="4" w:space="0" w:color="CEE097" w:themeColor="accent3" w:themeTint="99"/>
        <w:insideH w:val="single" w:sz="4" w:space="0" w:color="CEE097" w:themeColor="accent3" w:themeTint="99"/>
        <w:insideV w:val="single" w:sz="4" w:space="0" w:color="CEE097" w:themeColor="accent3" w:themeTint="99"/>
      </w:tblBorders>
    </w:tblPr>
    <w:tblStylePr w:type="firstRow">
      <w:rPr>
        <w:b/>
        <w:bCs/>
        <w:color w:val="FFFFFF" w:themeColor="background1"/>
      </w:rPr>
      <w:tblPr/>
      <w:tcPr>
        <w:tcBorders>
          <w:top w:val="single" w:sz="4" w:space="0" w:color="AECC53" w:themeColor="accent3"/>
          <w:left w:val="single" w:sz="4" w:space="0" w:color="AECC53" w:themeColor="accent3"/>
          <w:bottom w:val="single" w:sz="4" w:space="0" w:color="AECC53" w:themeColor="accent3"/>
          <w:right w:val="single" w:sz="4" w:space="0" w:color="AECC53" w:themeColor="accent3"/>
          <w:insideH w:val="nil"/>
          <w:insideV w:val="nil"/>
        </w:tcBorders>
        <w:shd w:val="clear" w:color="auto" w:fill="AECC53" w:themeFill="accent3"/>
      </w:tcPr>
    </w:tblStylePr>
    <w:tblStylePr w:type="lastRow">
      <w:rPr>
        <w:b/>
        <w:bCs/>
      </w:rPr>
      <w:tblPr/>
      <w:tcPr>
        <w:tcBorders>
          <w:top w:val="double" w:sz="4" w:space="0" w:color="AECC53" w:themeColor="accent3"/>
        </w:tcBorders>
      </w:tcPr>
    </w:tblStylePr>
    <w:tblStylePr w:type="firstCol">
      <w:rPr>
        <w:b/>
        <w:bCs/>
      </w:rPr>
    </w:tblStylePr>
    <w:tblStylePr w:type="lastCol">
      <w:rPr>
        <w:b/>
        <w:bCs/>
      </w:rPr>
    </w:tblStylePr>
    <w:tblStylePr w:type="band1Vert">
      <w:tblPr/>
      <w:tcPr>
        <w:shd w:val="clear" w:color="auto" w:fill="EEF4DC" w:themeFill="accent3" w:themeFillTint="33"/>
      </w:tcPr>
    </w:tblStylePr>
    <w:tblStylePr w:type="band1Horz">
      <w:tblPr/>
      <w:tcPr>
        <w:shd w:val="clear" w:color="auto" w:fill="EEF4DC" w:themeFill="accent3" w:themeFillTint="33"/>
      </w:tcPr>
    </w:tblStylePr>
  </w:style>
  <w:style w:type="character" w:customStyle="1" w:styleId="TextNormalChar">
    <w:name w:val="TextNormal Char"/>
    <w:basedOn w:val="DefaultParagraphFont"/>
    <w:link w:val="TextNormal"/>
    <w:rsid w:val="009969F2"/>
    <w:rPr>
      <w:rFonts w:ascii="Segoe UI" w:hAnsi="Segoe UI"/>
      <w:sz w:val="20"/>
      <w:szCs w:val="22"/>
      <w:lang w:val="en-IE"/>
    </w:rPr>
  </w:style>
  <w:style w:type="character" w:customStyle="1" w:styleId="normaltextrun">
    <w:name w:val="normaltextrun"/>
    <w:basedOn w:val="DefaultParagraphFont"/>
    <w:rsid w:val="007305BD"/>
  </w:style>
  <w:style w:type="paragraph" w:styleId="Revision">
    <w:name w:val="Revision"/>
    <w:hidden/>
    <w:uiPriority w:val="99"/>
    <w:semiHidden/>
    <w:rsid w:val="00347F07"/>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chart" Target="charts/chart1.xml"/><Relationship Id="rId29" Type="http://schemas.openxmlformats.org/officeDocument/2006/relationships/image" Target="media/image11.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chart" Target="charts/chart4.xml"/><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chart" Target="charts/chart3.xm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cso.ie/table/SAP2022T11T1TOWN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accabedurneybarnes.sharepoint.com/Tejal/South%20Dublin%20County%20Council/2300%20Rathcoole%20Housing%20-%20RTHCL/05%20WIP/EIAR/2300%20-%20RTHCL%20-%20Population%20and%20Human%20Health.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accabedurneybarnes.sharepoint.com/Tejal/South%20Dublin%20County%20Council/2300%20Rathcoole%20Housing%20-%20RTHCL/05%20WIP/EIAR/2300%20-%20RTHCL%20-%20Population%20and%20Human%20Health.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maccabedurneybarnes.sharepoint.com/Tejal/South%20Dublin%20County%20Council/2300%20Rathcoole%20Housing%20-%20RTHCL/05%20WIP/EIAR/2300%20-%20RTHCL%20-%20Population%20and%20Human%20Health.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maccabedurneybarnes.sharepoint.com/Tejal/South%20Dublin%20County%20Council/2300%20Rathcoole%20Housing%20-%20RTHCL/05%20WIP/EIAR/2300%20-%20RTHCL%20-%20Population%20and%20Human%20Health.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IE">
                <a:solidFill>
                  <a:sysClr val="windowText" lastClr="000000"/>
                </a:solidFill>
              </a:rPr>
              <a:t>Household Size Distribution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areaChart>
        <c:grouping val="stacked"/>
        <c:varyColors val="0"/>
        <c:ser>
          <c:idx val="0"/>
          <c:order val="0"/>
          <c:tx>
            <c:strRef>
              <c:f>'Household size'!$B$14</c:f>
              <c:strCache>
                <c:ptCount val="1"/>
                <c:pt idx="0">
                  <c:v>Rathcoole Town</c:v>
                </c:pt>
              </c:strCache>
            </c:strRef>
          </c:tx>
          <c:spPr>
            <a:solidFill>
              <a:schemeClr val="accent1"/>
            </a:solidFill>
            <a:ln>
              <a:noFill/>
            </a:ln>
            <a:effectLst/>
          </c:spPr>
          <c:cat>
            <c:strRef>
              <c:f>'Household size'!$A$15:$A$22</c:f>
              <c:strCache>
                <c:ptCount val="8"/>
                <c:pt idx="0">
                  <c:v>1 person households</c:v>
                </c:pt>
                <c:pt idx="1">
                  <c:v>2 person households</c:v>
                </c:pt>
                <c:pt idx="2">
                  <c:v>3 person households</c:v>
                </c:pt>
                <c:pt idx="3">
                  <c:v>4 person households</c:v>
                </c:pt>
                <c:pt idx="4">
                  <c:v>5 person households</c:v>
                </c:pt>
                <c:pt idx="5">
                  <c:v>6 person households</c:v>
                </c:pt>
                <c:pt idx="6">
                  <c:v>7 person households</c:v>
                </c:pt>
                <c:pt idx="7">
                  <c:v>8 or more persons households</c:v>
                </c:pt>
              </c:strCache>
            </c:strRef>
          </c:cat>
          <c:val>
            <c:numRef>
              <c:f>'Household size'!$B$15:$B$22</c:f>
              <c:numCache>
                <c:formatCode>General</c:formatCode>
                <c:ptCount val="8"/>
                <c:pt idx="0">
                  <c:v>312</c:v>
                </c:pt>
                <c:pt idx="1">
                  <c:v>522</c:v>
                </c:pt>
                <c:pt idx="2">
                  <c:v>378</c:v>
                </c:pt>
                <c:pt idx="3">
                  <c:v>436</c:v>
                </c:pt>
                <c:pt idx="4">
                  <c:v>214</c:v>
                </c:pt>
                <c:pt idx="5">
                  <c:v>46</c:v>
                </c:pt>
                <c:pt idx="6">
                  <c:v>12</c:v>
                </c:pt>
                <c:pt idx="7">
                  <c:v>4</c:v>
                </c:pt>
              </c:numCache>
            </c:numRef>
          </c:val>
          <c:extLst>
            <c:ext xmlns:c16="http://schemas.microsoft.com/office/drawing/2014/chart" uri="{C3380CC4-5D6E-409C-BE32-E72D297353CC}">
              <c16:uniqueId val="{00000000-82F9-4C92-8EFC-8388FAFC6F95}"/>
            </c:ext>
          </c:extLst>
        </c:ser>
        <c:ser>
          <c:idx val="1"/>
          <c:order val="1"/>
          <c:tx>
            <c:strRef>
              <c:f>'Household size'!$C$14</c:f>
              <c:strCache>
                <c:ptCount val="1"/>
                <c:pt idx="0">
                  <c:v>Rathcoole ED</c:v>
                </c:pt>
              </c:strCache>
            </c:strRef>
          </c:tx>
          <c:spPr>
            <a:solidFill>
              <a:schemeClr val="accent2"/>
            </a:solidFill>
            <a:ln>
              <a:noFill/>
            </a:ln>
            <a:effectLst/>
          </c:spPr>
          <c:cat>
            <c:strRef>
              <c:f>'Household size'!$A$15:$A$22</c:f>
              <c:strCache>
                <c:ptCount val="8"/>
                <c:pt idx="0">
                  <c:v>1 person households</c:v>
                </c:pt>
                <c:pt idx="1">
                  <c:v>2 person households</c:v>
                </c:pt>
                <c:pt idx="2">
                  <c:v>3 person households</c:v>
                </c:pt>
                <c:pt idx="3">
                  <c:v>4 person households</c:v>
                </c:pt>
                <c:pt idx="4">
                  <c:v>5 person households</c:v>
                </c:pt>
                <c:pt idx="5">
                  <c:v>6 person households</c:v>
                </c:pt>
                <c:pt idx="6">
                  <c:v>7 person households</c:v>
                </c:pt>
                <c:pt idx="7">
                  <c:v>8 or more persons households</c:v>
                </c:pt>
              </c:strCache>
            </c:strRef>
          </c:cat>
          <c:val>
            <c:numRef>
              <c:f>'Household size'!$C$15:$C$22</c:f>
              <c:numCache>
                <c:formatCode>General</c:formatCode>
                <c:ptCount val="8"/>
                <c:pt idx="0">
                  <c:v>334</c:v>
                </c:pt>
                <c:pt idx="1">
                  <c:v>597</c:v>
                </c:pt>
                <c:pt idx="2">
                  <c:v>427</c:v>
                </c:pt>
                <c:pt idx="3">
                  <c:v>480</c:v>
                </c:pt>
                <c:pt idx="4">
                  <c:v>251</c:v>
                </c:pt>
                <c:pt idx="5">
                  <c:v>58</c:v>
                </c:pt>
                <c:pt idx="6">
                  <c:v>18</c:v>
                </c:pt>
                <c:pt idx="7">
                  <c:v>7</c:v>
                </c:pt>
              </c:numCache>
            </c:numRef>
          </c:val>
          <c:extLst>
            <c:ext xmlns:c16="http://schemas.microsoft.com/office/drawing/2014/chart" uri="{C3380CC4-5D6E-409C-BE32-E72D297353CC}">
              <c16:uniqueId val="{00000001-82F9-4C92-8EFC-8388FAFC6F95}"/>
            </c:ext>
          </c:extLst>
        </c:ser>
        <c:ser>
          <c:idx val="2"/>
          <c:order val="2"/>
          <c:tx>
            <c:strRef>
              <c:f>'Household size'!$D$14</c:f>
              <c:strCache>
                <c:ptCount val="1"/>
                <c:pt idx="0">
                  <c:v>Saggart ED</c:v>
                </c:pt>
              </c:strCache>
            </c:strRef>
          </c:tx>
          <c:spPr>
            <a:solidFill>
              <a:schemeClr val="accent3"/>
            </a:solidFill>
            <a:ln>
              <a:noFill/>
            </a:ln>
            <a:effectLst/>
          </c:spPr>
          <c:cat>
            <c:strRef>
              <c:f>'Household size'!$A$15:$A$22</c:f>
              <c:strCache>
                <c:ptCount val="8"/>
                <c:pt idx="0">
                  <c:v>1 person households</c:v>
                </c:pt>
                <c:pt idx="1">
                  <c:v>2 person households</c:v>
                </c:pt>
                <c:pt idx="2">
                  <c:v>3 person households</c:v>
                </c:pt>
                <c:pt idx="3">
                  <c:v>4 person households</c:v>
                </c:pt>
                <c:pt idx="4">
                  <c:v>5 person households</c:v>
                </c:pt>
                <c:pt idx="5">
                  <c:v>6 person households</c:v>
                </c:pt>
                <c:pt idx="6">
                  <c:v>7 person households</c:v>
                </c:pt>
                <c:pt idx="7">
                  <c:v>8 or more persons households</c:v>
                </c:pt>
              </c:strCache>
            </c:strRef>
          </c:cat>
          <c:val>
            <c:numRef>
              <c:f>'Household size'!$D$15:$D$22</c:f>
              <c:numCache>
                <c:formatCode>General</c:formatCode>
                <c:ptCount val="8"/>
                <c:pt idx="0">
                  <c:v>304</c:v>
                </c:pt>
                <c:pt idx="1">
                  <c:v>465</c:v>
                </c:pt>
                <c:pt idx="2">
                  <c:v>409</c:v>
                </c:pt>
                <c:pt idx="3">
                  <c:v>406</c:v>
                </c:pt>
                <c:pt idx="4">
                  <c:v>133</c:v>
                </c:pt>
                <c:pt idx="5">
                  <c:v>50</c:v>
                </c:pt>
                <c:pt idx="6">
                  <c:v>13</c:v>
                </c:pt>
                <c:pt idx="7">
                  <c:v>11</c:v>
                </c:pt>
              </c:numCache>
            </c:numRef>
          </c:val>
          <c:extLst>
            <c:ext xmlns:c16="http://schemas.microsoft.com/office/drawing/2014/chart" uri="{C3380CC4-5D6E-409C-BE32-E72D297353CC}">
              <c16:uniqueId val="{00000002-82F9-4C92-8EFC-8388FAFC6F95}"/>
            </c:ext>
          </c:extLst>
        </c:ser>
        <c:dLbls>
          <c:showLegendKey val="0"/>
          <c:showVal val="0"/>
          <c:showCatName val="0"/>
          <c:showSerName val="0"/>
          <c:showPercent val="0"/>
          <c:showBubbleSize val="0"/>
        </c:dLbls>
        <c:axId val="534685416"/>
        <c:axId val="534683256"/>
      </c:areaChart>
      <c:catAx>
        <c:axId val="534685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4683256"/>
        <c:crosses val="autoZero"/>
        <c:auto val="1"/>
        <c:lblAlgn val="ctr"/>
        <c:lblOffset val="100"/>
        <c:noMultiLvlLbl val="0"/>
      </c:catAx>
      <c:valAx>
        <c:axId val="534683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34685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IE">
                <a:solidFill>
                  <a:sysClr val="windowText" lastClr="000000"/>
                </a:solidFill>
              </a:rPr>
              <a:t>Population Age Distibution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tx>
            <c:strRef>
              <c:f>'Age Distribution'!$H$1</c:f>
              <c:strCache>
                <c:ptCount val="1"/>
                <c:pt idx="0">
                  <c:v>South Dublin County</c:v>
                </c:pt>
              </c:strCache>
            </c:strRef>
          </c:tx>
          <c:spPr>
            <a:solidFill>
              <a:schemeClr val="accent1"/>
            </a:solidFill>
            <a:ln>
              <a:noFill/>
            </a:ln>
            <a:effectLst/>
          </c:spPr>
          <c:invertIfNegative val="0"/>
          <c:cat>
            <c:strRef>
              <c:f>'Age Distribution'!$G$2:$G$19</c:f>
              <c:strCache>
                <c:ptCount val="18"/>
                <c:pt idx="0">
                  <c:v>Age 0-4</c:v>
                </c:pt>
                <c:pt idx="1">
                  <c:v>Age 5-9</c:v>
                </c:pt>
                <c:pt idx="2">
                  <c:v>Age 10-14</c:v>
                </c:pt>
                <c:pt idx="3">
                  <c:v>Age 15-19</c:v>
                </c:pt>
                <c:pt idx="4">
                  <c:v>Age 20-24</c:v>
                </c:pt>
                <c:pt idx="5">
                  <c:v>Age 25-29</c:v>
                </c:pt>
                <c:pt idx="6">
                  <c:v>Age 30-34</c:v>
                </c:pt>
                <c:pt idx="7">
                  <c:v>Age 35-39</c:v>
                </c:pt>
                <c:pt idx="8">
                  <c:v>Age 40-44</c:v>
                </c:pt>
                <c:pt idx="9">
                  <c:v>Age 45-49</c:v>
                </c:pt>
                <c:pt idx="10">
                  <c:v>Age 50-54</c:v>
                </c:pt>
                <c:pt idx="11">
                  <c:v>Age 55-59</c:v>
                </c:pt>
                <c:pt idx="12">
                  <c:v>Age 60-64</c:v>
                </c:pt>
                <c:pt idx="13">
                  <c:v>Age 65-69</c:v>
                </c:pt>
                <c:pt idx="14">
                  <c:v>Age 70-74</c:v>
                </c:pt>
                <c:pt idx="15">
                  <c:v>Age 75-79</c:v>
                </c:pt>
                <c:pt idx="16">
                  <c:v>Age 80-84</c:v>
                </c:pt>
                <c:pt idx="17">
                  <c:v>Age 85 and over</c:v>
                </c:pt>
              </c:strCache>
            </c:strRef>
          </c:cat>
          <c:val>
            <c:numRef>
              <c:f>'Age Distribution'!$H$2:$H$19</c:f>
              <c:numCache>
                <c:formatCode>General</c:formatCode>
                <c:ptCount val="18"/>
                <c:pt idx="0">
                  <c:v>6.2034376816407874E-2</c:v>
                </c:pt>
                <c:pt idx="1">
                  <c:v>7.1975421406626258E-2</c:v>
                </c:pt>
                <c:pt idx="2">
                  <c:v>7.8525284397575348E-2</c:v>
                </c:pt>
                <c:pt idx="3">
                  <c:v>6.7723989039275928E-2</c:v>
                </c:pt>
                <c:pt idx="4">
                  <c:v>6.157934069583991E-2</c:v>
                </c:pt>
                <c:pt idx="5">
                  <c:v>5.8948766918541895E-2</c:v>
                </c:pt>
                <c:pt idx="6">
                  <c:v>6.7361953001743746E-2</c:v>
                </c:pt>
                <c:pt idx="7">
                  <c:v>8.0777214979656231E-2</c:v>
                </c:pt>
                <c:pt idx="8">
                  <c:v>8.6772398903927586E-2</c:v>
                </c:pt>
                <c:pt idx="9">
                  <c:v>7.1852528439757535E-2</c:v>
                </c:pt>
                <c:pt idx="10">
                  <c:v>6.0529768330150294E-2</c:v>
                </c:pt>
                <c:pt idx="11">
                  <c:v>5.2070082205430537E-2</c:v>
                </c:pt>
                <c:pt idx="12">
                  <c:v>4.754297102050984E-2</c:v>
                </c:pt>
                <c:pt idx="13">
                  <c:v>4.3118824213235908E-2</c:v>
                </c:pt>
                <c:pt idx="14">
                  <c:v>3.7744747986382131E-2</c:v>
                </c:pt>
                <c:pt idx="15">
                  <c:v>2.5395665531844226E-2</c:v>
                </c:pt>
                <c:pt idx="16">
                  <c:v>1.4694013119654572E-2</c:v>
                </c:pt>
                <c:pt idx="17">
                  <c:v>1.1352652993440173E-2</c:v>
                </c:pt>
              </c:numCache>
            </c:numRef>
          </c:val>
          <c:extLst>
            <c:ext xmlns:c16="http://schemas.microsoft.com/office/drawing/2014/chart" uri="{C3380CC4-5D6E-409C-BE32-E72D297353CC}">
              <c16:uniqueId val="{00000000-0D29-4164-932C-A572FEDB991F}"/>
            </c:ext>
          </c:extLst>
        </c:ser>
        <c:ser>
          <c:idx val="1"/>
          <c:order val="1"/>
          <c:tx>
            <c:strRef>
              <c:f>'Age Distribution'!$I$1</c:f>
              <c:strCache>
                <c:ptCount val="1"/>
                <c:pt idx="0">
                  <c:v>Rathcoole ED</c:v>
                </c:pt>
              </c:strCache>
            </c:strRef>
          </c:tx>
          <c:spPr>
            <a:solidFill>
              <a:schemeClr val="accent2"/>
            </a:solidFill>
            <a:ln>
              <a:noFill/>
            </a:ln>
            <a:effectLst/>
          </c:spPr>
          <c:invertIfNegative val="0"/>
          <c:cat>
            <c:strRef>
              <c:f>'Age Distribution'!$G$2:$G$19</c:f>
              <c:strCache>
                <c:ptCount val="18"/>
                <c:pt idx="0">
                  <c:v>Age 0-4</c:v>
                </c:pt>
                <c:pt idx="1">
                  <c:v>Age 5-9</c:v>
                </c:pt>
                <c:pt idx="2">
                  <c:v>Age 10-14</c:v>
                </c:pt>
                <c:pt idx="3">
                  <c:v>Age 15-19</c:v>
                </c:pt>
                <c:pt idx="4">
                  <c:v>Age 20-24</c:v>
                </c:pt>
                <c:pt idx="5">
                  <c:v>Age 25-29</c:v>
                </c:pt>
                <c:pt idx="6">
                  <c:v>Age 30-34</c:v>
                </c:pt>
                <c:pt idx="7">
                  <c:v>Age 35-39</c:v>
                </c:pt>
                <c:pt idx="8">
                  <c:v>Age 40-44</c:v>
                </c:pt>
                <c:pt idx="9">
                  <c:v>Age 45-49</c:v>
                </c:pt>
                <c:pt idx="10">
                  <c:v>Age 50-54</c:v>
                </c:pt>
                <c:pt idx="11">
                  <c:v>Age 55-59</c:v>
                </c:pt>
                <c:pt idx="12">
                  <c:v>Age 60-64</c:v>
                </c:pt>
                <c:pt idx="13">
                  <c:v>Age 65-69</c:v>
                </c:pt>
                <c:pt idx="14">
                  <c:v>Age 70-74</c:v>
                </c:pt>
                <c:pt idx="15">
                  <c:v>Age 75-79</c:v>
                </c:pt>
                <c:pt idx="16">
                  <c:v>Age 80-84</c:v>
                </c:pt>
                <c:pt idx="17">
                  <c:v>Age 85 and over</c:v>
                </c:pt>
              </c:strCache>
            </c:strRef>
          </c:cat>
          <c:val>
            <c:numRef>
              <c:f>'Age Distribution'!$I$2:$I$19</c:f>
              <c:numCache>
                <c:formatCode>General</c:formatCode>
                <c:ptCount val="18"/>
                <c:pt idx="0">
                  <c:v>8.5280728376327775E-2</c:v>
                </c:pt>
                <c:pt idx="1">
                  <c:v>9.7572078907435508E-2</c:v>
                </c:pt>
                <c:pt idx="2">
                  <c:v>7.3596358118361155E-2</c:v>
                </c:pt>
                <c:pt idx="3">
                  <c:v>4.9317147192716237E-2</c:v>
                </c:pt>
                <c:pt idx="4">
                  <c:v>3.5811836115326255E-2</c:v>
                </c:pt>
                <c:pt idx="5">
                  <c:v>4.3550834597875572E-2</c:v>
                </c:pt>
                <c:pt idx="6">
                  <c:v>6.3884673748103193E-2</c:v>
                </c:pt>
                <c:pt idx="7">
                  <c:v>0.10485584218512899</c:v>
                </c:pt>
                <c:pt idx="8">
                  <c:v>0.11380880121396054</c:v>
                </c:pt>
                <c:pt idx="9">
                  <c:v>7.4203338391502283E-2</c:v>
                </c:pt>
                <c:pt idx="10">
                  <c:v>4.7951441578148707E-2</c:v>
                </c:pt>
                <c:pt idx="11">
                  <c:v>3.3383915022761758E-2</c:v>
                </c:pt>
                <c:pt idx="12">
                  <c:v>3.4294385432473443E-2</c:v>
                </c:pt>
                <c:pt idx="13">
                  <c:v>3.2776934749620637E-2</c:v>
                </c:pt>
                <c:pt idx="14">
                  <c:v>3.77845220030349E-2</c:v>
                </c:pt>
                <c:pt idx="15">
                  <c:v>3.8694992412746584E-2</c:v>
                </c:pt>
                <c:pt idx="16">
                  <c:v>2.1092564491654021E-2</c:v>
                </c:pt>
                <c:pt idx="17">
                  <c:v>1.2139605462822459E-2</c:v>
                </c:pt>
              </c:numCache>
            </c:numRef>
          </c:val>
          <c:extLst>
            <c:ext xmlns:c16="http://schemas.microsoft.com/office/drawing/2014/chart" uri="{C3380CC4-5D6E-409C-BE32-E72D297353CC}">
              <c16:uniqueId val="{00000001-0D29-4164-932C-A572FEDB991F}"/>
            </c:ext>
          </c:extLst>
        </c:ser>
        <c:ser>
          <c:idx val="2"/>
          <c:order val="2"/>
          <c:tx>
            <c:strRef>
              <c:f>'Age Distribution'!$J$1</c:f>
              <c:strCache>
                <c:ptCount val="1"/>
                <c:pt idx="0">
                  <c:v>Saggart ED</c:v>
                </c:pt>
              </c:strCache>
            </c:strRef>
          </c:tx>
          <c:spPr>
            <a:solidFill>
              <a:schemeClr val="accent3"/>
            </a:solidFill>
            <a:ln>
              <a:noFill/>
            </a:ln>
            <a:effectLst/>
          </c:spPr>
          <c:invertIfNegative val="0"/>
          <c:cat>
            <c:strRef>
              <c:f>'Age Distribution'!$G$2:$G$19</c:f>
              <c:strCache>
                <c:ptCount val="18"/>
                <c:pt idx="0">
                  <c:v>Age 0-4</c:v>
                </c:pt>
                <c:pt idx="1">
                  <c:v>Age 5-9</c:v>
                </c:pt>
                <c:pt idx="2">
                  <c:v>Age 10-14</c:v>
                </c:pt>
                <c:pt idx="3">
                  <c:v>Age 15-19</c:v>
                </c:pt>
                <c:pt idx="4">
                  <c:v>Age 20-24</c:v>
                </c:pt>
                <c:pt idx="5">
                  <c:v>Age 25-29</c:v>
                </c:pt>
                <c:pt idx="6">
                  <c:v>Age 30-34</c:v>
                </c:pt>
                <c:pt idx="7">
                  <c:v>Age 35-39</c:v>
                </c:pt>
                <c:pt idx="8">
                  <c:v>Age 40-44</c:v>
                </c:pt>
                <c:pt idx="9">
                  <c:v>Age 45-49</c:v>
                </c:pt>
                <c:pt idx="10">
                  <c:v>Age 50-54</c:v>
                </c:pt>
                <c:pt idx="11">
                  <c:v>Age 55-59</c:v>
                </c:pt>
                <c:pt idx="12">
                  <c:v>Age 60-64</c:v>
                </c:pt>
                <c:pt idx="13">
                  <c:v>Age 65-69</c:v>
                </c:pt>
                <c:pt idx="14">
                  <c:v>Age 70-74</c:v>
                </c:pt>
                <c:pt idx="15">
                  <c:v>Age 75-79</c:v>
                </c:pt>
                <c:pt idx="16">
                  <c:v>Age 80-84</c:v>
                </c:pt>
                <c:pt idx="17">
                  <c:v>Age 85 and over</c:v>
                </c:pt>
              </c:strCache>
            </c:strRef>
          </c:cat>
          <c:val>
            <c:numRef>
              <c:f>'Age Distribution'!$J$2:$J$19</c:f>
              <c:numCache>
                <c:formatCode>General</c:formatCode>
                <c:ptCount val="18"/>
                <c:pt idx="0">
                  <c:v>0.10403329065300897</c:v>
                </c:pt>
                <c:pt idx="1">
                  <c:v>0.10899487836107555</c:v>
                </c:pt>
                <c:pt idx="2">
                  <c:v>9.4750320102432783E-2</c:v>
                </c:pt>
                <c:pt idx="3">
                  <c:v>4.4974391805377718E-2</c:v>
                </c:pt>
                <c:pt idx="4">
                  <c:v>4.0332906530089627E-2</c:v>
                </c:pt>
                <c:pt idx="5">
                  <c:v>5.6498079385403327E-2</c:v>
                </c:pt>
                <c:pt idx="6">
                  <c:v>7.8104993597951339E-2</c:v>
                </c:pt>
                <c:pt idx="7">
                  <c:v>0.10819462227912932</c:v>
                </c:pt>
                <c:pt idx="8">
                  <c:v>0.10275288092189501</c:v>
                </c:pt>
                <c:pt idx="9">
                  <c:v>7.2503201024327779E-2</c:v>
                </c:pt>
                <c:pt idx="10">
                  <c:v>5.6658130601792575E-2</c:v>
                </c:pt>
                <c:pt idx="11">
                  <c:v>3.4571062740076826E-2</c:v>
                </c:pt>
                <c:pt idx="12">
                  <c:v>2.5608194622279128E-2</c:v>
                </c:pt>
                <c:pt idx="13">
                  <c:v>2.2247119078104994E-2</c:v>
                </c:pt>
                <c:pt idx="14">
                  <c:v>1.8245838668373881E-2</c:v>
                </c:pt>
                <c:pt idx="15">
                  <c:v>1.5204865556978232E-2</c:v>
                </c:pt>
                <c:pt idx="16">
                  <c:v>7.5224071702944938E-3</c:v>
                </c:pt>
                <c:pt idx="17">
                  <c:v>8.8028169014084511E-3</c:v>
                </c:pt>
              </c:numCache>
            </c:numRef>
          </c:val>
          <c:extLst>
            <c:ext xmlns:c16="http://schemas.microsoft.com/office/drawing/2014/chart" uri="{C3380CC4-5D6E-409C-BE32-E72D297353CC}">
              <c16:uniqueId val="{00000002-0D29-4164-932C-A572FEDB991F}"/>
            </c:ext>
          </c:extLst>
        </c:ser>
        <c:ser>
          <c:idx val="3"/>
          <c:order val="3"/>
          <c:tx>
            <c:strRef>
              <c:f>'Age Distribution'!$K$1</c:f>
              <c:strCache>
                <c:ptCount val="1"/>
                <c:pt idx="0">
                  <c:v>Rathcoole Town</c:v>
                </c:pt>
              </c:strCache>
            </c:strRef>
          </c:tx>
          <c:spPr>
            <a:solidFill>
              <a:schemeClr val="accent4"/>
            </a:solidFill>
            <a:ln>
              <a:noFill/>
            </a:ln>
            <a:effectLst/>
          </c:spPr>
          <c:invertIfNegative val="0"/>
          <c:cat>
            <c:strRef>
              <c:f>'Age Distribution'!$G$2:$G$19</c:f>
              <c:strCache>
                <c:ptCount val="18"/>
                <c:pt idx="0">
                  <c:v>Age 0-4</c:v>
                </c:pt>
                <c:pt idx="1">
                  <c:v>Age 5-9</c:v>
                </c:pt>
                <c:pt idx="2">
                  <c:v>Age 10-14</c:v>
                </c:pt>
                <c:pt idx="3">
                  <c:v>Age 15-19</c:v>
                </c:pt>
                <c:pt idx="4">
                  <c:v>Age 20-24</c:v>
                </c:pt>
                <c:pt idx="5">
                  <c:v>Age 25-29</c:v>
                </c:pt>
                <c:pt idx="6">
                  <c:v>Age 30-34</c:v>
                </c:pt>
                <c:pt idx="7">
                  <c:v>Age 35-39</c:v>
                </c:pt>
                <c:pt idx="8">
                  <c:v>Age 40-44</c:v>
                </c:pt>
                <c:pt idx="9">
                  <c:v>Age 45-49</c:v>
                </c:pt>
                <c:pt idx="10">
                  <c:v>Age 50-54</c:v>
                </c:pt>
                <c:pt idx="11">
                  <c:v>Age 55-59</c:v>
                </c:pt>
                <c:pt idx="12">
                  <c:v>Age 60-64</c:v>
                </c:pt>
                <c:pt idx="13">
                  <c:v>Age 65-69</c:v>
                </c:pt>
                <c:pt idx="14">
                  <c:v>Age 70-74</c:v>
                </c:pt>
                <c:pt idx="15">
                  <c:v>Age 75-79</c:v>
                </c:pt>
                <c:pt idx="16">
                  <c:v>Age 80-84</c:v>
                </c:pt>
                <c:pt idx="17">
                  <c:v>Age 85 and over</c:v>
                </c:pt>
              </c:strCache>
            </c:strRef>
          </c:cat>
          <c:val>
            <c:numRef>
              <c:f>'Age Distribution'!$K$2:$K$19</c:f>
              <c:numCache>
                <c:formatCode>General</c:formatCode>
                <c:ptCount val="18"/>
                <c:pt idx="0">
                  <c:v>9.0642265193370167E-2</c:v>
                </c:pt>
                <c:pt idx="1">
                  <c:v>0.10220994475138122</c:v>
                </c:pt>
                <c:pt idx="2">
                  <c:v>7.4758287292817679E-2</c:v>
                </c:pt>
                <c:pt idx="3">
                  <c:v>4.6616022099447513E-2</c:v>
                </c:pt>
                <c:pt idx="4">
                  <c:v>3.3667127071823205E-2</c:v>
                </c:pt>
                <c:pt idx="5">
                  <c:v>4.1781767955801102E-2</c:v>
                </c:pt>
                <c:pt idx="6">
                  <c:v>6.6125690607734808E-2</c:v>
                </c:pt>
                <c:pt idx="7">
                  <c:v>0.11170580110497237</c:v>
                </c:pt>
                <c:pt idx="8">
                  <c:v>0.11774861878453038</c:v>
                </c:pt>
                <c:pt idx="9">
                  <c:v>7.4067679558011051E-2</c:v>
                </c:pt>
                <c:pt idx="10">
                  <c:v>4.4026243093922654E-2</c:v>
                </c:pt>
                <c:pt idx="11">
                  <c:v>3.0904696132596686E-2</c:v>
                </c:pt>
                <c:pt idx="12">
                  <c:v>3.1767955801104975E-2</c:v>
                </c:pt>
                <c:pt idx="13">
                  <c:v>2.7279005524861878E-2</c:v>
                </c:pt>
                <c:pt idx="14">
                  <c:v>3.4703038674033147E-2</c:v>
                </c:pt>
                <c:pt idx="15">
                  <c:v>3.9019337016574583E-2</c:v>
                </c:pt>
                <c:pt idx="16">
                  <c:v>2.0200276243093923E-2</c:v>
                </c:pt>
                <c:pt idx="17">
                  <c:v>1.2776243093922652E-2</c:v>
                </c:pt>
              </c:numCache>
            </c:numRef>
          </c:val>
          <c:extLst>
            <c:ext xmlns:c16="http://schemas.microsoft.com/office/drawing/2014/chart" uri="{C3380CC4-5D6E-409C-BE32-E72D297353CC}">
              <c16:uniqueId val="{00000003-0D29-4164-932C-A572FEDB991F}"/>
            </c:ext>
          </c:extLst>
        </c:ser>
        <c:dLbls>
          <c:showLegendKey val="0"/>
          <c:showVal val="0"/>
          <c:showCatName val="0"/>
          <c:showSerName val="0"/>
          <c:showPercent val="0"/>
          <c:showBubbleSize val="0"/>
        </c:dLbls>
        <c:gapWidth val="182"/>
        <c:axId val="762729048"/>
        <c:axId val="404178480"/>
      </c:barChart>
      <c:catAx>
        <c:axId val="762729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04178480"/>
        <c:crosses val="autoZero"/>
        <c:auto val="1"/>
        <c:lblAlgn val="ctr"/>
        <c:lblOffset val="100"/>
        <c:noMultiLvlLbl val="0"/>
      </c:catAx>
      <c:valAx>
        <c:axId val="404178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2729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n-US" sz="1200">
                <a:solidFill>
                  <a:schemeClr val="tx1"/>
                </a:solidFill>
              </a:rPr>
              <a:t>Occupations of Persons at Work </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2.4488239483214057E-2"/>
          <c:y val="9.322245638257616E-2"/>
          <c:w val="0.4853031841193039"/>
          <c:h val="0.83840834997173719"/>
        </c:manualLayout>
      </c:layout>
      <c:pieChart>
        <c:varyColors val="1"/>
        <c:ser>
          <c:idx val="0"/>
          <c:order val="0"/>
          <c:tx>
            <c:strRef>
              <c:f>'Employment and Workforce 2022'!$B$1</c:f>
              <c:strCache>
                <c:ptCount val="1"/>
                <c:pt idx="0">
                  <c:v>Workforce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0C3-44B0-BB54-EC866BC2C9E9}"/>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0C3-44B0-BB54-EC866BC2C9E9}"/>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0C3-44B0-BB54-EC866BC2C9E9}"/>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0C3-44B0-BB54-EC866BC2C9E9}"/>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10C3-44B0-BB54-EC866BC2C9E9}"/>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10C3-44B0-BB54-EC866BC2C9E9}"/>
              </c:ext>
            </c:extLst>
          </c:dPt>
          <c:dPt>
            <c:idx val="6"/>
            <c:bubble3D val="0"/>
            <c:spPr>
              <a:solidFill>
                <a:schemeClr val="accent1">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D-10C3-44B0-BB54-EC866BC2C9E9}"/>
              </c:ext>
            </c:extLst>
          </c:dPt>
          <c:dPt>
            <c:idx val="7"/>
            <c:bubble3D val="0"/>
            <c:spPr>
              <a:solidFill>
                <a:schemeClr val="accent2">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F-10C3-44B0-BB54-EC866BC2C9E9}"/>
              </c:ext>
            </c:extLst>
          </c:dPt>
          <c:dPt>
            <c:idx val="8"/>
            <c:bubble3D val="0"/>
            <c:spPr>
              <a:solidFill>
                <a:schemeClr val="accent3">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1-10C3-44B0-BB54-EC866BC2C9E9}"/>
              </c:ext>
            </c:extLst>
          </c:dPt>
          <c:dPt>
            <c:idx val="9"/>
            <c:bubble3D val="0"/>
            <c:spPr>
              <a:solidFill>
                <a:schemeClr val="accent4">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3-10C3-44B0-BB54-EC866BC2C9E9}"/>
              </c:ext>
            </c:extLst>
          </c:dPt>
          <c:dLbls>
            <c:delete val="1"/>
          </c:dLbls>
          <c:cat>
            <c:strRef>
              <c:f>'Employment and Workforce 2022'!$A$2:$A$11</c:f>
              <c:strCache>
                <c:ptCount val="10"/>
                <c:pt idx="0">
                  <c:v>Managers, Directors and Senior Officials</c:v>
                </c:pt>
                <c:pt idx="1">
                  <c:v>Professional Occupations</c:v>
                </c:pt>
                <c:pt idx="2">
                  <c:v>Associate Professional and Technical Occupations</c:v>
                </c:pt>
                <c:pt idx="3">
                  <c:v>Administrative and Secretarial Occupations</c:v>
                </c:pt>
                <c:pt idx="4">
                  <c:v>Skilled Trades Occupations</c:v>
                </c:pt>
                <c:pt idx="5">
                  <c:v>Caring, Leisure and Other Service Occupations</c:v>
                </c:pt>
                <c:pt idx="6">
                  <c:v>Sales and Customer Service Occupations</c:v>
                </c:pt>
                <c:pt idx="7">
                  <c:v>Process, Plant and Machine Operatives</c:v>
                </c:pt>
                <c:pt idx="8">
                  <c:v>Elementary Occupations</c:v>
                </c:pt>
                <c:pt idx="9">
                  <c:v>Not stated</c:v>
                </c:pt>
              </c:strCache>
            </c:strRef>
          </c:cat>
          <c:val>
            <c:numRef>
              <c:f>'Employment and Workforce 2022'!$B$2:$B$11</c:f>
              <c:numCache>
                <c:formatCode>General</c:formatCode>
                <c:ptCount val="10"/>
                <c:pt idx="0">
                  <c:v>262</c:v>
                </c:pt>
                <c:pt idx="1">
                  <c:v>631</c:v>
                </c:pt>
                <c:pt idx="2">
                  <c:v>395</c:v>
                </c:pt>
                <c:pt idx="3">
                  <c:v>315</c:v>
                </c:pt>
                <c:pt idx="4">
                  <c:v>258</c:v>
                </c:pt>
                <c:pt idx="5">
                  <c:v>182</c:v>
                </c:pt>
                <c:pt idx="6">
                  <c:v>154</c:v>
                </c:pt>
                <c:pt idx="7">
                  <c:v>163</c:v>
                </c:pt>
                <c:pt idx="8">
                  <c:v>206</c:v>
                </c:pt>
                <c:pt idx="9">
                  <c:v>288</c:v>
                </c:pt>
              </c:numCache>
            </c:numRef>
          </c:val>
          <c:extLst>
            <c:ext xmlns:c16="http://schemas.microsoft.com/office/drawing/2014/chart" uri="{C3380CC4-5D6E-409C-BE32-E72D297353CC}">
              <c16:uniqueId val="{00000014-10C3-44B0-BB54-EC866BC2C9E9}"/>
            </c:ext>
          </c:extLst>
        </c:ser>
        <c:dLbls>
          <c:dLblPos val="inEnd"/>
          <c:showLegendKey val="0"/>
          <c:showVal val="0"/>
          <c:showCatName val="1"/>
          <c:showSerName val="0"/>
          <c:showPercent val="0"/>
          <c:showBubbleSize val="0"/>
          <c:showLeaderLines val="1"/>
        </c:dLbls>
        <c:firstSliceAng val="0"/>
      </c:pieChart>
      <c:spPr>
        <a:noFill/>
        <a:ln>
          <a:noFill/>
        </a:ln>
        <a:effectLst/>
      </c:spPr>
    </c:plotArea>
    <c:legend>
      <c:legendPos val="b"/>
      <c:layout>
        <c:manualLayout>
          <c:xMode val="edge"/>
          <c:yMode val="edge"/>
          <c:x val="0.49176822749625826"/>
          <c:y val="0.29574283809737945"/>
          <c:w val="0.49209096617893899"/>
          <c:h val="0.42689888027709044"/>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IE">
                <a:solidFill>
                  <a:schemeClr val="tx1"/>
                </a:solidFill>
              </a:rPr>
              <a:t>Population by General</a:t>
            </a:r>
            <a:r>
              <a:rPr lang="en-IE" baseline="0">
                <a:solidFill>
                  <a:schemeClr val="tx1"/>
                </a:solidFill>
              </a:rPr>
              <a:t> Health - Rathcoole Town</a:t>
            </a:r>
            <a:endParaRPr lang="en-IE">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IE"/>
        </a:p>
      </c:txPr>
    </c:title>
    <c:autoTitleDeleted val="0"/>
    <c:plotArea>
      <c:layout/>
      <c:barChart>
        <c:barDir val="col"/>
        <c:grouping val="clustered"/>
        <c:varyColors val="0"/>
        <c:ser>
          <c:idx val="0"/>
          <c:order val="0"/>
          <c:tx>
            <c:strRef>
              <c:f>Health!$B$1</c:f>
              <c:strCache>
                <c:ptCount val="1"/>
                <c:pt idx="0">
                  <c:v>Persons</c:v>
                </c:pt>
              </c:strCache>
            </c:strRef>
          </c:tx>
          <c:spPr>
            <a:solidFill>
              <a:schemeClr val="accent1"/>
            </a:solidFill>
            <a:ln>
              <a:noFill/>
            </a:ln>
            <a:effectLst/>
          </c:spPr>
          <c:invertIfNegative val="0"/>
          <c:cat>
            <c:strRef>
              <c:f>Health!$A$2:$A$7</c:f>
              <c:strCache>
                <c:ptCount val="6"/>
                <c:pt idx="0">
                  <c:v>Very Good</c:v>
                </c:pt>
                <c:pt idx="1">
                  <c:v>Good</c:v>
                </c:pt>
                <c:pt idx="2">
                  <c:v>Fair</c:v>
                </c:pt>
                <c:pt idx="3">
                  <c:v>Bad</c:v>
                </c:pt>
                <c:pt idx="4">
                  <c:v>Very Bad</c:v>
                </c:pt>
                <c:pt idx="5">
                  <c:v>Not Stated</c:v>
                </c:pt>
              </c:strCache>
            </c:strRef>
          </c:cat>
          <c:val>
            <c:numRef>
              <c:f>Health!$B$2:$B$7</c:f>
              <c:numCache>
                <c:formatCode>General</c:formatCode>
                <c:ptCount val="6"/>
                <c:pt idx="0">
                  <c:v>3173</c:v>
                </c:pt>
                <c:pt idx="1">
                  <c:v>1663</c:v>
                </c:pt>
                <c:pt idx="2">
                  <c:v>366</c:v>
                </c:pt>
                <c:pt idx="3">
                  <c:v>52</c:v>
                </c:pt>
                <c:pt idx="4">
                  <c:v>21</c:v>
                </c:pt>
                <c:pt idx="5">
                  <c:v>517</c:v>
                </c:pt>
              </c:numCache>
            </c:numRef>
          </c:val>
          <c:extLst>
            <c:ext xmlns:c16="http://schemas.microsoft.com/office/drawing/2014/chart" uri="{C3380CC4-5D6E-409C-BE32-E72D297353CC}">
              <c16:uniqueId val="{00000000-F8B3-451D-ABA4-814A1606FB84}"/>
            </c:ext>
          </c:extLst>
        </c:ser>
        <c:dLbls>
          <c:showLegendKey val="0"/>
          <c:showVal val="0"/>
          <c:showCatName val="0"/>
          <c:showSerName val="0"/>
          <c:showPercent val="0"/>
          <c:showBubbleSize val="0"/>
        </c:dLbls>
        <c:gapWidth val="219"/>
        <c:overlap val="-27"/>
        <c:axId val="739610712"/>
        <c:axId val="739611432"/>
      </c:barChart>
      <c:catAx>
        <c:axId val="739610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39611432"/>
        <c:crosses val="autoZero"/>
        <c:auto val="1"/>
        <c:lblAlgn val="ctr"/>
        <c:lblOffset val="100"/>
        <c:noMultiLvlLbl val="0"/>
      </c:catAx>
      <c:valAx>
        <c:axId val="739611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396107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74b8662a-2a87-4d5a-8e91-aee220d28978"/>
    <ds:schemaRef ds:uri="http://schemas.microsoft.com/sharepoint/v3"/>
  </ds:schemaRefs>
</ds:datastoreItem>
</file>

<file path=customXml/itemProps2.xml><?xml version="1.0" encoding="utf-8"?>
<ds:datastoreItem xmlns:ds="http://schemas.openxmlformats.org/officeDocument/2006/customXml" ds:itemID="{6F39386C-2A0D-499D-A989-68F638306787}"/>
</file>

<file path=customXml/itemProps3.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4.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20</TotalTime>
  <Pages>43</Pages>
  <Words>19202</Words>
  <Characters>109455</Characters>
  <Application>Microsoft Office Word</Application>
  <DocSecurity>0</DocSecurity>
  <Lines>912</Lines>
  <Paragraphs>256</Paragraphs>
  <ScaleCrop>false</ScaleCrop>
  <Company>AECOM Ireland Limited</Company>
  <LinksUpToDate>false</LinksUpToDate>
  <CharactersWithSpaces>128401</CharactersWithSpaces>
  <SharedDoc>false</SharedDoc>
  <HLinks>
    <vt:vector size="6" baseType="variant">
      <vt:variant>
        <vt:i4>6225984</vt:i4>
      </vt:variant>
      <vt:variant>
        <vt:i4>0</vt:i4>
      </vt:variant>
      <vt:variant>
        <vt:i4>0</vt:i4>
      </vt:variant>
      <vt:variant>
        <vt:i4>5</vt:i4>
      </vt:variant>
      <vt:variant>
        <vt:lpwstr>https://data.cso.ie/table/SAP2022T11T1TOWN22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14</cp:revision>
  <cp:lastPrinted>2016-04-12T18:07:00Z</cp:lastPrinted>
  <dcterms:created xsi:type="dcterms:W3CDTF">2026-08-28T15:54:00Z</dcterms:created>
  <dcterms:modified xsi:type="dcterms:W3CDTF">2026-09-02T13:22:00Z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