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2BA12" w14:textId="261A6607" w:rsidR="001740C1" w:rsidRPr="00471416" w:rsidRDefault="001740C1" w:rsidP="009073D2">
      <w:pPr>
        <w:pStyle w:val="BodyText"/>
        <w:ind w:left="792"/>
        <w:rPr>
          <w:sz w:val="20"/>
        </w:rPr>
      </w:pPr>
    </w:p>
    <w:p w14:paraId="27A927AC" w14:textId="5DC8E5C5" w:rsidR="001740C1" w:rsidRPr="00471416" w:rsidRDefault="009073D2" w:rsidP="00B60676">
      <w:pPr>
        <w:pStyle w:val="BodyText"/>
        <w:ind w:left="0"/>
        <w:jc w:val="both"/>
        <w:rPr>
          <w:sz w:val="20"/>
        </w:rPr>
      </w:pPr>
      <w:bookmarkStart w:id="0" w:name="_Hlk159323092"/>
      <w:bookmarkEnd w:id="0"/>
      <w:r w:rsidRPr="00471416">
        <w:rPr>
          <w:noProof/>
          <w:sz w:val="20"/>
        </w:rPr>
        <w:drawing>
          <wp:anchor distT="0" distB="0" distL="114300" distR="114300" simplePos="0" relativeHeight="251663360" behindDoc="0" locked="0" layoutInCell="1" allowOverlap="1" wp14:anchorId="7BF83709" wp14:editId="6ADF2AC6">
            <wp:simplePos x="0" y="0"/>
            <wp:positionH relativeFrom="column">
              <wp:posOffset>723900</wp:posOffset>
            </wp:positionH>
            <wp:positionV relativeFrom="paragraph">
              <wp:posOffset>53975</wp:posOffset>
            </wp:positionV>
            <wp:extent cx="4298563" cy="1804130"/>
            <wp:effectExtent l="0" t="0" r="6985" b="5715"/>
            <wp:wrapNone/>
            <wp:docPr id="1" name="image1.jpeg" descr="Logo, company name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98563" cy="1804130"/>
                    </a:xfrm>
                    <a:prstGeom prst="rect">
                      <a:avLst/>
                    </a:prstGeom>
                  </pic:spPr>
                </pic:pic>
              </a:graphicData>
            </a:graphic>
          </wp:anchor>
        </w:drawing>
      </w:r>
    </w:p>
    <w:p w14:paraId="1F63B0F3" w14:textId="77777777" w:rsidR="001740C1" w:rsidRPr="00471416" w:rsidRDefault="001740C1" w:rsidP="00B60676">
      <w:pPr>
        <w:pStyle w:val="BodyText"/>
        <w:ind w:left="0"/>
        <w:jc w:val="both"/>
        <w:rPr>
          <w:sz w:val="20"/>
        </w:rPr>
      </w:pPr>
    </w:p>
    <w:p w14:paraId="4E882E59" w14:textId="77777777" w:rsidR="001740C1" w:rsidRPr="00471416" w:rsidRDefault="001740C1" w:rsidP="00B60676">
      <w:pPr>
        <w:pStyle w:val="BodyText"/>
        <w:ind w:left="0"/>
        <w:jc w:val="both"/>
        <w:rPr>
          <w:sz w:val="20"/>
        </w:rPr>
      </w:pPr>
    </w:p>
    <w:p w14:paraId="5966DE87" w14:textId="77777777" w:rsidR="001740C1" w:rsidRPr="00471416" w:rsidRDefault="001740C1" w:rsidP="00B60676">
      <w:pPr>
        <w:pStyle w:val="BodyText"/>
        <w:ind w:left="0"/>
        <w:jc w:val="both"/>
        <w:rPr>
          <w:sz w:val="20"/>
        </w:rPr>
      </w:pPr>
    </w:p>
    <w:p w14:paraId="5A73C4D9" w14:textId="77777777" w:rsidR="001740C1" w:rsidRPr="00471416" w:rsidRDefault="001740C1" w:rsidP="00B60676">
      <w:pPr>
        <w:pStyle w:val="BodyText"/>
        <w:ind w:left="0"/>
        <w:jc w:val="both"/>
        <w:rPr>
          <w:sz w:val="20"/>
        </w:rPr>
      </w:pPr>
    </w:p>
    <w:p w14:paraId="26539093" w14:textId="77777777" w:rsidR="001740C1" w:rsidRPr="00471416" w:rsidRDefault="001740C1" w:rsidP="00B60676">
      <w:pPr>
        <w:pStyle w:val="BodyText"/>
        <w:ind w:left="0"/>
        <w:jc w:val="both"/>
        <w:rPr>
          <w:sz w:val="20"/>
        </w:rPr>
      </w:pPr>
    </w:p>
    <w:p w14:paraId="6EDE25C6" w14:textId="77777777" w:rsidR="001740C1" w:rsidRDefault="001740C1" w:rsidP="00B60676">
      <w:pPr>
        <w:pStyle w:val="BodyText"/>
        <w:ind w:left="0"/>
        <w:jc w:val="both"/>
        <w:rPr>
          <w:sz w:val="20"/>
        </w:rPr>
      </w:pPr>
    </w:p>
    <w:p w14:paraId="5B5C1CFB" w14:textId="77777777" w:rsidR="001740C1" w:rsidRDefault="001740C1" w:rsidP="00B60676">
      <w:pPr>
        <w:pStyle w:val="BodyText"/>
        <w:ind w:left="0"/>
        <w:jc w:val="both"/>
        <w:rPr>
          <w:sz w:val="20"/>
        </w:rPr>
      </w:pPr>
    </w:p>
    <w:p w14:paraId="72EDE33E" w14:textId="77777777" w:rsidR="009073D2" w:rsidRDefault="009073D2" w:rsidP="00B60676">
      <w:pPr>
        <w:pStyle w:val="BodyText"/>
        <w:ind w:left="0"/>
        <w:jc w:val="both"/>
        <w:rPr>
          <w:sz w:val="20"/>
        </w:rPr>
      </w:pPr>
    </w:p>
    <w:p w14:paraId="7896912D" w14:textId="77777777" w:rsidR="009073D2" w:rsidRDefault="009073D2" w:rsidP="00B60676">
      <w:pPr>
        <w:pStyle w:val="BodyText"/>
        <w:ind w:left="0"/>
        <w:jc w:val="both"/>
        <w:rPr>
          <w:sz w:val="20"/>
        </w:rPr>
      </w:pPr>
    </w:p>
    <w:p w14:paraId="6733E19E" w14:textId="77777777" w:rsidR="009073D2" w:rsidRDefault="009073D2" w:rsidP="00B60676">
      <w:pPr>
        <w:pStyle w:val="BodyText"/>
        <w:ind w:left="0"/>
        <w:jc w:val="both"/>
        <w:rPr>
          <w:sz w:val="20"/>
        </w:rPr>
      </w:pPr>
    </w:p>
    <w:p w14:paraId="1B511AE4" w14:textId="77777777" w:rsidR="009073D2" w:rsidRDefault="009073D2" w:rsidP="00B60676">
      <w:pPr>
        <w:pStyle w:val="BodyText"/>
        <w:ind w:left="0"/>
        <w:jc w:val="both"/>
        <w:rPr>
          <w:sz w:val="20"/>
        </w:rPr>
      </w:pPr>
    </w:p>
    <w:p w14:paraId="28E9F266" w14:textId="77777777" w:rsidR="009073D2" w:rsidRDefault="009073D2" w:rsidP="00B60676">
      <w:pPr>
        <w:pStyle w:val="BodyText"/>
        <w:ind w:left="0"/>
        <w:jc w:val="both"/>
        <w:rPr>
          <w:sz w:val="20"/>
        </w:rPr>
      </w:pPr>
    </w:p>
    <w:p w14:paraId="02D5CC85" w14:textId="77777777" w:rsidR="009073D2" w:rsidRDefault="009073D2" w:rsidP="00B60676">
      <w:pPr>
        <w:pStyle w:val="BodyText"/>
        <w:ind w:left="0"/>
        <w:jc w:val="both"/>
        <w:rPr>
          <w:sz w:val="20"/>
        </w:rPr>
      </w:pPr>
    </w:p>
    <w:p w14:paraId="12DDCC80" w14:textId="77777777" w:rsidR="009073D2" w:rsidRDefault="009073D2" w:rsidP="00B60676">
      <w:pPr>
        <w:pStyle w:val="BodyText"/>
        <w:ind w:left="0"/>
        <w:jc w:val="both"/>
        <w:rPr>
          <w:sz w:val="20"/>
        </w:rPr>
      </w:pPr>
    </w:p>
    <w:p w14:paraId="77D0B35B" w14:textId="77777777" w:rsidR="001740C1" w:rsidRDefault="001740C1" w:rsidP="00B60676">
      <w:pPr>
        <w:pStyle w:val="BodyText"/>
        <w:ind w:left="0"/>
        <w:jc w:val="both"/>
        <w:rPr>
          <w:sz w:val="20"/>
        </w:rPr>
      </w:pPr>
    </w:p>
    <w:p w14:paraId="1C7D92A9" w14:textId="77777777" w:rsidR="001740C1" w:rsidRPr="00471416" w:rsidRDefault="001740C1" w:rsidP="00B60676">
      <w:pPr>
        <w:pStyle w:val="BodyText"/>
        <w:ind w:left="0"/>
        <w:jc w:val="both"/>
        <w:rPr>
          <w:sz w:val="20"/>
        </w:rPr>
      </w:pPr>
    </w:p>
    <w:p w14:paraId="187026C1" w14:textId="77777777" w:rsidR="001740C1" w:rsidRPr="00471416" w:rsidRDefault="001740C1" w:rsidP="00B60676">
      <w:pPr>
        <w:pStyle w:val="BodyText"/>
        <w:ind w:left="0"/>
        <w:jc w:val="both"/>
        <w:rPr>
          <w:sz w:val="20"/>
        </w:rPr>
      </w:pPr>
    </w:p>
    <w:p w14:paraId="0A1670F4" w14:textId="77777777" w:rsidR="006C6B83" w:rsidRPr="006C6B83" w:rsidRDefault="001740C1" w:rsidP="000E42FD">
      <w:pPr>
        <w:pStyle w:val="Title"/>
        <w:jc w:val="center"/>
        <w:rPr>
          <w:color w:val="0F4761" w:themeColor="accent1" w:themeShade="BF"/>
          <w:spacing w:val="-2"/>
          <w:sz w:val="112"/>
          <w:szCs w:val="112"/>
        </w:rPr>
      </w:pPr>
      <w:bookmarkStart w:id="1" w:name="_Toc160436908"/>
      <w:bookmarkStart w:id="2" w:name="_Toc195533674"/>
      <w:r w:rsidRPr="006C6B83">
        <w:rPr>
          <w:color w:val="0F4761" w:themeColor="accent1" w:themeShade="BF"/>
          <w:spacing w:val="-2"/>
          <w:sz w:val="112"/>
          <w:szCs w:val="112"/>
        </w:rPr>
        <w:t xml:space="preserve">Draft </w:t>
      </w:r>
    </w:p>
    <w:p w14:paraId="218B66EC" w14:textId="02DA41AE" w:rsidR="001740C1" w:rsidRPr="006C6B83" w:rsidRDefault="001740C1" w:rsidP="000E42FD">
      <w:pPr>
        <w:pStyle w:val="Title"/>
        <w:jc w:val="center"/>
        <w:rPr>
          <w:color w:val="0F4761" w:themeColor="accent1" w:themeShade="BF"/>
          <w:sz w:val="144"/>
          <w:szCs w:val="144"/>
        </w:rPr>
      </w:pPr>
      <w:r w:rsidRPr="006C6B83">
        <w:rPr>
          <w:color w:val="0F4761" w:themeColor="accent1" w:themeShade="BF"/>
          <w:sz w:val="112"/>
          <w:szCs w:val="112"/>
        </w:rPr>
        <w:t>Annual</w:t>
      </w:r>
      <w:r w:rsidRPr="006C6B83">
        <w:rPr>
          <w:color w:val="0F4761" w:themeColor="accent1" w:themeShade="BF"/>
          <w:spacing w:val="-17"/>
          <w:sz w:val="112"/>
          <w:szCs w:val="112"/>
        </w:rPr>
        <w:t xml:space="preserve"> </w:t>
      </w:r>
      <w:r w:rsidRPr="006C6B83">
        <w:rPr>
          <w:color w:val="0F4761" w:themeColor="accent1" w:themeShade="BF"/>
          <w:sz w:val="112"/>
          <w:szCs w:val="112"/>
        </w:rPr>
        <w:t>Report</w:t>
      </w:r>
      <w:r w:rsidRPr="006C6B83">
        <w:rPr>
          <w:color w:val="0F4761" w:themeColor="accent1" w:themeShade="BF"/>
          <w:spacing w:val="-15"/>
          <w:sz w:val="112"/>
          <w:szCs w:val="112"/>
        </w:rPr>
        <w:t xml:space="preserve"> </w:t>
      </w:r>
      <w:r w:rsidRPr="006C6B83">
        <w:rPr>
          <w:color w:val="0F4761" w:themeColor="accent1" w:themeShade="BF"/>
          <w:sz w:val="112"/>
          <w:szCs w:val="112"/>
        </w:rPr>
        <w:t>202</w:t>
      </w:r>
      <w:bookmarkEnd w:id="1"/>
      <w:r w:rsidRPr="006C6B83">
        <w:rPr>
          <w:color w:val="0F4761" w:themeColor="accent1" w:themeShade="BF"/>
          <w:sz w:val="112"/>
          <w:szCs w:val="112"/>
        </w:rPr>
        <w:t>4</w:t>
      </w:r>
      <w:bookmarkEnd w:id="2"/>
    </w:p>
    <w:p w14:paraId="654A6064" w14:textId="77777777" w:rsidR="001740C1" w:rsidRDefault="001740C1" w:rsidP="00B60676">
      <w:pPr>
        <w:jc w:val="both"/>
        <w:rPr>
          <w:rFonts w:ascii="Arial" w:eastAsiaTheme="majorEastAsia" w:hAnsi="Arial" w:cs="Arial"/>
          <w:sz w:val="72"/>
          <w:szCs w:val="72"/>
        </w:rPr>
      </w:pPr>
      <w:r>
        <w:rPr>
          <w:rFonts w:ascii="Arial" w:hAnsi="Arial" w:cs="Arial"/>
          <w:sz w:val="72"/>
          <w:szCs w:val="72"/>
        </w:rPr>
        <w:br w:type="page"/>
      </w:r>
    </w:p>
    <w:sdt>
      <w:sdtPr>
        <w:rPr>
          <w:rFonts w:asciiTheme="minorHAnsi" w:eastAsiaTheme="minorHAnsi" w:hAnsiTheme="minorHAnsi" w:cstheme="minorBidi"/>
          <w:color w:val="auto"/>
          <w:kern w:val="2"/>
          <w:sz w:val="24"/>
          <w:szCs w:val="24"/>
          <w:lang w:val="en-IE"/>
          <w14:ligatures w14:val="standardContextual"/>
        </w:rPr>
        <w:id w:val="-1465196399"/>
        <w:docPartObj>
          <w:docPartGallery w:val="Table of Contents"/>
          <w:docPartUnique/>
        </w:docPartObj>
      </w:sdtPr>
      <w:sdtEndPr>
        <w:rPr>
          <w:b/>
          <w:bCs/>
          <w:noProof/>
        </w:rPr>
      </w:sdtEndPr>
      <w:sdtContent>
        <w:p w14:paraId="5ACDF39A" w14:textId="06B7CD8E" w:rsidR="001740C1" w:rsidRDefault="001740C1" w:rsidP="00B60676">
          <w:pPr>
            <w:pStyle w:val="TOCHeading"/>
            <w:jc w:val="both"/>
          </w:pPr>
          <w:r>
            <w:t>Contents</w:t>
          </w:r>
        </w:p>
        <w:p w14:paraId="4A8F4780" w14:textId="49795F28" w:rsidR="003B3846" w:rsidRDefault="001740C1">
          <w:pPr>
            <w:pStyle w:val="TOC1"/>
            <w:tabs>
              <w:tab w:val="right" w:leader="dot" w:pos="9736"/>
            </w:tabs>
            <w:rPr>
              <w:rFonts w:eastAsiaTheme="minorEastAsia"/>
              <w:noProof/>
              <w:lang w:eastAsia="en-IE"/>
            </w:rPr>
          </w:pPr>
          <w:r>
            <w:fldChar w:fldCharType="begin"/>
          </w:r>
          <w:r>
            <w:instrText xml:space="preserve"> TOC \o "1-3" \h \z \u </w:instrText>
          </w:r>
          <w:r>
            <w:fldChar w:fldCharType="separate"/>
          </w:r>
          <w:hyperlink w:anchor="_Toc199244547" w:history="1">
            <w:r w:rsidR="003B3846" w:rsidRPr="000B2148">
              <w:rPr>
                <w:rStyle w:val="Hyperlink"/>
                <w:noProof/>
              </w:rPr>
              <w:t>Mayor’s foreword</w:t>
            </w:r>
            <w:r w:rsidR="003B3846">
              <w:rPr>
                <w:noProof/>
                <w:webHidden/>
              </w:rPr>
              <w:tab/>
            </w:r>
            <w:r w:rsidR="003B3846">
              <w:rPr>
                <w:noProof/>
                <w:webHidden/>
              </w:rPr>
              <w:fldChar w:fldCharType="begin"/>
            </w:r>
            <w:r w:rsidR="003B3846">
              <w:rPr>
                <w:noProof/>
                <w:webHidden/>
              </w:rPr>
              <w:instrText xml:space="preserve"> PAGEREF _Toc199244547 \h </w:instrText>
            </w:r>
            <w:r w:rsidR="003B3846">
              <w:rPr>
                <w:noProof/>
                <w:webHidden/>
              </w:rPr>
            </w:r>
            <w:r w:rsidR="003B3846">
              <w:rPr>
                <w:noProof/>
                <w:webHidden/>
              </w:rPr>
              <w:fldChar w:fldCharType="separate"/>
            </w:r>
            <w:r w:rsidR="003B3846">
              <w:rPr>
                <w:noProof/>
                <w:webHidden/>
              </w:rPr>
              <w:t>4</w:t>
            </w:r>
            <w:r w:rsidR="003B3846">
              <w:rPr>
                <w:noProof/>
                <w:webHidden/>
              </w:rPr>
              <w:fldChar w:fldCharType="end"/>
            </w:r>
          </w:hyperlink>
        </w:p>
        <w:p w14:paraId="75B6C374" w14:textId="5B5FFA35" w:rsidR="003B3846" w:rsidRDefault="003B3846">
          <w:pPr>
            <w:pStyle w:val="TOC1"/>
            <w:tabs>
              <w:tab w:val="right" w:leader="dot" w:pos="9736"/>
            </w:tabs>
            <w:rPr>
              <w:rFonts w:eastAsiaTheme="minorEastAsia"/>
              <w:noProof/>
              <w:lang w:eastAsia="en-IE"/>
            </w:rPr>
          </w:pPr>
          <w:hyperlink w:anchor="_Toc199244548" w:history="1">
            <w:r w:rsidRPr="000B2148">
              <w:rPr>
                <w:rStyle w:val="Hyperlink"/>
                <w:noProof/>
              </w:rPr>
              <w:t>Chief Executive’s foreword</w:t>
            </w:r>
            <w:r>
              <w:rPr>
                <w:noProof/>
                <w:webHidden/>
              </w:rPr>
              <w:tab/>
            </w:r>
            <w:r>
              <w:rPr>
                <w:noProof/>
                <w:webHidden/>
              </w:rPr>
              <w:fldChar w:fldCharType="begin"/>
            </w:r>
            <w:r>
              <w:rPr>
                <w:noProof/>
                <w:webHidden/>
              </w:rPr>
              <w:instrText xml:space="preserve"> PAGEREF _Toc199244548 \h </w:instrText>
            </w:r>
            <w:r>
              <w:rPr>
                <w:noProof/>
                <w:webHidden/>
              </w:rPr>
            </w:r>
            <w:r>
              <w:rPr>
                <w:noProof/>
                <w:webHidden/>
              </w:rPr>
              <w:fldChar w:fldCharType="separate"/>
            </w:r>
            <w:r>
              <w:rPr>
                <w:noProof/>
                <w:webHidden/>
              </w:rPr>
              <w:t>5</w:t>
            </w:r>
            <w:r>
              <w:rPr>
                <w:noProof/>
                <w:webHidden/>
              </w:rPr>
              <w:fldChar w:fldCharType="end"/>
            </w:r>
          </w:hyperlink>
        </w:p>
        <w:p w14:paraId="7F751DB1" w14:textId="6D96AF57" w:rsidR="003B3846" w:rsidRDefault="003B3846">
          <w:pPr>
            <w:pStyle w:val="TOC1"/>
            <w:tabs>
              <w:tab w:val="right" w:leader="dot" w:pos="9736"/>
            </w:tabs>
            <w:rPr>
              <w:rFonts w:eastAsiaTheme="minorEastAsia"/>
              <w:noProof/>
              <w:lang w:eastAsia="en-IE"/>
            </w:rPr>
          </w:pPr>
          <w:hyperlink w:anchor="_Toc199244549" w:history="1">
            <w:r w:rsidRPr="000B2148">
              <w:rPr>
                <w:rStyle w:val="Hyperlink"/>
                <w:noProof/>
              </w:rPr>
              <w:t>Mission and Values</w:t>
            </w:r>
            <w:r>
              <w:rPr>
                <w:noProof/>
                <w:webHidden/>
              </w:rPr>
              <w:tab/>
            </w:r>
            <w:r>
              <w:rPr>
                <w:noProof/>
                <w:webHidden/>
              </w:rPr>
              <w:fldChar w:fldCharType="begin"/>
            </w:r>
            <w:r>
              <w:rPr>
                <w:noProof/>
                <w:webHidden/>
              </w:rPr>
              <w:instrText xml:space="preserve"> PAGEREF _Toc199244549 \h </w:instrText>
            </w:r>
            <w:r>
              <w:rPr>
                <w:noProof/>
                <w:webHidden/>
              </w:rPr>
            </w:r>
            <w:r>
              <w:rPr>
                <w:noProof/>
                <w:webHidden/>
              </w:rPr>
              <w:fldChar w:fldCharType="separate"/>
            </w:r>
            <w:r>
              <w:rPr>
                <w:noProof/>
                <w:webHidden/>
              </w:rPr>
              <w:t>8</w:t>
            </w:r>
            <w:r>
              <w:rPr>
                <w:noProof/>
                <w:webHidden/>
              </w:rPr>
              <w:fldChar w:fldCharType="end"/>
            </w:r>
          </w:hyperlink>
        </w:p>
        <w:p w14:paraId="4B010683" w14:textId="56FABE78" w:rsidR="003B3846" w:rsidRDefault="003B3846">
          <w:pPr>
            <w:pStyle w:val="TOC1"/>
            <w:tabs>
              <w:tab w:val="right" w:leader="dot" w:pos="9736"/>
            </w:tabs>
            <w:rPr>
              <w:rFonts w:eastAsiaTheme="minorEastAsia"/>
              <w:noProof/>
              <w:lang w:eastAsia="en-IE"/>
            </w:rPr>
          </w:pPr>
          <w:hyperlink w:anchor="_Toc199244550" w:history="1">
            <w:r w:rsidRPr="000B2148">
              <w:rPr>
                <w:rStyle w:val="Hyperlink"/>
                <w:noProof/>
              </w:rPr>
              <w:t>About the Council</w:t>
            </w:r>
            <w:r>
              <w:rPr>
                <w:noProof/>
                <w:webHidden/>
              </w:rPr>
              <w:tab/>
            </w:r>
            <w:r>
              <w:rPr>
                <w:noProof/>
                <w:webHidden/>
              </w:rPr>
              <w:fldChar w:fldCharType="begin"/>
            </w:r>
            <w:r>
              <w:rPr>
                <w:noProof/>
                <w:webHidden/>
              </w:rPr>
              <w:instrText xml:space="preserve"> PAGEREF _Toc199244550 \h </w:instrText>
            </w:r>
            <w:r>
              <w:rPr>
                <w:noProof/>
                <w:webHidden/>
              </w:rPr>
            </w:r>
            <w:r>
              <w:rPr>
                <w:noProof/>
                <w:webHidden/>
              </w:rPr>
              <w:fldChar w:fldCharType="separate"/>
            </w:r>
            <w:r>
              <w:rPr>
                <w:noProof/>
                <w:webHidden/>
              </w:rPr>
              <w:t>9</w:t>
            </w:r>
            <w:r>
              <w:rPr>
                <w:noProof/>
                <w:webHidden/>
              </w:rPr>
              <w:fldChar w:fldCharType="end"/>
            </w:r>
          </w:hyperlink>
        </w:p>
        <w:p w14:paraId="0163A922" w14:textId="146A4560" w:rsidR="003B3846" w:rsidRDefault="003B3846">
          <w:pPr>
            <w:pStyle w:val="TOC1"/>
            <w:tabs>
              <w:tab w:val="right" w:leader="dot" w:pos="9736"/>
            </w:tabs>
            <w:rPr>
              <w:rFonts w:eastAsiaTheme="minorEastAsia"/>
              <w:noProof/>
              <w:lang w:eastAsia="en-IE"/>
            </w:rPr>
          </w:pPr>
          <w:hyperlink w:anchor="_Toc199244551" w:history="1">
            <w:r w:rsidRPr="000B2148">
              <w:rPr>
                <w:rStyle w:val="Hyperlink"/>
                <w:noProof/>
              </w:rPr>
              <w:t>Our Principal Services</w:t>
            </w:r>
            <w:r>
              <w:rPr>
                <w:noProof/>
                <w:webHidden/>
              </w:rPr>
              <w:tab/>
            </w:r>
            <w:r>
              <w:rPr>
                <w:noProof/>
                <w:webHidden/>
              </w:rPr>
              <w:fldChar w:fldCharType="begin"/>
            </w:r>
            <w:r>
              <w:rPr>
                <w:noProof/>
                <w:webHidden/>
              </w:rPr>
              <w:instrText xml:space="preserve"> PAGEREF _Toc199244551 \h </w:instrText>
            </w:r>
            <w:r>
              <w:rPr>
                <w:noProof/>
                <w:webHidden/>
              </w:rPr>
            </w:r>
            <w:r>
              <w:rPr>
                <w:noProof/>
                <w:webHidden/>
              </w:rPr>
              <w:fldChar w:fldCharType="separate"/>
            </w:r>
            <w:r>
              <w:rPr>
                <w:noProof/>
                <w:webHidden/>
              </w:rPr>
              <w:t>10</w:t>
            </w:r>
            <w:r>
              <w:rPr>
                <w:noProof/>
                <w:webHidden/>
              </w:rPr>
              <w:fldChar w:fldCharType="end"/>
            </w:r>
          </w:hyperlink>
        </w:p>
        <w:p w14:paraId="675C3326" w14:textId="7F593034" w:rsidR="003B3846" w:rsidRDefault="003B3846">
          <w:pPr>
            <w:pStyle w:val="TOC1"/>
            <w:tabs>
              <w:tab w:val="right" w:leader="dot" w:pos="9736"/>
            </w:tabs>
            <w:rPr>
              <w:rFonts w:eastAsiaTheme="minorEastAsia"/>
              <w:noProof/>
              <w:lang w:eastAsia="en-IE"/>
            </w:rPr>
          </w:pPr>
          <w:hyperlink w:anchor="_Toc199244552" w:history="1">
            <w:r w:rsidRPr="000B2148">
              <w:rPr>
                <w:rStyle w:val="Hyperlink"/>
                <w:noProof/>
              </w:rPr>
              <w:t>Council Meetings 2024</w:t>
            </w:r>
            <w:r>
              <w:rPr>
                <w:noProof/>
                <w:webHidden/>
              </w:rPr>
              <w:tab/>
            </w:r>
            <w:r>
              <w:rPr>
                <w:noProof/>
                <w:webHidden/>
              </w:rPr>
              <w:fldChar w:fldCharType="begin"/>
            </w:r>
            <w:r>
              <w:rPr>
                <w:noProof/>
                <w:webHidden/>
              </w:rPr>
              <w:instrText xml:space="preserve"> PAGEREF _Toc199244552 \h </w:instrText>
            </w:r>
            <w:r>
              <w:rPr>
                <w:noProof/>
                <w:webHidden/>
              </w:rPr>
            </w:r>
            <w:r>
              <w:rPr>
                <w:noProof/>
                <w:webHidden/>
              </w:rPr>
              <w:fldChar w:fldCharType="separate"/>
            </w:r>
            <w:r>
              <w:rPr>
                <w:noProof/>
                <w:webHidden/>
              </w:rPr>
              <w:t>11</w:t>
            </w:r>
            <w:r>
              <w:rPr>
                <w:noProof/>
                <w:webHidden/>
              </w:rPr>
              <w:fldChar w:fldCharType="end"/>
            </w:r>
          </w:hyperlink>
        </w:p>
        <w:p w14:paraId="572322AE" w14:textId="3A8AAFE4" w:rsidR="003B3846" w:rsidRDefault="003B3846">
          <w:pPr>
            <w:pStyle w:val="TOC1"/>
            <w:tabs>
              <w:tab w:val="right" w:leader="dot" w:pos="9736"/>
            </w:tabs>
            <w:rPr>
              <w:rFonts w:eastAsiaTheme="minorEastAsia"/>
              <w:noProof/>
              <w:lang w:eastAsia="en-IE"/>
            </w:rPr>
          </w:pPr>
          <w:hyperlink w:anchor="_Toc199244553" w:history="1">
            <w:r w:rsidRPr="000B2148">
              <w:rPr>
                <w:rStyle w:val="Hyperlink"/>
                <w:noProof/>
              </w:rPr>
              <w:t>Strategic Policy Committees</w:t>
            </w:r>
            <w:r>
              <w:rPr>
                <w:noProof/>
                <w:webHidden/>
              </w:rPr>
              <w:tab/>
            </w:r>
            <w:r>
              <w:rPr>
                <w:noProof/>
                <w:webHidden/>
              </w:rPr>
              <w:fldChar w:fldCharType="begin"/>
            </w:r>
            <w:r>
              <w:rPr>
                <w:noProof/>
                <w:webHidden/>
              </w:rPr>
              <w:instrText xml:space="preserve"> PAGEREF _Toc199244553 \h </w:instrText>
            </w:r>
            <w:r>
              <w:rPr>
                <w:noProof/>
                <w:webHidden/>
              </w:rPr>
            </w:r>
            <w:r>
              <w:rPr>
                <w:noProof/>
                <w:webHidden/>
              </w:rPr>
              <w:fldChar w:fldCharType="separate"/>
            </w:r>
            <w:r>
              <w:rPr>
                <w:noProof/>
                <w:webHidden/>
              </w:rPr>
              <w:t>12</w:t>
            </w:r>
            <w:r>
              <w:rPr>
                <w:noProof/>
                <w:webHidden/>
              </w:rPr>
              <w:fldChar w:fldCharType="end"/>
            </w:r>
          </w:hyperlink>
        </w:p>
        <w:p w14:paraId="79F64566" w14:textId="695A16AA" w:rsidR="003B3846" w:rsidRDefault="003B3846">
          <w:pPr>
            <w:pStyle w:val="TOC2"/>
            <w:tabs>
              <w:tab w:val="right" w:leader="dot" w:pos="9736"/>
            </w:tabs>
            <w:rPr>
              <w:rFonts w:eastAsiaTheme="minorEastAsia"/>
              <w:noProof/>
              <w:lang w:eastAsia="en-IE"/>
            </w:rPr>
          </w:pPr>
          <w:hyperlink w:anchor="_Toc199244554" w:history="1">
            <w:r w:rsidRPr="000B2148">
              <w:rPr>
                <w:rStyle w:val="Hyperlink"/>
                <w:noProof/>
              </w:rPr>
              <w:t>Arts, Culture, Gaeilge, Heritage and Libraries SPC</w:t>
            </w:r>
            <w:r>
              <w:rPr>
                <w:noProof/>
                <w:webHidden/>
              </w:rPr>
              <w:tab/>
            </w:r>
            <w:r>
              <w:rPr>
                <w:noProof/>
                <w:webHidden/>
              </w:rPr>
              <w:fldChar w:fldCharType="begin"/>
            </w:r>
            <w:r>
              <w:rPr>
                <w:noProof/>
                <w:webHidden/>
              </w:rPr>
              <w:instrText xml:space="preserve"> PAGEREF _Toc199244554 \h </w:instrText>
            </w:r>
            <w:r>
              <w:rPr>
                <w:noProof/>
                <w:webHidden/>
              </w:rPr>
            </w:r>
            <w:r>
              <w:rPr>
                <w:noProof/>
                <w:webHidden/>
              </w:rPr>
              <w:fldChar w:fldCharType="separate"/>
            </w:r>
            <w:r>
              <w:rPr>
                <w:noProof/>
                <w:webHidden/>
              </w:rPr>
              <w:t>12</w:t>
            </w:r>
            <w:r>
              <w:rPr>
                <w:noProof/>
                <w:webHidden/>
              </w:rPr>
              <w:fldChar w:fldCharType="end"/>
            </w:r>
          </w:hyperlink>
        </w:p>
        <w:p w14:paraId="77D1523D" w14:textId="01AE49A1" w:rsidR="003B3846" w:rsidRDefault="003B3846">
          <w:pPr>
            <w:pStyle w:val="TOC2"/>
            <w:tabs>
              <w:tab w:val="right" w:leader="dot" w:pos="9736"/>
            </w:tabs>
            <w:rPr>
              <w:rFonts w:eastAsiaTheme="minorEastAsia"/>
              <w:noProof/>
              <w:lang w:eastAsia="en-IE"/>
            </w:rPr>
          </w:pPr>
          <w:hyperlink w:anchor="_Toc199244555" w:history="1">
            <w:r w:rsidRPr="000B2148">
              <w:rPr>
                <w:rStyle w:val="Hyperlink"/>
                <w:noProof/>
              </w:rPr>
              <w:t>Economic, Enterprise, and Tourism Development SPC</w:t>
            </w:r>
            <w:r>
              <w:rPr>
                <w:noProof/>
                <w:webHidden/>
              </w:rPr>
              <w:tab/>
            </w:r>
            <w:r>
              <w:rPr>
                <w:noProof/>
                <w:webHidden/>
              </w:rPr>
              <w:fldChar w:fldCharType="begin"/>
            </w:r>
            <w:r>
              <w:rPr>
                <w:noProof/>
                <w:webHidden/>
              </w:rPr>
              <w:instrText xml:space="preserve"> PAGEREF _Toc199244555 \h </w:instrText>
            </w:r>
            <w:r>
              <w:rPr>
                <w:noProof/>
                <w:webHidden/>
              </w:rPr>
            </w:r>
            <w:r>
              <w:rPr>
                <w:noProof/>
                <w:webHidden/>
              </w:rPr>
              <w:fldChar w:fldCharType="separate"/>
            </w:r>
            <w:r>
              <w:rPr>
                <w:noProof/>
                <w:webHidden/>
              </w:rPr>
              <w:t>13</w:t>
            </w:r>
            <w:r>
              <w:rPr>
                <w:noProof/>
                <w:webHidden/>
              </w:rPr>
              <w:fldChar w:fldCharType="end"/>
            </w:r>
          </w:hyperlink>
        </w:p>
        <w:p w14:paraId="344CD57D" w14:textId="648AF4CC" w:rsidR="003B3846" w:rsidRDefault="003B3846">
          <w:pPr>
            <w:pStyle w:val="TOC2"/>
            <w:tabs>
              <w:tab w:val="right" w:leader="dot" w:pos="9736"/>
            </w:tabs>
            <w:rPr>
              <w:rFonts w:eastAsiaTheme="minorEastAsia"/>
              <w:noProof/>
              <w:lang w:eastAsia="en-IE"/>
            </w:rPr>
          </w:pPr>
          <w:hyperlink w:anchor="_Toc199244556" w:history="1">
            <w:r w:rsidRPr="000B2148">
              <w:rPr>
                <w:rStyle w:val="Hyperlink"/>
                <w:noProof/>
              </w:rPr>
              <w:t>Land Use Planning and Transportation Spc</w:t>
            </w:r>
            <w:r>
              <w:rPr>
                <w:noProof/>
                <w:webHidden/>
              </w:rPr>
              <w:tab/>
            </w:r>
            <w:r>
              <w:rPr>
                <w:noProof/>
                <w:webHidden/>
              </w:rPr>
              <w:fldChar w:fldCharType="begin"/>
            </w:r>
            <w:r>
              <w:rPr>
                <w:noProof/>
                <w:webHidden/>
              </w:rPr>
              <w:instrText xml:space="preserve"> PAGEREF _Toc199244556 \h </w:instrText>
            </w:r>
            <w:r>
              <w:rPr>
                <w:noProof/>
                <w:webHidden/>
              </w:rPr>
            </w:r>
            <w:r>
              <w:rPr>
                <w:noProof/>
                <w:webHidden/>
              </w:rPr>
              <w:fldChar w:fldCharType="separate"/>
            </w:r>
            <w:r>
              <w:rPr>
                <w:noProof/>
                <w:webHidden/>
              </w:rPr>
              <w:t>15</w:t>
            </w:r>
            <w:r>
              <w:rPr>
                <w:noProof/>
                <w:webHidden/>
              </w:rPr>
              <w:fldChar w:fldCharType="end"/>
            </w:r>
          </w:hyperlink>
        </w:p>
        <w:p w14:paraId="02A6E279" w14:textId="1395FBE0" w:rsidR="003B3846" w:rsidRDefault="003B3846">
          <w:pPr>
            <w:pStyle w:val="TOC2"/>
            <w:tabs>
              <w:tab w:val="right" w:leader="dot" w:pos="9736"/>
            </w:tabs>
            <w:rPr>
              <w:rFonts w:eastAsiaTheme="minorEastAsia"/>
              <w:noProof/>
              <w:lang w:eastAsia="en-IE"/>
            </w:rPr>
          </w:pPr>
          <w:hyperlink w:anchor="_Toc199244557" w:history="1">
            <w:r w:rsidRPr="000B2148">
              <w:rPr>
                <w:rStyle w:val="Hyperlink"/>
                <w:noProof/>
              </w:rPr>
              <w:t>Environment, Public Realm and Climate Change Spc</w:t>
            </w:r>
            <w:r>
              <w:rPr>
                <w:noProof/>
                <w:webHidden/>
              </w:rPr>
              <w:tab/>
            </w:r>
            <w:r>
              <w:rPr>
                <w:noProof/>
                <w:webHidden/>
              </w:rPr>
              <w:fldChar w:fldCharType="begin"/>
            </w:r>
            <w:r>
              <w:rPr>
                <w:noProof/>
                <w:webHidden/>
              </w:rPr>
              <w:instrText xml:space="preserve"> PAGEREF _Toc199244557 \h </w:instrText>
            </w:r>
            <w:r>
              <w:rPr>
                <w:noProof/>
                <w:webHidden/>
              </w:rPr>
            </w:r>
            <w:r>
              <w:rPr>
                <w:noProof/>
                <w:webHidden/>
              </w:rPr>
              <w:fldChar w:fldCharType="separate"/>
            </w:r>
            <w:r>
              <w:rPr>
                <w:noProof/>
                <w:webHidden/>
              </w:rPr>
              <w:t>16</w:t>
            </w:r>
            <w:r>
              <w:rPr>
                <w:noProof/>
                <w:webHidden/>
              </w:rPr>
              <w:fldChar w:fldCharType="end"/>
            </w:r>
          </w:hyperlink>
        </w:p>
        <w:p w14:paraId="574AE910" w14:textId="1A59C304" w:rsidR="003B3846" w:rsidRDefault="003B3846">
          <w:pPr>
            <w:pStyle w:val="TOC2"/>
            <w:tabs>
              <w:tab w:val="right" w:leader="dot" w:pos="9736"/>
            </w:tabs>
            <w:rPr>
              <w:rFonts w:eastAsiaTheme="minorEastAsia"/>
              <w:noProof/>
              <w:lang w:eastAsia="en-IE"/>
            </w:rPr>
          </w:pPr>
          <w:hyperlink w:anchor="_Toc199244558" w:history="1">
            <w:r w:rsidRPr="000B2148">
              <w:rPr>
                <w:rStyle w:val="Hyperlink"/>
                <w:noProof/>
              </w:rPr>
              <w:t>Housing SPC</w:t>
            </w:r>
            <w:r>
              <w:rPr>
                <w:noProof/>
                <w:webHidden/>
              </w:rPr>
              <w:tab/>
            </w:r>
            <w:r>
              <w:rPr>
                <w:noProof/>
                <w:webHidden/>
              </w:rPr>
              <w:fldChar w:fldCharType="begin"/>
            </w:r>
            <w:r>
              <w:rPr>
                <w:noProof/>
                <w:webHidden/>
              </w:rPr>
              <w:instrText xml:space="preserve"> PAGEREF _Toc199244558 \h </w:instrText>
            </w:r>
            <w:r>
              <w:rPr>
                <w:noProof/>
                <w:webHidden/>
              </w:rPr>
            </w:r>
            <w:r>
              <w:rPr>
                <w:noProof/>
                <w:webHidden/>
              </w:rPr>
              <w:fldChar w:fldCharType="separate"/>
            </w:r>
            <w:r>
              <w:rPr>
                <w:noProof/>
                <w:webHidden/>
              </w:rPr>
              <w:t>18</w:t>
            </w:r>
            <w:r>
              <w:rPr>
                <w:noProof/>
                <w:webHidden/>
              </w:rPr>
              <w:fldChar w:fldCharType="end"/>
            </w:r>
          </w:hyperlink>
        </w:p>
        <w:p w14:paraId="6FDBF1FD" w14:textId="0678C8FD" w:rsidR="003B3846" w:rsidRDefault="003B3846">
          <w:pPr>
            <w:pStyle w:val="TOC2"/>
            <w:tabs>
              <w:tab w:val="right" w:leader="dot" w:pos="9736"/>
            </w:tabs>
            <w:rPr>
              <w:rFonts w:eastAsiaTheme="minorEastAsia"/>
              <w:noProof/>
              <w:lang w:eastAsia="en-IE"/>
            </w:rPr>
          </w:pPr>
          <w:hyperlink w:anchor="_Toc199244559" w:history="1">
            <w:r w:rsidRPr="000B2148">
              <w:rPr>
                <w:rStyle w:val="Hyperlink"/>
                <w:noProof/>
              </w:rPr>
              <w:t>Social, Community and Equality SPC</w:t>
            </w:r>
            <w:r>
              <w:rPr>
                <w:noProof/>
                <w:webHidden/>
              </w:rPr>
              <w:tab/>
            </w:r>
            <w:r>
              <w:rPr>
                <w:noProof/>
                <w:webHidden/>
              </w:rPr>
              <w:fldChar w:fldCharType="begin"/>
            </w:r>
            <w:r>
              <w:rPr>
                <w:noProof/>
                <w:webHidden/>
              </w:rPr>
              <w:instrText xml:space="preserve"> PAGEREF _Toc199244559 \h </w:instrText>
            </w:r>
            <w:r>
              <w:rPr>
                <w:noProof/>
                <w:webHidden/>
              </w:rPr>
            </w:r>
            <w:r>
              <w:rPr>
                <w:noProof/>
                <w:webHidden/>
              </w:rPr>
              <w:fldChar w:fldCharType="separate"/>
            </w:r>
            <w:r>
              <w:rPr>
                <w:noProof/>
                <w:webHidden/>
              </w:rPr>
              <w:t>20</w:t>
            </w:r>
            <w:r>
              <w:rPr>
                <w:noProof/>
                <w:webHidden/>
              </w:rPr>
              <w:fldChar w:fldCharType="end"/>
            </w:r>
          </w:hyperlink>
        </w:p>
        <w:p w14:paraId="63DF6C52" w14:textId="64B64BFE" w:rsidR="003B3846" w:rsidRDefault="003B3846">
          <w:pPr>
            <w:pStyle w:val="TOC2"/>
            <w:tabs>
              <w:tab w:val="right" w:leader="dot" w:pos="9736"/>
            </w:tabs>
            <w:rPr>
              <w:rFonts w:eastAsiaTheme="minorEastAsia"/>
              <w:noProof/>
              <w:lang w:eastAsia="en-IE"/>
            </w:rPr>
          </w:pPr>
          <w:hyperlink w:anchor="_Toc199244560" w:history="1">
            <w:r w:rsidRPr="000B2148">
              <w:rPr>
                <w:rStyle w:val="Hyperlink"/>
                <w:rFonts w:eastAsia="Times New Roman"/>
                <w:noProof/>
                <w:lang w:eastAsia="en-IE"/>
              </w:rPr>
              <w:t>Social, Community, Equality and Integration SPC</w:t>
            </w:r>
            <w:r>
              <w:rPr>
                <w:noProof/>
                <w:webHidden/>
              </w:rPr>
              <w:tab/>
            </w:r>
            <w:r>
              <w:rPr>
                <w:noProof/>
                <w:webHidden/>
              </w:rPr>
              <w:fldChar w:fldCharType="begin"/>
            </w:r>
            <w:r>
              <w:rPr>
                <w:noProof/>
                <w:webHidden/>
              </w:rPr>
              <w:instrText xml:space="preserve"> PAGEREF _Toc199244560 \h </w:instrText>
            </w:r>
            <w:r>
              <w:rPr>
                <w:noProof/>
                <w:webHidden/>
              </w:rPr>
            </w:r>
            <w:r>
              <w:rPr>
                <w:noProof/>
                <w:webHidden/>
              </w:rPr>
              <w:fldChar w:fldCharType="separate"/>
            </w:r>
            <w:r>
              <w:rPr>
                <w:noProof/>
                <w:webHidden/>
              </w:rPr>
              <w:t>20</w:t>
            </w:r>
            <w:r>
              <w:rPr>
                <w:noProof/>
                <w:webHidden/>
              </w:rPr>
              <w:fldChar w:fldCharType="end"/>
            </w:r>
          </w:hyperlink>
        </w:p>
        <w:p w14:paraId="0D4B77E9" w14:textId="178C9F57" w:rsidR="003B3846" w:rsidRDefault="003B3846">
          <w:pPr>
            <w:pStyle w:val="TOC1"/>
            <w:tabs>
              <w:tab w:val="right" w:leader="dot" w:pos="9736"/>
            </w:tabs>
            <w:rPr>
              <w:rFonts w:eastAsiaTheme="minorEastAsia"/>
              <w:noProof/>
              <w:lang w:eastAsia="en-IE"/>
            </w:rPr>
          </w:pPr>
          <w:hyperlink w:anchor="_Toc199244561" w:history="1">
            <w:r w:rsidRPr="000B2148">
              <w:rPr>
                <w:rStyle w:val="Hyperlink"/>
                <w:noProof/>
              </w:rPr>
              <w:t>Local Community Development Committee</w:t>
            </w:r>
            <w:r>
              <w:rPr>
                <w:noProof/>
                <w:webHidden/>
              </w:rPr>
              <w:tab/>
            </w:r>
            <w:r>
              <w:rPr>
                <w:noProof/>
                <w:webHidden/>
              </w:rPr>
              <w:fldChar w:fldCharType="begin"/>
            </w:r>
            <w:r>
              <w:rPr>
                <w:noProof/>
                <w:webHidden/>
              </w:rPr>
              <w:instrText xml:space="preserve"> PAGEREF _Toc199244561 \h </w:instrText>
            </w:r>
            <w:r>
              <w:rPr>
                <w:noProof/>
                <w:webHidden/>
              </w:rPr>
            </w:r>
            <w:r>
              <w:rPr>
                <w:noProof/>
                <w:webHidden/>
              </w:rPr>
              <w:fldChar w:fldCharType="separate"/>
            </w:r>
            <w:r>
              <w:rPr>
                <w:noProof/>
                <w:webHidden/>
              </w:rPr>
              <w:t>22</w:t>
            </w:r>
            <w:r>
              <w:rPr>
                <w:noProof/>
                <w:webHidden/>
              </w:rPr>
              <w:fldChar w:fldCharType="end"/>
            </w:r>
          </w:hyperlink>
        </w:p>
        <w:p w14:paraId="2343CB43" w14:textId="075CA1C5" w:rsidR="003B3846" w:rsidRDefault="003B3846">
          <w:pPr>
            <w:pStyle w:val="TOC1"/>
            <w:tabs>
              <w:tab w:val="right" w:leader="dot" w:pos="9736"/>
            </w:tabs>
            <w:rPr>
              <w:rFonts w:eastAsiaTheme="minorEastAsia"/>
              <w:noProof/>
              <w:lang w:eastAsia="en-IE"/>
            </w:rPr>
          </w:pPr>
          <w:hyperlink w:anchor="_Toc199244562" w:history="1">
            <w:r w:rsidRPr="000B2148">
              <w:rPr>
                <w:rStyle w:val="Hyperlink"/>
                <w:noProof/>
              </w:rPr>
              <w:t>Local Economic and Community Plan 2024-2030</w:t>
            </w:r>
            <w:r>
              <w:rPr>
                <w:noProof/>
                <w:webHidden/>
              </w:rPr>
              <w:tab/>
            </w:r>
            <w:r>
              <w:rPr>
                <w:noProof/>
                <w:webHidden/>
              </w:rPr>
              <w:fldChar w:fldCharType="begin"/>
            </w:r>
            <w:r>
              <w:rPr>
                <w:noProof/>
                <w:webHidden/>
              </w:rPr>
              <w:instrText xml:space="preserve"> PAGEREF _Toc199244562 \h </w:instrText>
            </w:r>
            <w:r>
              <w:rPr>
                <w:noProof/>
                <w:webHidden/>
              </w:rPr>
            </w:r>
            <w:r>
              <w:rPr>
                <w:noProof/>
                <w:webHidden/>
              </w:rPr>
              <w:fldChar w:fldCharType="separate"/>
            </w:r>
            <w:r>
              <w:rPr>
                <w:noProof/>
                <w:webHidden/>
              </w:rPr>
              <w:t>23</w:t>
            </w:r>
            <w:r>
              <w:rPr>
                <w:noProof/>
                <w:webHidden/>
              </w:rPr>
              <w:fldChar w:fldCharType="end"/>
            </w:r>
          </w:hyperlink>
        </w:p>
        <w:p w14:paraId="7AD983DB" w14:textId="323F366C" w:rsidR="003B3846" w:rsidRDefault="003B3846">
          <w:pPr>
            <w:pStyle w:val="TOC1"/>
            <w:tabs>
              <w:tab w:val="right" w:leader="dot" w:pos="9736"/>
            </w:tabs>
            <w:rPr>
              <w:rFonts w:eastAsiaTheme="minorEastAsia"/>
              <w:noProof/>
              <w:lang w:eastAsia="en-IE"/>
            </w:rPr>
          </w:pPr>
          <w:hyperlink w:anchor="_Toc199244563" w:history="1">
            <w:r w:rsidRPr="000B2148">
              <w:rPr>
                <w:rStyle w:val="Hyperlink"/>
                <w:noProof/>
              </w:rPr>
              <w:t>The Audit Committee</w:t>
            </w:r>
            <w:r>
              <w:rPr>
                <w:noProof/>
                <w:webHidden/>
              </w:rPr>
              <w:tab/>
            </w:r>
            <w:r>
              <w:rPr>
                <w:noProof/>
                <w:webHidden/>
              </w:rPr>
              <w:fldChar w:fldCharType="begin"/>
            </w:r>
            <w:r>
              <w:rPr>
                <w:noProof/>
                <w:webHidden/>
              </w:rPr>
              <w:instrText xml:space="preserve"> PAGEREF _Toc199244563 \h </w:instrText>
            </w:r>
            <w:r>
              <w:rPr>
                <w:noProof/>
                <w:webHidden/>
              </w:rPr>
            </w:r>
            <w:r>
              <w:rPr>
                <w:noProof/>
                <w:webHidden/>
              </w:rPr>
              <w:fldChar w:fldCharType="separate"/>
            </w:r>
            <w:r>
              <w:rPr>
                <w:noProof/>
                <w:webHidden/>
              </w:rPr>
              <w:t>25</w:t>
            </w:r>
            <w:r>
              <w:rPr>
                <w:noProof/>
                <w:webHidden/>
              </w:rPr>
              <w:fldChar w:fldCharType="end"/>
            </w:r>
          </w:hyperlink>
        </w:p>
        <w:p w14:paraId="05A46372" w14:textId="233BE844" w:rsidR="003B3846" w:rsidRDefault="003B3846">
          <w:pPr>
            <w:pStyle w:val="TOC1"/>
            <w:tabs>
              <w:tab w:val="right" w:leader="dot" w:pos="9736"/>
            </w:tabs>
            <w:rPr>
              <w:rFonts w:eastAsiaTheme="minorEastAsia"/>
              <w:noProof/>
              <w:lang w:eastAsia="en-IE"/>
            </w:rPr>
          </w:pPr>
          <w:hyperlink w:anchor="_Toc199244564" w:history="1">
            <w:r w:rsidRPr="000B2148">
              <w:rPr>
                <w:rStyle w:val="Hyperlink"/>
                <w:noProof/>
              </w:rPr>
              <w:t>The Equality and Human Rights Framework Duty</w:t>
            </w:r>
            <w:r>
              <w:rPr>
                <w:noProof/>
                <w:webHidden/>
              </w:rPr>
              <w:tab/>
            </w:r>
            <w:r>
              <w:rPr>
                <w:noProof/>
                <w:webHidden/>
              </w:rPr>
              <w:fldChar w:fldCharType="begin"/>
            </w:r>
            <w:r>
              <w:rPr>
                <w:noProof/>
                <w:webHidden/>
              </w:rPr>
              <w:instrText xml:space="preserve"> PAGEREF _Toc199244564 \h </w:instrText>
            </w:r>
            <w:r>
              <w:rPr>
                <w:noProof/>
                <w:webHidden/>
              </w:rPr>
            </w:r>
            <w:r>
              <w:rPr>
                <w:noProof/>
                <w:webHidden/>
              </w:rPr>
              <w:fldChar w:fldCharType="separate"/>
            </w:r>
            <w:r>
              <w:rPr>
                <w:noProof/>
                <w:webHidden/>
              </w:rPr>
              <w:t>26</w:t>
            </w:r>
            <w:r>
              <w:rPr>
                <w:noProof/>
                <w:webHidden/>
              </w:rPr>
              <w:fldChar w:fldCharType="end"/>
            </w:r>
          </w:hyperlink>
        </w:p>
        <w:p w14:paraId="0E87BBB2" w14:textId="1B39F662" w:rsidR="003B3846" w:rsidRDefault="003B3846">
          <w:pPr>
            <w:pStyle w:val="TOC1"/>
            <w:tabs>
              <w:tab w:val="right" w:leader="dot" w:pos="9736"/>
            </w:tabs>
            <w:rPr>
              <w:rFonts w:eastAsiaTheme="minorEastAsia"/>
              <w:noProof/>
              <w:lang w:eastAsia="en-IE"/>
            </w:rPr>
          </w:pPr>
          <w:hyperlink w:anchor="_Toc199244565" w:history="1">
            <w:r w:rsidRPr="000B2148">
              <w:rPr>
                <w:rStyle w:val="Hyperlink"/>
                <w:noProof/>
              </w:rPr>
              <w:t>Progress under the Official Languages Act and Irish Language Legislation</w:t>
            </w:r>
            <w:r>
              <w:rPr>
                <w:noProof/>
                <w:webHidden/>
              </w:rPr>
              <w:tab/>
            </w:r>
            <w:r>
              <w:rPr>
                <w:noProof/>
                <w:webHidden/>
              </w:rPr>
              <w:fldChar w:fldCharType="begin"/>
            </w:r>
            <w:r>
              <w:rPr>
                <w:noProof/>
                <w:webHidden/>
              </w:rPr>
              <w:instrText xml:space="preserve"> PAGEREF _Toc199244565 \h </w:instrText>
            </w:r>
            <w:r>
              <w:rPr>
                <w:noProof/>
                <w:webHidden/>
              </w:rPr>
            </w:r>
            <w:r>
              <w:rPr>
                <w:noProof/>
                <w:webHidden/>
              </w:rPr>
              <w:fldChar w:fldCharType="separate"/>
            </w:r>
            <w:r>
              <w:rPr>
                <w:noProof/>
                <w:webHidden/>
              </w:rPr>
              <w:t>31</w:t>
            </w:r>
            <w:r>
              <w:rPr>
                <w:noProof/>
                <w:webHidden/>
              </w:rPr>
              <w:fldChar w:fldCharType="end"/>
            </w:r>
          </w:hyperlink>
        </w:p>
        <w:p w14:paraId="083866BF" w14:textId="0EB7456C" w:rsidR="003B3846" w:rsidRDefault="003B3846">
          <w:pPr>
            <w:pStyle w:val="TOC1"/>
            <w:tabs>
              <w:tab w:val="right" w:leader="dot" w:pos="9736"/>
            </w:tabs>
            <w:rPr>
              <w:rFonts w:eastAsiaTheme="minorEastAsia"/>
              <w:noProof/>
              <w:lang w:eastAsia="en-IE"/>
            </w:rPr>
          </w:pPr>
          <w:hyperlink w:anchor="_Toc199244566" w:history="1">
            <w:r w:rsidRPr="000B2148">
              <w:rPr>
                <w:rStyle w:val="Hyperlink"/>
                <w:noProof/>
              </w:rPr>
              <w:t>Council Awards and Achievements in 2024</w:t>
            </w:r>
            <w:r>
              <w:rPr>
                <w:noProof/>
                <w:webHidden/>
              </w:rPr>
              <w:tab/>
            </w:r>
            <w:r>
              <w:rPr>
                <w:noProof/>
                <w:webHidden/>
              </w:rPr>
              <w:fldChar w:fldCharType="begin"/>
            </w:r>
            <w:r>
              <w:rPr>
                <w:noProof/>
                <w:webHidden/>
              </w:rPr>
              <w:instrText xml:space="preserve"> PAGEREF _Toc199244566 \h </w:instrText>
            </w:r>
            <w:r>
              <w:rPr>
                <w:noProof/>
                <w:webHidden/>
              </w:rPr>
            </w:r>
            <w:r>
              <w:rPr>
                <w:noProof/>
                <w:webHidden/>
              </w:rPr>
              <w:fldChar w:fldCharType="separate"/>
            </w:r>
            <w:r>
              <w:rPr>
                <w:noProof/>
                <w:webHidden/>
              </w:rPr>
              <w:t>32</w:t>
            </w:r>
            <w:r>
              <w:rPr>
                <w:noProof/>
                <w:webHidden/>
              </w:rPr>
              <w:fldChar w:fldCharType="end"/>
            </w:r>
          </w:hyperlink>
        </w:p>
        <w:p w14:paraId="76CA6102" w14:textId="40039ADE" w:rsidR="003B3846" w:rsidRDefault="003B3846">
          <w:pPr>
            <w:pStyle w:val="TOC1"/>
            <w:tabs>
              <w:tab w:val="right" w:leader="dot" w:pos="9736"/>
            </w:tabs>
            <w:rPr>
              <w:rFonts w:eastAsiaTheme="minorEastAsia"/>
              <w:noProof/>
              <w:lang w:eastAsia="en-IE"/>
            </w:rPr>
          </w:pPr>
          <w:hyperlink w:anchor="_Toc199244567" w:history="1">
            <w:r w:rsidRPr="000B2148">
              <w:rPr>
                <w:rStyle w:val="Hyperlink"/>
                <w:noProof/>
              </w:rPr>
              <w:t>Delivery of the 2024 Service Plan and the Corporate Plan</w:t>
            </w:r>
            <w:r>
              <w:rPr>
                <w:noProof/>
                <w:webHidden/>
              </w:rPr>
              <w:tab/>
            </w:r>
            <w:r>
              <w:rPr>
                <w:noProof/>
                <w:webHidden/>
              </w:rPr>
              <w:fldChar w:fldCharType="begin"/>
            </w:r>
            <w:r>
              <w:rPr>
                <w:noProof/>
                <w:webHidden/>
              </w:rPr>
              <w:instrText xml:space="preserve"> PAGEREF _Toc199244567 \h </w:instrText>
            </w:r>
            <w:r>
              <w:rPr>
                <w:noProof/>
                <w:webHidden/>
              </w:rPr>
            </w:r>
            <w:r>
              <w:rPr>
                <w:noProof/>
                <w:webHidden/>
              </w:rPr>
              <w:fldChar w:fldCharType="separate"/>
            </w:r>
            <w:r>
              <w:rPr>
                <w:noProof/>
                <w:webHidden/>
              </w:rPr>
              <w:t>34</w:t>
            </w:r>
            <w:r>
              <w:rPr>
                <w:noProof/>
                <w:webHidden/>
              </w:rPr>
              <w:fldChar w:fldCharType="end"/>
            </w:r>
          </w:hyperlink>
        </w:p>
        <w:p w14:paraId="4CF88FB3" w14:textId="71D35971" w:rsidR="003B3846" w:rsidRDefault="003B3846">
          <w:pPr>
            <w:pStyle w:val="TOC2"/>
            <w:tabs>
              <w:tab w:val="right" w:leader="dot" w:pos="9736"/>
            </w:tabs>
            <w:rPr>
              <w:rFonts w:eastAsiaTheme="minorEastAsia"/>
              <w:noProof/>
              <w:lang w:eastAsia="en-IE"/>
            </w:rPr>
          </w:pPr>
          <w:hyperlink w:anchor="_Toc199244568" w:history="1">
            <w:r w:rsidRPr="000B2148">
              <w:rPr>
                <w:rStyle w:val="Hyperlink"/>
                <w:noProof/>
              </w:rPr>
              <w:t>Economic, Enterprise and Tourism Development</w:t>
            </w:r>
            <w:r>
              <w:rPr>
                <w:noProof/>
                <w:webHidden/>
              </w:rPr>
              <w:tab/>
            </w:r>
            <w:r>
              <w:rPr>
                <w:noProof/>
                <w:webHidden/>
              </w:rPr>
              <w:fldChar w:fldCharType="begin"/>
            </w:r>
            <w:r>
              <w:rPr>
                <w:noProof/>
                <w:webHidden/>
              </w:rPr>
              <w:instrText xml:space="preserve"> PAGEREF _Toc199244568 \h </w:instrText>
            </w:r>
            <w:r>
              <w:rPr>
                <w:noProof/>
                <w:webHidden/>
              </w:rPr>
            </w:r>
            <w:r>
              <w:rPr>
                <w:noProof/>
                <w:webHidden/>
              </w:rPr>
              <w:fldChar w:fldCharType="separate"/>
            </w:r>
            <w:r>
              <w:rPr>
                <w:noProof/>
                <w:webHidden/>
              </w:rPr>
              <w:t>34</w:t>
            </w:r>
            <w:r>
              <w:rPr>
                <w:noProof/>
                <w:webHidden/>
              </w:rPr>
              <w:fldChar w:fldCharType="end"/>
            </w:r>
          </w:hyperlink>
        </w:p>
        <w:p w14:paraId="76AD972C" w14:textId="10D4F2D8" w:rsidR="003B3846" w:rsidRDefault="003B3846">
          <w:pPr>
            <w:pStyle w:val="TOC2"/>
            <w:tabs>
              <w:tab w:val="right" w:leader="dot" w:pos="9736"/>
            </w:tabs>
            <w:rPr>
              <w:rFonts w:eastAsiaTheme="minorEastAsia"/>
              <w:noProof/>
              <w:lang w:eastAsia="en-IE"/>
            </w:rPr>
          </w:pPr>
          <w:hyperlink w:anchor="_Toc199244569" w:history="1">
            <w:r w:rsidRPr="000B2148">
              <w:rPr>
                <w:rStyle w:val="Hyperlink"/>
                <w:noProof/>
              </w:rPr>
              <w:t>Land Use, Planning and Transportation</w:t>
            </w:r>
            <w:r>
              <w:rPr>
                <w:noProof/>
                <w:webHidden/>
              </w:rPr>
              <w:tab/>
            </w:r>
            <w:r>
              <w:rPr>
                <w:noProof/>
                <w:webHidden/>
              </w:rPr>
              <w:fldChar w:fldCharType="begin"/>
            </w:r>
            <w:r>
              <w:rPr>
                <w:noProof/>
                <w:webHidden/>
              </w:rPr>
              <w:instrText xml:space="preserve"> PAGEREF _Toc199244569 \h </w:instrText>
            </w:r>
            <w:r>
              <w:rPr>
                <w:noProof/>
                <w:webHidden/>
              </w:rPr>
            </w:r>
            <w:r>
              <w:rPr>
                <w:noProof/>
                <w:webHidden/>
              </w:rPr>
              <w:fldChar w:fldCharType="separate"/>
            </w:r>
            <w:r>
              <w:rPr>
                <w:noProof/>
                <w:webHidden/>
              </w:rPr>
              <w:t>40</w:t>
            </w:r>
            <w:r>
              <w:rPr>
                <w:noProof/>
                <w:webHidden/>
              </w:rPr>
              <w:fldChar w:fldCharType="end"/>
            </w:r>
          </w:hyperlink>
        </w:p>
        <w:p w14:paraId="7C8D6852" w14:textId="27C8AD29" w:rsidR="003B3846" w:rsidRDefault="003B3846">
          <w:pPr>
            <w:pStyle w:val="TOC2"/>
            <w:tabs>
              <w:tab w:val="right" w:leader="dot" w:pos="9736"/>
            </w:tabs>
            <w:rPr>
              <w:rFonts w:eastAsiaTheme="minorEastAsia"/>
              <w:noProof/>
              <w:lang w:eastAsia="en-IE"/>
            </w:rPr>
          </w:pPr>
          <w:hyperlink w:anchor="_Toc199244570" w:history="1">
            <w:r w:rsidRPr="000B2148">
              <w:rPr>
                <w:rStyle w:val="Hyperlink"/>
                <w:noProof/>
              </w:rPr>
              <w:t>Housing, Social and Community Development</w:t>
            </w:r>
            <w:r>
              <w:rPr>
                <w:noProof/>
                <w:webHidden/>
              </w:rPr>
              <w:tab/>
            </w:r>
            <w:r>
              <w:rPr>
                <w:noProof/>
                <w:webHidden/>
              </w:rPr>
              <w:fldChar w:fldCharType="begin"/>
            </w:r>
            <w:r>
              <w:rPr>
                <w:noProof/>
                <w:webHidden/>
              </w:rPr>
              <w:instrText xml:space="preserve"> PAGEREF _Toc199244570 \h </w:instrText>
            </w:r>
            <w:r>
              <w:rPr>
                <w:noProof/>
                <w:webHidden/>
              </w:rPr>
            </w:r>
            <w:r>
              <w:rPr>
                <w:noProof/>
                <w:webHidden/>
              </w:rPr>
              <w:fldChar w:fldCharType="separate"/>
            </w:r>
            <w:r>
              <w:rPr>
                <w:noProof/>
                <w:webHidden/>
              </w:rPr>
              <w:t>43</w:t>
            </w:r>
            <w:r>
              <w:rPr>
                <w:noProof/>
                <w:webHidden/>
              </w:rPr>
              <w:fldChar w:fldCharType="end"/>
            </w:r>
          </w:hyperlink>
        </w:p>
        <w:p w14:paraId="57E7FD03" w14:textId="780DA0D3" w:rsidR="003B3846" w:rsidRDefault="003B3846">
          <w:pPr>
            <w:pStyle w:val="TOC2"/>
            <w:tabs>
              <w:tab w:val="right" w:leader="dot" w:pos="9736"/>
            </w:tabs>
            <w:rPr>
              <w:rFonts w:eastAsiaTheme="minorEastAsia"/>
              <w:noProof/>
              <w:lang w:eastAsia="en-IE"/>
            </w:rPr>
          </w:pPr>
          <w:hyperlink w:anchor="_Toc199244571" w:history="1">
            <w:r w:rsidRPr="000B2148">
              <w:rPr>
                <w:rStyle w:val="Hyperlink"/>
                <w:noProof/>
                <w:lang w:val="en-GB"/>
              </w:rPr>
              <w:t>Environment water and climate change</w:t>
            </w:r>
            <w:r>
              <w:rPr>
                <w:noProof/>
                <w:webHidden/>
              </w:rPr>
              <w:tab/>
            </w:r>
            <w:r>
              <w:rPr>
                <w:noProof/>
                <w:webHidden/>
              </w:rPr>
              <w:fldChar w:fldCharType="begin"/>
            </w:r>
            <w:r>
              <w:rPr>
                <w:noProof/>
                <w:webHidden/>
              </w:rPr>
              <w:instrText xml:space="preserve"> PAGEREF _Toc199244571 \h </w:instrText>
            </w:r>
            <w:r>
              <w:rPr>
                <w:noProof/>
                <w:webHidden/>
              </w:rPr>
            </w:r>
            <w:r>
              <w:rPr>
                <w:noProof/>
                <w:webHidden/>
              </w:rPr>
              <w:fldChar w:fldCharType="separate"/>
            </w:r>
            <w:r>
              <w:rPr>
                <w:noProof/>
                <w:webHidden/>
              </w:rPr>
              <w:t>48</w:t>
            </w:r>
            <w:r>
              <w:rPr>
                <w:noProof/>
                <w:webHidden/>
              </w:rPr>
              <w:fldChar w:fldCharType="end"/>
            </w:r>
          </w:hyperlink>
        </w:p>
        <w:p w14:paraId="79E2333A" w14:textId="1C007370" w:rsidR="003B3846" w:rsidRDefault="003B3846">
          <w:pPr>
            <w:pStyle w:val="TOC2"/>
            <w:tabs>
              <w:tab w:val="right" w:leader="dot" w:pos="9736"/>
            </w:tabs>
            <w:rPr>
              <w:rFonts w:eastAsiaTheme="minorEastAsia"/>
              <w:noProof/>
              <w:lang w:eastAsia="en-IE"/>
            </w:rPr>
          </w:pPr>
          <w:hyperlink w:anchor="_Toc199244572" w:history="1">
            <w:r w:rsidRPr="000B2148">
              <w:rPr>
                <w:rStyle w:val="Hyperlink"/>
                <w:noProof/>
              </w:rPr>
              <w:t>Organisational Capacity and Accountability</w:t>
            </w:r>
            <w:r>
              <w:rPr>
                <w:noProof/>
                <w:webHidden/>
              </w:rPr>
              <w:tab/>
            </w:r>
            <w:r>
              <w:rPr>
                <w:noProof/>
                <w:webHidden/>
              </w:rPr>
              <w:fldChar w:fldCharType="begin"/>
            </w:r>
            <w:r>
              <w:rPr>
                <w:noProof/>
                <w:webHidden/>
              </w:rPr>
              <w:instrText xml:space="preserve"> PAGEREF _Toc199244572 \h </w:instrText>
            </w:r>
            <w:r>
              <w:rPr>
                <w:noProof/>
                <w:webHidden/>
              </w:rPr>
            </w:r>
            <w:r>
              <w:rPr>
                <w:noProof/>
                <w:webHidden/>
              </w:rPr>
              <w:fldChar w:fldCharType="separate"/>
            </w:r>
            <w:r>
              <w:rPr>
                <w:noProof/>
                <w:webHidden/>
              </w:rPr>
              <w:t>53</w:t>
            </w:r>
            <w:r>
              <w:rPr>
                <w:noProof/>
                <w:webHidden/>
              </w:rPr>
              <w:fldChar w:fldCharType="end"/>
            </w:r>
          </w:hyperlink>
        </w:p>
        <w:p w14:paraId="75D441C9" w14:textId="637C3A91" w:rsidR="003B3846" w:rsidRDefault="003B3846">
          <w:pPr>
            <w:pStyle w:val="TOC1"/>
            <w:tabs>
              <w:tab w:val="right" w:leader="dot" w:pos="9736"/>
            </w:tabs>
            <w:rPr>
              <w:rFonts w:eastAsiaTheme="minorEastAsia"/>
              <w:noProof/>
              <w:lang w:eastAsia="en-IE"/>
            </w:rPr>
          </w:pPr>
          <w:hyperlink w:anchor="_Toc199244573" w:history="1">
            <w:r w:rsidRPr="000B2148">
              <w:rPr>
                <w:rStyle w:val="Hyperlink"/>
                <w:noProof/>
              </w:rPr>
              <w:t>Appendices</w:t>
            </w:r>
            <w:r>
              <w:rPr>
                <w:noProof/>
                <w:webHidden/>
              </w:rPr>
              <w:tab/>
            </w:r>
            <w:r>
              <w:rPr>
                <w:noProof/>
                <w:webHidden/>
              </w:rPr>
              <w:fldChar w:fldCharType="begin"/>
            </w:r>
            <w:r>
              <w:rPr>
                <w:noProof/>
                <w:webHidden/>
              </w:rPr>
              <w:instrText xml:space="preserve"> PAGEREF _Toc199244573 \h </w:instrText>
            </w:r>
            <w:r>
              <w:rPr>
                <w:noProof/>
                <w:webHidden/>
              </w:rPr>
            </w:r>
            <w:r>
              <w:rPr>
                <w:noProof/>
                <w:webHidden/>
              </w:rPr>
              <w:fldChar w:fldCharType="separate"/>
            </w:r>
            <w:r>
              <w:rPr>
                <w:noProof/>
                <w:webHidden/>
              </w:rPr>
              <w:t>60</w:t>
            </w:r>
            <w:r>
              <w:rPr>
                <w:noProof/>
                <w:webHidden/>
              </w:rPr>
              <w:fldChar w:fldCharType="end"/>
            </w:r>
          </w:hyperlink>
        </w:p>
        <w:p w14:paraId="6AECB6D3" w14:textId="568F81F5" w:rsidR="003B3846" w:rsidRDefault="003B3846">
          <w:pPr>
            <w:pStyle w:val="TOC2"/>
            <w:tabs>
              <w:tab w:val="right" w:leader="dot" w:pos="9736"/>
            </w:tabs>
            <w:rPr>
              <w:rFonts w:eastAsiaTheme="minorEastAsia"/>
              <w:noProof/>
              <w:lang w:eastAsia="en-IE"/>
            </w:rPr>
          </w:pPr>
          <w:hyperlink w:anchor="_Toc199244574" w:history="1">
            <w:r w:rsidRPr="000B2148">
              <w:rPr>
                <w:rStyle w:val="Hyperlink"/>
                <w:noProof/>
              </w:rPr>
              <w:t>Appendix 1.1 Statement of Internal Financial Control (SIFC)</w:t>
            </w:r>
            <w:r>
              <w:rPr>
                <w:noProof/>
                <w:webHidden/>
              </w:rPr>
              <w:tab/>
            </w:r>
            <w:r>
              <w:rPr>
                <w:noProof/>
                <w:webHidden/>
              </w:rPr>
              <w:fldChar w:fldCharType="begin"/>
            </w:r>
            <w:r>
              <w:rPr>
                <w:noProof/>
                <w:webHidden/>
              </w:rPr>
              <w:instrText xml:space="preserve"> PAGEREF _Toc199244574 \h </w:instrText>
            </w:r>
            <w:r>
              <w:rPr>
                <w:noProof/>
                <w:webHidden/>
              </w:rPr>
            </w:r>
            <w:r>
              <w:rPr>
                <w:noProof/>
                <w:webHidden/>
              </w:rPr>
              <w:fldChar w:fldCharType="separate"/>
            </w:r>
            <w:r>
              <w:rPr>
                <w:noProof/>
                <w:webHidden/>
              </w:rPr>
              <w:t>60</w:t>
            </w:r>
            <w:r>
              <w:rPr>
                <w:noProof/>
                <w:webHidden/>
              </w:rPr>
              <w:fldChar w:fldCharType="end"/>
            </w:r>
          </w:hyperlink>
        </w:p>
        <w:p w14:paraId="162EB1C5" w14:textId="4A832F9E" w:rsidR="003B3846" w:rsidRDefault="003B3846">
          <w:pPr>
            <w:pStyle w:val="TOC2"/>
            <w:tabs>
              <w:tab w:val="right" w:leader="dot" w:pos="9736"/>
            </w:tabs>
            <w:rPr>
              <w:rFonts w:eastAsiaTheme="minorEastAsia"/>
              <w:noProof/>
              <w:lang w:eastAsia="en-IE"/>
            </w:rPr>
          </w:pPr>
          <w:hyperlink w:anchor="_Toc199244575" w:history="1">
            <w:r w:rsidRPr="000B2148">
              <w:rPr>
                <w:rStyle w:val="Hyperlink"/>
                <w:noProof/>
              </w:rPr>
              <w:t>Appendix 1.2: Financial Statements</w:t>
            </w:r>
            <w:r>
              <w:rPr>
                <w:noProof/>
                <w:webHidden/>
              </w:rPr>
              <w:tab/>
            </w:r>
            <w:r>
              <w:rPr>
                <w:noProof/>
                <w:webHidden/>
              </w:rPr>
              <w:fldChar w:fldCharType="begin"/>
            </w:r>
            <w:r>
              <w:rPr>
                <w:noProof/>
                <w:webHidden/>
              </w:rPr>
              <w:instrText xml:space="preserve"> PAGEREF _Toc199244575 \h </w:instrText>
            </w:r>
            <w:r>
              <w:rPr>
                <w:noProof/>
                <w:webHidden/>
              </w:rPr>
            </w:r>
            <w:r>
              <w:rPr>
                <w:noProof/>
                <w:webHidden/>
              </w:rPr>
              <w:fldChar w:fldCharType="separate"/>
            </w:r>
            <w:r>
              <w:rPr>
                <w:noProof/>
                <w:webHidden/>
              </w:rPr>
              <w:t>66</w:t>
            </w:r>
            <w:r>
              <w:rPr>
                <w:noProof/>
                <w:webHidden/>
              </w:rPr>
              <w:fldChar w:fldCharType="end"/>
            </w:r>
          </w:hyperlink>
        </w:p>
        <w:p w14:paraId="18668273" w14:textId="05C117BC" w:rsidR="003B3846" w:rsidRDefault="003B3846">
          <w:pPr>
            <w:pStyle w:val="TOC3"/>
            <w:tabs>
              <w:tab w:val="right" w:leader="dot" w:pos="9736"/>
            </w:tabs>
            <w:rPr>
              <w:rFonts w:eastAsiaTheme="minorEastAsia"/>
              <w:noProof/>
              <w:lang w:eastAsia="en-IE"/>
            </w:rPr>
          </w:pPr>
          <w:hyperlink w:anchor="_Toc199244576" w:history="1">
            <w:r w:rsidRPr="000B2148">
              <w:rPr>
                <w:rStyle w:val="Hyperlink"/>
                <w:noProof/>
              </w:rPr>
              <w:t>STATEMENT</w:t>
            </w:r>
            <w:r w:rsidRPr="000B2148">
              <w:rPr>
                <w:rStyle w:val="Hyperlink"/>
                <w:noProof/>
                <w:spacing w:val="-1"/>
              </w:rPr>
              <w:t xml:space="preserve"> </w:t>
            </w:r>
            <w:r w:rsidRPr="000B2148">
              <w:rPr>
                <w:rStyle w:val="Hyperlink"/>
                <w:noProof/>
              </w:rPr>
              <w:t>OF</w:t>
            </w:r>
            <w:r w:rsidRPr="000B2148">
              <w:rPr>
                <w:rStyle w:val="Hyperlink"/>
                <w:noProof/>
                <w:spacing w:val="-4"/>
              </w:rPr>
              <w:t xml:space="preserve"> </w:t>
            </w:r>
            <w:r w:rsidRPr="000B2148">
              <w:rPr>
                <w:rStyle w:val="Hyperlink"/>
                <w:noProof/>
              </w:rPr>
              <w:t>COMPREHENSIVE</w:t>
            </w:r>
            <w:r w:rsidRPr="000B2148">
              <w:rPr>
                <w:rStyle w:val="Hyperlink"/>
                <w:noProof/>
                <w:spacing w:val="-5"/>
              </w:rPr>
              <w:t xml:space="preserve"> </w:t>
            </w:r>
            <w:r w:rsidRPr="000B2148">
              <w:rPr>
                <w:rStyle w:val="Hyperlink"/>
                <w:noProof/>
              </w:rPr>
              <w:t>INCOME</w:t>
            </w:r>
            <w:r w:rsidRPr="000B2148">
              <w:rPr>
                <w:rStyle w:val="Hyperlink"/>
                <w:noProof/>
                <w:spacing w:val="-5"/>
              </w:rPr>
              <w:t xml:space="preserve"> </w:t>
            </w:r>
            <w:r w:rsidRPr="000B2148">
              <w:rPr>
                <w:rStyle w:val="Hyperlink"/>
                <w:noProof/>
              </w:rPr>
              <w:t xml:space="preserve"> FOR YEAR ENDING 31st DECEMBER 2023</w:t>
            </w:r>
            <w:r>
              <w:rPr>
                <w:noProof/>
                <w:webHidden/>
              </w:rPr>
              <w:tab/>
            </w:r>
            <w:r>
              <w:rPr>
                <w:noProof/>
                <w:webHidden/>
              </w:rPr>
              <w:fldChar w:fldCharType="begin"/>
            </w:r>
            <w:r>
              <w:rPr>
                <w:noProof/>
                <w:webHidden/>
              </w:rPr>
              <w:instrText xml:space="preserve"> PAGEREF _Toc199244576 \h </w:instrText>
            </w:r>
            <w:r>
              <w:rPr>
                <w:noProof/>
                <w:webHidden/>
              </w:rPr>
            </w:r>
            <w:r>
              <w:rPr>
                <w:noProof/>
                <w:webHidden/>
              </w:rPr>
              <w:fldChar w:fldCharType="separate"/>
            </w:r>
            <w:r>
              <w:rPr>
                <w:noProof/>
                <w:webHidden/>
              </w:rPr>
              <w:t>66</w:t>
            </w:r>
            <w:r>
              <w:rPr>
                <w:noProof/>
                <w:webHidden/>
              </w:rPr>
              <w:fldChar w:fldCharType="end"/>
            </w:r>
          </w:hyperlink>
        </w:p>
        <w:p w14:paraId="2FA72BE0" w14:textId="0F226E5C" w:rsidR="003B3846" w:rsidRDefault="003B3846">
          <w:pPr>
            <w:pStyle w:val="TOC3"/>
            <w:tabs>
              <w:tab w:val="right" w:leader="dot" w:pos="9736"/>
            </w:tabs>
            <w:rPr>
              <w:rFonts w:eastAsiaTheme="minorEastAsia"/>
              <w:noProof/>
              <w:lang w:eastAsia="en-IE"/>
            </w:rPr>
          </w:pPr>
          <w:hyperlink w:anchor="_Toc199244577" w:history="1">
            <w:r w:rsidRPr="000B2148">
              <w:rPr>
                <w:rStyle w:val="Hyperlink"/>
                <w:noProof/>
              </w:rPr>
              <w:t>STATEMENT OF FINANCIAL POSITION AT 31st DECEMBER 2024</w:t>
            </w:r>
            <w:r>
              <w:rPr>
                <w:noProof/>
                <w:webHidden/>
              </w:rPr>
              <w:tab/>
            </w:r>
            <w:r>
              <w:rPr>
                <w:noProof/>
                <w:webHidden/>
              </w:rPr>
              <w:fldChar w:fldCharType="begin"/>
            </w:r>
            <w:r>
              <w:rPr>
                <w:noProof/>
                <w:webHidden/>
              </w:rPr>
              <w:instrText xml:space="preserve"> PAGEREF _Toc199244577 \h </w:instrText>
            </w:r>
            <w:r>
              <w:rPr>
                <w:noProof/>
                <w:webHidden/>
              </w:rPr>
            </w:r>
            <w:r>
              <w:rPr>
                <w:noProof/>
                <w:webHidden/>
              </w:rPr>
              <w:fldChar w:fldCharType="separate"/>
            </w:r>
            <w:r>
              <w:rPr>
                <w:noProof/>
                <w:webHidden/>
              </w:rPr>
              <w:t>67</w:t>
            </w:r>
            <w:r>
              <w:rPr>
                <w:noProof/>
                <w:webHidden/>
              </w:rPr>
              <w:fldChar w:fldCharType="end"/>
            </w:r>
          </w:hyperlink>
        </w:p>
        <w:p w14:paraId="3B4B0FC2" w14:textId="7B959293" w:rsidR="003B3846" w:rsidRDefault="003B3846">
          <w:pPr>
            <w:pStyle w:val="TOC3"/>
            <w:tabs>
              <w:tab w:val="right" w:leader="dot" w:pos="9736"/>
            </w:tabs>
            <w:rPr>
              <w:rFonts w:eastAsiaTheme="minorEastAsia"/>
              <w:noProof/>
              <w:lang w:eastAsia="en-IE"/>
            </w:rPr>
          </w:pPr>
          <w:hyperlink w:anchor="_Toc199244578" w:history="1">
            <w:r w:rsidRPr="000B2148">
              <w:rPr>
                <w:rStyle w:val="Hyperlink"/>
                <w:noProof/>
              </w:rPr>
              <w:t>STATEMENT OF FUNDS FLOW AS AT 31ST DECEMBER 2024</w:t>
            </w:r>
            <w:r>
              <w:rPr>
                <w:noProof/>
                <w:webHidden/>
              </w:rPr>
              <w:tab/>
            </w:r>
            <w:r>
              <w:rPr>
                <w:noProof/>
                <w:webHidden/>
              </w:rPr>
              <w:fldChar w:fldCharType="begin"/>
            </w:r>
            <w:r>
              <w:rPr>
                <w:noProof/>
                <w:webHidden/>
              </w:rPr>
              <w:instrText xml:space="preserve"> PAGEREF _Toc199244578 \h </w:instrText>
            </w:r>
            <w:r>
              <w:rPr>
                <w:noProof/>
                <w:webHidden/>
              </w:rPr>
            </w:r>
            <w:r>
              <w:rPr>
                <w:noProof/>
                <w:webHidden/>
              </w:rPr>
              <w:fldChar w:fldCharType="separate"/>
            </w:r>
            <w:r>
              <w:rPr>
                <w:noProof/>
                <w:webHidden/>
              </w:rPr>
              <w:t>68</w:t>
            </w:r>
            <w:r>
              <w:rPr>
                <w:noProof/>
                <w:webHidden/>
              </w:rPr>
              <w:fldChar w:fldCharType="end"/>
            </w:r>
          </w:hyperlink>
        </w:p>
        <w:p w14:paraId="49A86815" w14:textId="50FA06EF" w:rsidR="003B3846" w:rsidRDefault="003B3846">
          <w:pPr>
            <w:pStyle w:val="TOC2"/>
            <w:tabs>
              <w:tab w:val="right" w:leader="dot" w:pos="9736"/>
            </w:tabs>
            <w:rPr>
              <w:rFonts w:eastAsiaTheme="minorEastAsia"/>
              <w:noProof/>
              <w:lang w:eastAsia="en-IE"/>
            </w:rPr>
          </w:pPr>
          <w:hyperlink w:anchor="_Toc199244579" w:history="1">
            <w:r w:rsidRPr="000B2148">
              <w:rPr>
                <w:rStyle w:val="Hyperlink"/>
                <w:noProof/>
              </w:rPr>
              <w:t>Appendix 1.3 Entertainment and Associated Expenses</w:t>
            </w:r>
            <w:r>
              <w:rPr>
                <w:noProof/>
                <w:webHidden/>
              </w:rPr>
              <w:tab/>
            </w:r>
            <w:r>
              <w:rPr>
                <w:noProof/>
                <w:webHidden/>
              </w:rPr>
              <w:fldChar w:fldCharType="begin"/>
            </w:r>
            <w:r>
              <w:rPr>
                <w:noProof/>
                <w:webHidden/>
              </w:rPr>
              <w:instrText xml:space="preserve"> PAGEREF _Toc199244579 \h </w:instrText>
            </w:r>
            <w:r>
              <w:rPr>
                <w:noProof/>
                <w:webHidden/>
              </w:rPr>
            </w:r>
            <w:r>
              <w:rPr>
                <w:noProof/>
                <w:webHidden/>
              </w:rPr>
              <w:fldChar w:fldCharType="separate"/>
            </w:r>
            <w:r>
              <w:rPr>
                <w:noProof/>
                <w:webHidden/>
              </w:rPr>
              <w:t>69</w:t>
            </w:r>
            <w:r>
              <w:rPr>
                <w:noProof/>
                <w:webHidden/>
              </w:rPr>
              <w:fldChar w:fldCharType="end"/>
            </w:r>
          </w:hyperlink>
        </w:p>
        <w:p w14:paraId="5CADC8F7" w14:textId="5C1B61D3" w:rsidR="003B3846" w:rsidRDefault="003B3846">
          <w:pPr>
            <w:pStyle w:val="TOC2"/>
            <w:tabs>
              <w:tab w:val="right" w:leader="dot" w:pos="9736"/>
            </w:tabs>
            <w:rPr>
              <w:rFonts w:eastAsiaTheme="minorEastAsia"/>
              <w:noProof/>
              <w:lang w:eastAsia="en-IE"/>
            </w:rPr>
          </w:pPr>
          <w:hyperlink w:anchor="_Toc199244580" w:history="1">
            <w:r w:rsidRPr="000B2148">
              <w:rPr>
                <w:rStyle w:val="Hyperlink"/>
                <w:noProof/>
              </w:rPr>
              <w:t>Appendix 1.4 Acceptance of Gifts by the Council</w:t>
            </w:r>
            <w:r>
              <w:rPr>
                <w:noProof/>
                <w:webHidden/>
              </w:rPr>
              <w:tab/>
            </w:r>
            <w:r>
              <w:rPr>
                <w:noProof/>
                <w:webHidden/>
              </w:rPr>
              <w:fldChar w:fldCharType="begin"/>
            </w:r>
            <w:r>
              <w:rPr>
                <w:noProof/>
                <w:webHidden/>
              </w:rPr>
              <w:instrText xml:space="preserve"> PAGEREF _Toc199244580 \h </w:instrText>
            </w:r>
            <w:r>
              <w:rPr>
                <w:noProof/>
                <w:webHidden/>
              </w:rPr>
            </w:r>
            <w:r>
              <w:rPr>
                <w:noProof/>
                <w:webHidden/>
              </w:rPr>
              <w:fldChar w:fldCharType="separate"/>
            </w:r>
            <w:r>
              <w:rPr>
                <w:noProof/>
                <w:webHidden/>
              </w:rPr>
              <w:t>69</w:t>
            </w:r>
            <w:r>
              <w:rPr>
                <w:noProof/>
                <w:webHidden/>
              </w:rPr>
              <w:fldChar w:fldCharType="end"/>
            </w:r>
          </w:hyperlink>
        </w:p>
        <w:p w14:paraId="120395AF" w14:textId="5DDF391D" w:rsidR="003B3846" w:rsidRDefault="003B3846">
          <w:pPr>
            <w:pStyle w:val="TOC2"/>
            <w:tabs>
              <w:tab w:val="right" w:leader="dot" w:pos="9736"/>
            </w:tabs>
            <w:rPr>
              <w:rFonts w:eastAsiaTheme="minorEastAsia"/>
              <w:noProof/>
              <w:lang w:eastAsia="en-IE"/>
            </w:rPr>
          </w:pPr>
          <w:hyperlink w:anchor="_Toc199244581" w:history="1">
            <w:r w:rsidRPr="000B2148">
              <w:rPr>
                <w:rStyle w:val="Hyperlink"/>
                <w:noProof/>
              </w:rPr>
              <w:t>Appendix 2: Governance Statement</w:t>
            </w:r>
            <w:r>
              <w:rPr>
                <w:noProof/>
                <w:webHidden/>
              </w:rPr>
              <w:tab/>
            </w:r>
            <w:r>
              <w:rPr>
                <w:noProof/>
                <w:webHidden/>
              </w:rPr>
              <w:fldChar w:fldCharType="begin"/>
            </w:r>
            <w:r>
              <w:rPr>
                <w:noProof/>
                <w:webHidden/>
              </w:rPr>
              <w:instrText xml:space="preserve"> PAGEREF _Toc199244581 \h </w:instrText>
            </w:r>
            <w:r>
              <w:rPr>
                <w:noProof/>
                <w:webHidden/>
              </w:rPr>
            </w:r>
            <w:r>
              <w:rPr>
                <w:noProof/>
                <w:webHidden/>
              </w:rPr>
              <w:fldChar w:fldCharType="separate"/>
            </w:r>
            <w:r>
              <w:rPr>
                <w:noProof/>
                <w:webHidden/>
              </w:rPr>
              <w:t>70</w:t>
            </w:r>
            <w:r>
              <w:rPr>
                <w:noProof/>
                <w:webHidden/>
              </w:rPr>
              <w:fldChar w:fldCharType="end"/>
            </w:r>
          </w:hyperlink>
        </w:p>
        <w:p w14:paraId="2E9207E8" w14:textId="5D2561B1" w:rsidR="003B3846" w:rsidRDefault="003B3846">
          <w:pPr>
            <w:pStyle w:val="TOC2"/>
            <w:tabs>
              <w:tab w:val="right" w:leader="dot" w:pos="9736"/>
            </w:tabs>
            <w:rPr>
              <w:rFonts w:eastAsiaTheme="minorEastAsia"/>
              <w:noProof/>
              <w:lang w:eastAsia="en-IE"/>
            </w:rPr>
          </w:pPr>
          <w:hyperlink w:anchor="_Toc199244582" w:history="1">
            <w:r w:rsidRPr="000B2148">
              <w:rPr>
                <w:rStyle w:val="Hyperlink"/>
                <w:noProof/>
              </w:rPr>
              <w:t>Appendix 3.1 Elected Members</w:t>
            </w:r>
            <w:r>
              <w:rPr>
                <w:noProof/>
                <w:webHidden/>
              </w:rPr>
              <w:tab/>
            </w:r>
            <w:r>
              <w:rPr>
                <w:noProof/>
                <w:webHidden/>
              </w:rPr>
              <w:fldChar w:fldCharType="begin"/>
            </w:r>
            <w:r>
              <w:rPr>
                <w:noProof/>
                <w:webHidden/>
              </w:rPr>
              <w:instrText xml:space="preserve"> PAGEREF _Toc199244582 \h </w:instrText>
            </w:r>
            <w:r>
              <w:rPr>
                <w:noProof/>
                <w:webHidden/>
              </w:rPr>
            </w:r>
            <w:r>
              <w:rPr>
                <w:noProof/>
                <w:webHidden/>
              </w:rPr>
              <w:fldChar w:fldCharType="separate"/>
            </w:r>
            <w:r>
              <w:rPr>
                <w:noProof/>
                <w:webHidden/>
              </w:rPr>
              <w:t>73</w:t>
            </w:r>
            <w:r>
              <w:rPr>
                <w:noProof/>
                <w:webHidden/>
              </w:rPr>
              <w:fldChar w:fldCharType="end"/>
            </w:r>
          </w:hyperlink>
        </w:p>
        <w:p w14:paraId="33462500" w14:textId="622B115A" w:rsidR="003B3846" w:rsidRDefault="003B3846">
          <w:pPr>
            <w:pStyle w:val="TOC2"/>
            <w:tabs>
              <w:tab w:val="right" w:leader="dot" w:pos="9736"/>
            </w:tabs>
            <w:rPr>
              <w:rFonts w:eastAsiaTheme="minorEastAsia"/>
              <w:noProof/>
              <w:lang w:eastAsia="en-IE"/>
            </w:rPr>
          </w:pPr>
          <w:hyperlink w:anchor="_Toc199244583" w:history="1">
            <w:r w:rsidRPr="000B2148">
              <w:rPr>
                <w:rStyle w:val="Hyperlink"/>
                <w:noProof/>
              </w:rPr>
              <w:t>Appendix 3.2 Payments Made to Councillors in 2024</w:t>
            </w:r>
            <w:r>
              <w:rPr>
                <w:noProof/>
                <w:webHidden/>
              </w:rPr>
              <w:tab/>
            </w:r>
            <w:r>
              <w:rPr>
                <w:noProof/>
                <w:webHidden/>
              </w:rPr>
              <w:fldChar w:fldCharType="begin"/>
            </w:r>
            <w:r>
              <w:rPr>
                <w:noProof/>
                <w:webHidden/>
              </w:rPr>
              <w:instrText xml:space="preserve"> PAGEREF _Toc199244583 \h </w:instrText>
            </w:r>
            <w:r>
              <w:rPr>
                <w:noProof/>
                <w:webHidden/>
              </w:rPr>
            </w:r>
            <w:r>
              <w:rPr>
                <w:noProof/>
                <w:webHidden/>
              </w:rPr>
              <w:fldChar w:fldCharType="separate"/>
            </w:r>
            <w:r>
              <w:rPr>
                <w:noProof/>
                <w:webHidden/>
              </w:rPr>
              <w:t>77</w:t>
            </w:r>
            <w:r>
              <w:rPr>
                <w:noProof/>
                <w:webHidden/>
              </w:rPr>
              <w:fldChar w:fldCharType="end"/>
            </w:r>
          </w:hyperlink>
        </w:p>
        <w:p w14:paraId="2506430C" w14:textId="7CDEE6EE" w:rsidR="003B3846" w:rsidRDefault="003B3846">
          <w:pPr>
            <w:pStyle w:val="TOC2"/>
            <w:tabs>
              <w:tab w:val="right" w:leader="dot" w:pos="9736"/>
            </w:tabs>
            <w:rPr>
              <w:rFonts w:eastAsiaTheme="minorEastAsia"/>
              <w:noProof/>
              <w:lang w:eastAsia="en-IE"/>
            </w:rPr>
          </w:pPr>
          <w:hyperlink w:anchor="_Toc199244584" w:history="1">
            <w:r w:rsidRPr="000B2148">
              <w:rPr>
                <w:rStyle w:val="Hyperlink"/>
                <w:noProof/>
              </w:rPr>
              <w:t>Appendix 3.3 Council Membership of Committees and Other Bodies</w:t>
            </w:r>
            <w:r>
              <w:rPr>
                <w:noProof/>
                <w:webHidden/>
              </w:rPr>
              <w:tab/>
            </w:r>
            <w:r>
              <w:rPr>
                <w:noProof/>
                <w:webHidden/>
              </w:rPr>
              <w:fldChar w:fldCharType="begin"/>
            </w:r>
            <w:r>
              <w:rPr>
                <w:noProof/>
                <w:webHidden/>
              </w:rPr>
              <w:instrText xml:space="preserve"> PAGEREF _Toc199244584 \h </w:instrText>
            </w:r>
            <w:r>
              <w:rPr>
                <w:noProof/>
                <w:webHidden/>
              </w:rPr>
            </w:r>
            <w:r>
              <w:rPr>
                <w:noProof/>
                <w:webHidden/>
              </w:rPr>
              <w:fldChar w:fldCharType="separate"/>
            </w:r>
            <w:r>
              <w:rPr>
                <w:noProof/>
                <w:webHidden/>
              </w:rPr>
              <w:t>78</w:t>
            </w:r>
            <w:r>
              <w:rPr>
                <w:noProof/>
                <w:webHidden/>
              </w:rPr>
              <w:fldChar w:fldCharType="end"/>
            </w:r>
          </w:hyperlink>
        </w:p>
        <w:p w14:paraId="7C46F939" w14:textId="1D526798" w:rsidR="003B3846" w:rsidRDefault="003B3846">
          <w:pPr>
            <w:pStyle w:val="TOC2"/>
            <w:tabs>
              <w:tab w:val="right" w:leader="dot" w:pos="9736"/>
            </w:tabs>
            <w:rPr>
              <w:rFonts w:eastAsiaTheme="minorEastAsia"/>
              <w:noProof/>
              <w:lang w:eastAsia="en-IE"/>
            </w:rPr>
          </w:pPr>
          <w:hyperlink w:anchor="_Toc199244585" w:history="1">
            <w:r w:rsidRPr="000B2148">
              <w:rPr>
                <w:rStyle w:val="Hyperlink"/>
                <w:noProof/>
              </w:rPr>
              <w:t>Appendix 3.4: Training and conferences attended by Councillors in 2024</w:t>
            </w:r>
            <w:r>
              <w:rPr>
                <w:noProof/>
                <w:webHidden/>
              </w:rPr>
              <w:tab/>
            </w:r>
            <w:r>
              <w:rPr>
                <w:noProof/>
                <w:webHidden/>
              </w:rPr>
              <w:fldChar w:fldCharType="begin"/>
            </w:r>
            <w:r>
              <w:rPr>
                <w:noProof/>
                <w:webHidden/>
              </w:rPr>
              <w:instrText xml:space="preserve"> PAGEREF _Toc199244585 \h </w:instrText>
            </w:r>
            <w:r>
              <w:rPr>
                <w:noProof/>
                <w:webHidden/>
              </w:rPr>
            </w:r>
            <w:r>
              <w:rPr>
                <w:noProof/>
                <w:webHidden/>
              </w:rPr>
              <w:fldChar w:fldCharType="separate"/>
            </w:r>
            <w:r>
              <w:rPr>
                <w:noProof/>
                <w:webHidden/>
              </w:rPr>
              <w:t>82</w:t>
            </w:r>
            <w:r>
              <w:rPr>
                <w:noProof/>
                <w:webHidden/>
              </w:rPr>
              <w:fldChar w:fldCharType="end"/>
            </w:r>
          </w:hyperlink>
        </w:p>
        <w:p w14:paraId="49D4060E" w14:textId="5804EB7C" w:rsidR="003B3846" w:rsidRDefault="003B3846">
          <w:pPr>
            <w:pStyle w:val="TOC2"/>
            <w:tabs>
              <w:tab w:val="right" w:leader="dot" w:pos="9736"/>
            </w:tabs>
            <w:rPr>
              <w:rFonts w:eastAsiaTheme="minorEastAsia"/>
              <w:noProof/>
              <w:lang w:eastAsia="en-IE"/>
            </w:rPr>
          </w:pPr>
          <w:hyperlink w:anchor="_Toc199244586" w:history="1">
            <w:r w:rsidRPr="000B2148">
              <w:rPr>
                <w:rStyle w:val="Hyperlink"/>
                <w:noProof/>
              </w:rPr>
              <w:t>Appendix 4 Corporate Plan 2020 2024 Indicators</w:t>
            </w:r>
            <w:r>
              <w:rPr>
                <w:noProof/>
                <w:webHidden/>
              </w:rPr>
              <w:tab/>
            </w:r>
            <w:r>
              <w:rPr>
                <w:noProof/>
                <w:webHidden/>
              </w:rPr>
              <w:fldChar w:fldCharType="begin"/>
            </w:r>
            <w:r>
              <w:rPr>
                <w:noProof/>
                <w:webHidden/>
              </w:rPr>
              <w:instrText xml:space="preserve"> PAGEREF _Toc199244586 \h </w:instrText>
            </w:r>
            <w:r>
              <w:rPr>
                <w:noProof/>
                <w:webHidden/>
              </w:rPr>
            </w:r>
            <w:r>
              <w:rPr>
                <w:noProof/>
                <w:webHidden/>
              </w:rPr>
              <w:fldChar w:fldCharType="separate"/>
            </w:r>
            <w:r>
              <w:rPr>
                <w:noProof/>
                <w:webHidden/>
              </w:rPr>
              <w:t>83</w:t>
            </w:r>
            <w:r>
              <w:rPr>
                <w:noProof/>
                <w:webHidden/>
              </w:rPr>
              <w:fldChar w:fldCharType="end"/>
            </w:r>
          </w:hyperlink>
        </w:p>
        <w:p w14:paraId="65F914C9" w14:textId="09BE932E" w:rsidR="003B3846" w:rsidRDefault="003B3846">
          <w:pPr>
            <w:pStyle w:val="TOC2"/>
            <w:tabs>
              <w:tab w:val="right" w:leader="dot" w:pos="9736"/>
            </w:tabs>
            <w:rPr>
              <w:rFonts w:eastAsiaTheme="minorEastAsia"/>
              <w:noProof/>
              <w:lang w:eastAsia="en-IE"/>
            </w:rPr>
          </w:pPr>
          <w:hyperlink w:anchor="_Toc199244587" w:history="1">
            <w:r w:rsidRPr="000B2148">
              <w:rPr>
                <w:rStyle w:val="Hyperlink"/>
                <w:noProof/>
              </w:rPr>
              <w:t>Appendix 5: Senior Management Team 2024</w:t>
            </w:r>
            <w:r>
              <w:rPr>
                <w:noProof/>
                <w:webHidden/>
              </w:rPr>
              <w:tab/>
            </w:r>
            <w:r>
              <w:rPr>
                <w:noProof/>
                <w:webHidden/>
              </w:rPr>
              <w:fldChar w:fldCharType="begin"/>
            </w:r>
            <w:r>
              <w:rPr>
                <w:noProof/>
                <w:webHidden/>
              </w:rPr>
              <w:instrText xml:space="preserve"> PAGEREF _Toc199244587 \h </w:instrText>
            </w:r>
            <w:r>
              <w:rPr>
                <w:noProof/>
                <w:webHidden/>
              </w:rPr>
            </w:r>
            <w:r>
              <w:rPr>
                <w:noProof/>
                <w:webHidden/>
              </w:rPr>
              <w:fldChar w:fldCharType="separate"/>
            </w:r>
            <w:r>
              <w:rPr>
                <w:noProof/>
                <w:webHidden/>
              </w:rPr>
              <w:t>85</w:t>
            </w:r>
            <w:r>
              <w:rPr>
                <w:noProof/>
                <w:webHidden/>
              </w:rPr>
              <w:fldChar w:fldCharType="end"/>
            </w:r>
          </w:hyperlink>
        </w:p>
        <w:p w14:paraId="349825F1" w14:textId="1F9F4AB9" w:rsidR="005C7678" w:rsidRDefault="001740C1" w:rsidP="00B60676">
          <w:pPr>
            <w:jc w:val="both"/>
            <w:rPr>
              <w:b/>
              <w:bCs/>
              <w:noProof/>
            </w:rPr>
          </w:pPr>
          <w:r>
            <w:rPr>
              <w:b/>
              <w:bCs/>
              <w:noProof/>
            </w:rPr>
            <w:fldChar w:fldCharType="end"/>
          </w:r>
        </w:p>
      </w:sdtContent>
    </w:sdt>
    <w:p w14:paraId="0D67F159" w14:textId="77777777" w:rsidR="001B0B3F" w:rsidRDefault="001B0B3F">
      <w:pPr>
        <w:rPr>
          <w:rFonts w:asciiTheme="majorHAnsi" w:eastAsiaTheme="majorEastAsia" w:hAnsiTheme="majorHAnsi" w:cstheme="majorBidi"/>
          <w:color w:val="0F4761" w:themeColor="accent1" w:themeShade="BF"/>
          <w:sz w:val="40"/>
          <w:szCs w:val="40"/>
        </w:rPr>
      </w:pPr>
      <w:r>
        <w:br w:type="page"/>
      </w:r>
    </w:p>
    <w:p w14:paraId="0E67B585" w14:textId="3D9FE77F" w:rsidR="001740C1" w:rsidRDefault="001740C1" w:rsidP="00B60676">
      <w:pPr>
        <w:pStyle w:val="Heading1"/>
        <w:jc w:val="both"/>
      </w:pPr>
      <w:bookmarkStart w:id="3" w:name="_Toc199244547"/>
      <w:r>
        <w:lastRenderedPageBreak/>
        <w:t>Mayor</w:t>
      </w:r>
      <w:r w:rsidR="00AB67D9">
        <w:t>’</w:t>
      </w:r>
      <w:r>
        <w:t xml:space="preserve">s </w:t>
      </w:r>
      <w:r w:rsidR="0037035F">
        <w:t>f</w:t>
      </w:r>
      <w:r>
        <w:t>oreword</w:t>
      </w:r>
      <w:bookmarkEnd w:id="3"/>
    </w:p>
    <w:p w14:paraId="5EE02D9C" w14:textId="2149872A" w:rsidR="00B623CC" w:rsidRPr="00615B5B" w:rsidRDefault="00B623CC" w:rsidP="00B623CC">
      <w:pPr>
        <w:jc w:val="both"/>
        <w:rPr>
          <w:color w:val="000000" w:themeColor="text1"/>
        </w:rPr>
      </w:pPr>
      <w:r w:rsidRPr="00615B5B">
        <w:rPr>
          <w:color w:val="000000" w:themeColor="text1"/>
        </w:rPr>
        <w:t>It has been an honour to serve as the First Citizen of South Dublin. This year has been both exciting and rewarding, but above all, it has been a privilege to meet so many incredible people who contribute to making this county a truly inclusive and vibrant place.</w:t>
      </w:r>
    </w:p>
    <w:p w14:paraId="6BF3854F" w14:textId="526264D2" w:rsidR="00B623CC" w:rsidRPr="00615B5B" w:rsidRDefault="00B623CC" w:rsidP="00B623CC">
      <w:pPr>
        <w:jc w:val="both"/>
        <w:rPr>
          <w:color w:val="000000" w:themeColor="text1"/>
        </w:rPr>
      </w:pPr>
      <w:r w:rsidRPr="00615B5B">
        <w:rPr>
          <w:color w:val="000000" w:themeColor="text1"/>
        </w:rPr>
        <w:t>Throughout my term so far, I have had the opportunity to launch and support numerous fantastic projects and initiatives. Some of my personal highlights include the return of the Tallaght St. Patrick’s Day Parade, which was a tremendous success and has the potential to grow even further in the coming years. Another standout moment was the official opening of the newly constructed North Stand at Tallaght Stadium in September.</w:t>
      </w:r>
    </w:p>
    <w:p w14:paraId="66FC3614" w14:textId="23C2B112" w:rsidR="00B623CC" w:rsidRPr="00615B5B" w:rsidRDefault="00B623CC" w:rsidP="00B623CC">
      <w:pPr>
        <w:jc w:val="both"/>
        <w:rPr>
          <w:color w:val="000000" w:themeColor="text1"/>
        </w:rPr>
      </w:pPr>
      <w:r w:rsidRPr="00615B5B">
        <w:rPr>
          <w:color w:val="000000" w:themeColor="text1"/>
        </w:rPr>
        <w:t>Tallaght Stadium has become a hub for major sporting events, regularly hosting Shamrock Rovers’ men’s and women’s teams, FAI Women’s National Team matches, and a variety of other sports such as rugby, GAA, and American footbal</w:t>
      </w:r>
      <w:r>
        <w:rPr>
          <w:color w:val="000000" w:themeColor="text1"/>
        </w:rPr>
        <w:t>l</w:t>
      </w:r>
      <w:r w:rsidRPr="00615B5B">
        <w:rPr>
          <w:color w:val="000000" w:themeColor="text1"/>
        </w:rPr>
        <w:t>. With its recent expansion, the stadium is now capable of hosting large-scale events, including concerts and public gatherings. The completion of the North Stand and the upgraded facilities ensure that the stadium continues to thrive as a focal point for both sports and community events. I was honoured to be part of unveiling this significant development.</w:t>
      </w:r>
    </w:p>
    <w:p w14:paraId="295C59E3" w14:textId="7F0FBEC6" w:rsidR="00B623CC" w:rsidRPr="00615B5B" w:rsidRDefault="00B623CC" w:rsidP="00B623CC">
      <w:pPr>
        <w:jc w:val="both"/>
        <w:rPr>
          <w:color w:val="000000" w:themeColor="text1"/>
        </w:rPr>
      </w:pPr>
      <w:r w:rsidRPr="00615B5B">
        <w:rPr>
          <w:color w:val="000000" w:themeColor="text1"/>
        </w:rPr>
        <w:t xml:space="preserve">As Mayor, I have also had the privilege of attending several Mini Woodland Planting events across South Dublin, including in Dodder Valley Park, </w:t>
      </w:r>
      <w:proofErr w:type="spellStart"/>
      <w:r w:rsidRPr="00615B5B">
        <w:rPr>
          <w:color w:val="000000" w:themeColor="text1"/>
        </w:rPr>
        <w:t>Griffeen</w:t>
      </w:r>
      <w:proofErr w:type="spellEnd"/>
      <w:r w:rsidRPr="00615B5B">
        <w:rPr>
          <w:color w:val="000000" w:themeColor="text1"/>
        </w:rPr>
        <w:t xml:space="preserve"> Valley Park, </w:t>
      </w:r>
      <w:proofErr w:type="spellStart"/>
      <w:r w:rsidRPr="00615B5B">
        <w:rPr>
          <w:color w:val="000000" w:themeColor="text1"/>
        </w:rPr>
        <w:t>Jobstown</w:t>
      </w:r>
      <w:proofErr w:type="spellEnd"/>
      <w:r w:rsidRPr="00615B5B">
        <w:rPr>
          <w:color w:val="000000" w:themeColor="text1"/>
        </w:rPr>
        <w:t xml:space="preserve"> Park, Clondalkin Park, and </w:t>
      </w:r>
      <w:proofErr w:type="spellStart"/>
      <w:r w:rsidRPr="00615B5B">
        <w:rPr>
          <w:color w:val="000000" w:themeColor="text1"/>
        </w:rPr>
        <w:t>Ballycragh</w:t>
      </w:r>
      <w:proofErr w:type="spellEnd"/>
      <w:r w:rsidRPr="00615B5B">
        <w:rPr>
          <w:color w:val="000000" w:themeColor="text1"/>
        </w:rPr>
        <w:t xml:space="preserve"> Park. It was truly inspiring to see various volunteer groups come together to enhance our local environment, strengthen community ties, and improve the quality of life for all residents. Community-led environmental action like this is essential in tackling the pressing challenges of climate change and biodiversity loss affecting our planet.</w:t>
      </w:r>
    </w:p>
    <w:p w14:paraId="7E4A0901" w14:textId="1A16BDD3" w:rsidR="00B623CC" w:rsidRPr="00615B5B" w:rsidRDefault="00B623CC" w:rsidP="00B623CC">
      <w:pPr>
        <w:jc w:val="both"/>
        <w:rPr>
          <w:color w:val="000000" w:themeColor="text1"/>
        </w:rPr>
      </w:pPr>
      <w:r w:rsidRPr="00615B5B">
        <w:rPr>
          <w:color w:val="000000" w:themeColor="text1"/>
        </w:rPr>
        <w:t xml:space="preserve">Additionally, I have had the honour of marking the opening and upgrades of several parks across South Dublin, including </w:t>
      </w:r>
      <w:proofErr w:type="spellStart"/>
      <w:r w:rsidRPr="00615B5B">
        <w:rPr>
          <w:color w:val="000000" w:themeColor="text1"/>
        </w:rPr>
        <w:t>Carrigmore</w:t>
      </w:r>
      <w:proofErr w:type="spellEnd"/>
      <w:r w:rsidRPr="00615B5B">
        <w:rPr>
          <w:color w:val="000000" w:themeColor="text1"/>
        </w:rPr>
        <w:t xml:space="preserve"> Park, </w:t>
      </w:r>
      <w:proofErr w:type="spellStart"/>
      <w:r w:rsidRPr="00615B5B">
        <w:rPr>
          <w:color w:val="000000" w:themeColor="text1"/>
        </w:rPr>
        <w:t>Greentrees</w:t>
      </w:r>
      <w:proofErr w:type="spellEnd"/>
      <w:r w:rsidRPr="00615B5B">
        <w:rPr>
          <w:color w:val="000000" w:themeColor="text1"/>
        </w:rPr>
        <w:t xml:space="preserve"> Park, and </w:t>
      </w:r>
      <w:proofErr w:type="spellStart"/>
      <w:r w:rsidRPr="00615B5B">
        <w:rPr>
          <w:color w:val="000000" w:themeColor="text1"/>
        </w:rPr>
        <w:t>Quarryvale</w:t>
      </w:r>
      <w:proofErr w:type="spellEnd"/>
      <w:r w:rsidRPr="00615B5B">
        <w:rPr>
          <w:color w:val="000000" w:themeColor="text1"/>
        </w:rPr>
        <w:t xml:space="preserve"> Park. Parks play a vital role in providing green spaces for relaxation, recreation, and social connection, contributing to the well-being of our communities. It is fantastic to see ongoing investment in these spaces, which bring immense benefits to </w:t>
      </w:r>
      <w:proofErr w:type="gramStart"/>
      <w:r w:rsidRPr="00615B5B">
        <w:rPr>
          <w:color w:val="000000" w:themeColor="text1"/>
        </w:rPr>
        <w:t>local residents</w:t>
      </w:r>
      <w:proofErr w:type="gramEnd"/>
      <w:r w:rsidRPr="00615B5B">
        <w:rPr>
          <w:color w:val="000000" w:themeColor="text1"/>
        </w:rPr>
        <w:t>.</w:t>
      </w:r>
    </w:p>
    <w:p w14:paraId="6A422C32" w14:textId="757CFFEC" w:rsidR="00B623CC" w:rsidRPr="00615B5B" w:rsidRDefault="00B623CC" w:rsidP="00B623CC">
      <w:pPr>
        <w:jc w:val="both"/>
        <w:rPr>
          <w:color w:val="000000" w:themeColor="text1"/>
        </w:rPr>
      </w:pPr>
      <w:r w:rsidRPr="00615B5B">
        <w:rPr>
          <w:color w:val="000000" w:themeColor="text1"/>
        </w:rPr>
        <w:t>As I look ahead to the remainder of my term in the Mayoral Office, I am excited about the new initiatives planned for the year and the challenge of meeting the ambitious goals outlined in our five-year Corporate Plan.</w:t>
      </w:r>
    </w:p>
    <w:p w14:paraId="4A2293D7" w14:textId="7A4C290D" w:rsidR="001740C1" w:rsidRPr="00B623CC" w:rsidRDefault="00B623CC" w:rsidP="00B623CC">
      <w:pPr>
        <w:jc w:val="both"/>
        <w:rPr>
          <w:color w:val="000000" w:themeColor="text1"/>
        </w:rPr>
      </w:pPr>
      <w:r w:rsidRPr="00615B5B">
        <w:rPr>
          <w:color w:val="000000" w:themeColor="text1"/>
        </w:rPr>
        <w:t>I encourage you to continue working with South Dublin County Council by engaging with our consultation processes and initiatives, actively participating in your local communities, and embracing opportunities to strengthen our county in business, tourism, and inclusivity. Together, we can achieve our vision for a thriving and dynamic South Dublin.</w:t>
      </w:r>
      <w:r w:rsidR="001740C1">
        <w:br w:type="page"/>
      </w:r>
    </w:p>
    <w:p w14:paraId="30E28A69" w14:textId="77F15F42" w:rsidR="001740C1" w:rsidRDefault="001740C1" w:rsidP="00B60676">
      <w:pPr>
        <w:pStyle w:val="Heading1"/>
        <w:jc w:val="both"/>
      </w:pPr>
      <w:bookmarkStart w:id="4" w:name="_Toc199244548"/>
      <w:r>
        <w:lastRenderedPageBreak/>
        <w:t>Chief Executive</w:t>
      </w:r>
      <w:r w:rsidR="00F4313D">
        <w:t>’</w:t>
      </w:r>
      <w:r>
        <w:t xml:space="preserve">s </w:t>
      </w:r>
      <w:r w:rsidR="0037035F">
        <w:t>f</w:t>
      </w:r>
      <w:r>
        <w:t>oreword</w:t>
      </w:r>
      <w:bookmarkEnd w:id="4"/>
    </w:p>
    <w:p w14:paraId="27603EBA" w14:textId="77777777" w:rsidR="009073D2" w:rsidRDefault="009073D2" w:rsidP="009073D2">
      <w:pPr>
        <w:jc w:val="both"/>
      </w:pPr>
      <w:r>
        <w:t xml:space="preserve">The final annual report under our Corporate Plan 2019-2024 presents a picture of considerable progress across key areas of service delivery and capital projects, reflecting the ongoing development of the county as we reached the milestone of thirty years in existence.  </w:t>
      </w:r>
    </w:p>
    <w:p w14:paraId="325326A6" w14:textId="77777777" w:rsidR="009073D2" w:rsidRPr="0033566A" w:rsidRDefault="009073D2" w:rsidP="009073D2">
      <w:pPr>
        <w:jc w:val="both"/>
      </w:pPr>
      <w:r w:rsidRPr="0033566A">
        <w:rPr>
          <w:lang w:val="en-GB"/>
        </w:rPr>
        <w:t>In November,</w:t>
      </w:r>
      <w:r>
        <w:rPr>
          <w:lang w:val="en-GB"/>
        </w:rPr>
        <w:t xml:space="preserve"> we </w:t>
      </w:r>
      <w:r w:rsidRPr="0033566A">
        <w:rPr>
          <w:lang w:val="en-GB"/>
        </w:rPr>
        <w:t>adopted the Revenue Budget for 2025 with proposed expenditure totalling €391,942,200, representing a 17.5% increase on the previous year.</w:t>
      </w:r>
      <w:r>
        <w:rPr>
          <w:lang w:val="en-GB"/>
        </w:rPr>
        <w:t xml:space="preserve"> </w:t>
      </w:r>
      <w:r w:rsidRPr="0033566A">
        <w:rPr>
          <w:lang w:val="en-GB"/>
        </w:rPr>
        <w:t xml:space="preserve">A new Three-Year Capital Programme for 2025 to 2027 with proposed investment of €1,746,733,00 in housing, infrastructure and facilities was </w:t>
      </w:r>
      <w:r>
        <w:rPr>
          <w:lang w:val="en-GB"/>
        </w:rPr>
        <w:t xml:space="preserve">also </w:t>
      </w:r>
      <w:r w:rsidRPr="0033566A">
        <w:rPr>
          <w:lang w:val="en-GB"/>
        </w:rPr>
        <w:t xml:space="preserve">presented to the </w:t>
      </w:r>
      <w:r>
        <w:rPr>
          <w:lang w:val="en-GB"/>
        </w:rPr>
        <w:t>c</w:t>
      </w:r>
      <w:r w:rsidRPr="0033566A">
        <w:rPr>
          <w:lang w:val="en-GB"/>
        </w:rPr>
        <w:t>ouncil in December.</w:t>
      </w:r>
    </w:p>
    <w:p w14:paraId="3AFE6B8F" w14:textId="77777777" w:rsidR="009073D2" w:rsidRDefault="009073D2" w:rsidP="009073D2">
      <w:pPr>
        <w:jc w:val="both"/>
      </w:pPr>
      <w:r>
        <w:t>The following selected areas of note provide an overview of some of the great work and achievements during 2024, with considerably more detail available throughout the various sections of the report.</w:t>
      </w:r>
    </w:p>
    <w:p w14:paraId="4D712673" w14:textId="77777777" w:rsidR="009073D2" w:rsidRPr="00BA5AA8" w:rsidRDefault="009073D2" w:rsidP="009073D2">
      <w:pPr>
        <w:jc w:val="both"/>
        <w:rPr>
          <w:lang w:val="en-US"/>
        </w:rPr>
      </w:pPr>
      <w:r w:rsidRPr="00B74F7A">
        <w:rPr>
          <w:rFonts w:cstheme="minorHAnsi"/>
          <w:szCs w:val="23"/>
        </w:rPr>
        <w:t xml:space="preserve">Progress under our </w:t>
      </w:r>
      <w:r w:rsidRPr="0047178C">
        <w:rPr>
          <w:rFonts w:cstheme="minorHAnsi"/>
          <w:szCs w:val="23"/>
        </w:rPr>
        <w:t>Housing Delivery Action Plan (HDAP) was maintained</w:t>
      </w:r>
      <w:r w:rsidRPr="00B74F7A">
        <w:rPr>
          <w:rFonts w:cstheme="minorHAnsi"/>
          <w:szCs w:val="23"/>
        </w:rPr>
        <w:t xml:space="preserve"> with output of 774 new social homes, meaning that since the HDAP commenced </w:t>
      </w:r>
      <w:r>
        <w:rPr>
          <w:rFonts w:cstheme="minorHAnsi"/>
          <w:szCs w:val="23"/>
        </w:rPr>
        <w:t xml:space="preserve">in 2022, </w:t>
      </w:r>
      <w:r w:rsidRPr="00B74F7A">
        <w:rPr>
          <w:rFonts w:cstheme="minorHAnsi"/>
          <w:szCs w:val="23"/>
        </w:rPr>
        <w:t>a total of 1,815 new-build social homes have been delivered in the county</w:t>
      </w:r>
      <w:r>
        <w:rPr>
          <w:rFonts w:cstheme="minorHAnsi"/>
          <w:szCs w:val="23"/>
        </w:rPr>
        <w:t>,</w:t>
      </w:r>
      <w:r w:rsidRPr="00CC20BF">
        <w:rPr>
          <w:lang w:val="en"/>
        </w:rPr>
        <w:t xml:space="preserve"> </w:t>
      </w:r>
      <w:r>
        <w:rPr>
          <w:lang w:val="en"/>
        </w:rPr>
        <w:t>most notably with</w:t>
      </w:r>
      <w:r w:rsidRPr="0033566A">
        <w:t xml:space="preserve"> </w:t>
      </w:r>
      <w:r>
        <w:t xml:space="preserve">delivery of </w:t>
      </w:r>
      <w:r w:rsidRPr="0033566A">
        <w:t xml:space="preserve">developments at </w:t>
      </w:r>
      <w:proofErr w:type="spellStart"/>
      <w:r w:rsidRPr="0033566A">
        <w:t>Balgaddy</w:t>
      </w:r>
      <w:proofErr w:type="spellEnd"/>
      <w:r>
        <w:t xml:space="preserve"> and </w:t>
      </w:r>
      <w:proofErr w:type="spellStart"/>
      <w:r w:rsidRPr="0033566A">
        <w:t>Nangor</w:t>
      </w:r>
      <w:proofErr w:type="spellEnd"/>
      <w:r w:rsidRPr="0033566A">
        <w:t xml:space="preserve"> Road</w:t>
      </w:r>
      <w:r>
        <w:rPr>
          <w:rFonts w:cstheme="minorHAnsi"/>
          <w:szCs w:val="23"/>
        </w:rPr>
        <w:t xml:space="preserve">.  We provided </w:t>
      </w:r>
      <w:r w:rsidRPr="00BA5AA8">
        <w:rPr>
          <w:lang w:val="en"/>
        </w:rPr>
        <w:t>210</w:t>
      </w:r>
      <w:r>
        <w:rPr>
          <w:lang w:val="en"/>
        </w:rPr>
        <w:t xml:space="preserve"> </w:t>
      </w:r>
      <w:r w:rsidRPr="00BA5AA8">
        <w:rPr>
          <w:lang w:val="en"/>
        </w:rPr>
        <w:t>long-term lease</w:t>
      </w:r>
      <w:r>
        <w:rPr>
          <w:lang w:val="en"/>
        </w:rPr>
        <w:t xml:space="preserve"> properties and </w:t>
      </w:r>
      <w:r w:rsidRPr="00BA5AA8">
        <w:rPr>
          <w:lang w:val="en"/>
        </w:rPr>
        <w:t>55 affordable purchase homes</w:t>
      </w:r>
      <w:r>
        <w:rPr>
          <w:lang w:val="en"/>
        </w:rPr>
        <w:t xml:space="preserve"> in 2024, as well as progressing substantial plans for additional social and affordable homes with the Belgard cost rental apartments nearing completion and the </w:t>
      </w:r>
      <w:proofErr w:type="spellStart"/>
      <w:r>
        <w:rPr>
          <w:lang w:val="en"/>
        </w:rPr>
        <w:t>Kilcarbery</w:t>
      </w:r>
      <w:proofErr w:type="spellEnd"/>
      <w:r>
        <w:rPr>
          <w:lang w:val="en"/>
        </w:rPr>
        <w:t xml:space="preserve"> Grange joint venture project moving into its fourth phase.  </w:t>
      </w:r>
      <w:r>
        <w:rPr>
          <w:lang w:val="en-GB"/>
        </w:rPr>
        <w:t>A new</w:t>
      </w:r>
      <w:r w:rsidRPr="00BA5AA8">
        <w:rPr>
          <w:lang w:val="en-GB"/>
        </w:rPr>
        <w:t xml:space="preserve"> Traveller Accommodation Programme </w:t>
      </w:r>
      <w:r>
        <w:rPr>
          <w:lang w:val="en-GB"/>
        </w:rPr>
        <w:t xml:space="preserve">was adopted while seven new group homes were delivered at </w:t>
      </w:r>
      <w:r w:rsidRPr="00BA5AA8">
        <w:rPr>
          <w:lang w:val="en-US"/>
        </w:rPr>
        <w:t>Fonthill.</w:t>
      </w:r>
    </w:p>
    <w:p w14:paraId="08DCF5AE" w14:textId="77777777" w:rsidR="009073D2" w:rsidRPr="00BA5AA8" w:rsidRDefault="009073D2" w:rsidP="009073D2">
      <w:pPr>
        <w:jc w:val="both"/>
        <w:rPr>
          <w:lang w:val="en-US"/>
        </w:rPr>
      </w:pPr>
      <w:r w:rsidRPr="00BA5AA8">
        <w:rPr>
          <w:lang w:val="en"/>
        </w:rPr>
        <w:t xml:space="preserve">We made 1,245 </w:t>
      </w:r>
      <w:r>
        <w:rPr>
          <w:lang w:val="en"/>
        </w:rPr>
        <w:t xml:space="preserve">social </w:t>
      </w:r>
      <w:r w:rsidRPr="00BA5AA8">
        <w:rPr>
          <w:lang w:val="en"/>
        </w:rPr>
        <w:t>housing allocations including 267 allocations to homeless households</w:t>
      </w:r>
      <w:r>
        <w:rPr>
          <w:lang w:val="en"/>
        </w:rPr>
        <w:t>, resulting in a significant reduction in the number of homeless households in the county,</w:t>
      </w:r>
      <w:r w:rsidRPr="00BA5AA8">
        <w:rPr>
          <w:lang w:val="en"/>
        </w:rPr>
        <w:t xml:space="preserve"> </w:t>
      </w:r>
      <w:r>
        <w:rPr>
          <w:lang w:val="en"/>
        </w:rPr>
        <w:t xml:space="preserve">while our continued focus on addressing vacancy saw our average re-let time for social homes reduce to just over 20 weeks with only 95 social homes vacant at year end.  We vested </w:t>
      </w:r>
      <w:r w:rsidRPr="0033566A">
        <w:t xml:space="preserve">four </w:t>
      </w:r>
      <w:r>
        <w:t xml:space="preserve">vacant </w:t>
      </w:r>
      <w:r w:rsidRPr="0033566A">
        <w:t xml:space="preserve">houses at St. </w:t>
      </w:r>
      <w:proofErr w:type="spellStart"/>
      <w:r w:rsidRPr="0033566A">
        <w:t>Maelruan’s</w:t>
      </w:r>
      <w:proofErr w:type="spellEnd"/>
      <w:r w:rsidRPr="0033566A">
        <w:t xml:space="preserve"> </w:t>
      </w:r>
      <w:r>
        <w:t xml:space="preserve">and approved 64 </w:t>
      </w:r>
      <w:r>
        <w:rPr>
          <w:lang w:val="en-US"/>
        </w:rPr>
        <w:t>v</w:t>
      </w:r>
      <w:r w:rsidRPr="00BA5AA8">
        <w:rPr>
          <w:lang w:val="en-US"/>
        </w:rPr>
        <w:t xml:space="preserve">acant </w:t>
      </w:r>
      <w:r>
        <w:rPr>
          <w:lang w:val="en-US"/>
        </w:rPr>
        <w:t>h</w:t>
      </w:r>
      <w:r w:rsidRPr="00BA5AA8">
        <w:rPr>
          <w:lang w:val="en-US"/>
        </w:rPr>
        <w:t xml:space="preserve">omes </w:t>
      </w:r>
      <w:r>
        <w:rPr>
          <w:lang w:val="en-US"/>
        </w:rPr>
        <w:t>r</w:t>
      </w:r>
      <w:r w:rsidRPr="00BA5AA8">
        <w:rPr>
          <w:lang w:val="en-US"/>
        </w:rPr>
        <w:t xml:space="preserve">efurbishment </w:t>
      </w:r>
      <w:r>
        <w:rPr>
          <w:lang w:val="en-US"/>
        </w:rPr>
        <w:t>g</w:t>
      </w:r>
      <w:r w:rsidRPr="00BA5AA8">
        <w:rPr>
          <w:lang w:val="en-US"/>
        </w:rPr>
        <w:t>rant</w:t>
      </w:r>
      <w:r>
        <w:rPr>
          <w:lang w:val="en-US"/>
        </w:rPr>
        <w:t xml:space="preserve">s with 37 </w:t>
      </w:r>
      <w:r w:rsidRPr="00BA5AA8">
        <w:rPr>
          <w:lang w:val="en-US"/>
        </w:rPr>
        <w:t>grants paid</w:t>
      </w:r>
      <w:r>
        <w:rPr>
          <w:lang w:val="en-US"/>
        </w:rPr>
        <w:t xml:space="preserve"> to date.</w:t>
      </w:r>
    </w:p>
    <w:p w14:paraId="1FC9B6E8" w14:textId="77777777" w:rsidR="009073D2" w:rsidRPr="0033566A" w:rsidRDefault="009073D2" w:rsidP="009073D2">
      <w:pPr>
        <w:jc w:val="both"/>
      </w:pPr>
      <w:r w:rsidRPr="0033566A">
        <w:t>The Two-Year Progress</w:t>
      </w:r>
      <w:r>
        <w:t xml:space="preserve"> </w:t>
      </w:r>
      <w:r w:rsidRPr="0033566A">
        <w:t xml:space="preserve">Report on the delivery of the objectives of the County Development Plan 2022-2028 was presented to </w:t>
      </w:r>
      <w:r>
        <w:t>c</w:t>
      </w:r>
      <w:r w:rsidRPr="0033566A">
        <w:t>ouncil in December along</w:t>
      </w:r>
      <w:r>
        <w:t xml:space="preserve"> with our new </w:t>
      </w:r>
      <w:r w:rsidRPr="0033566A">
        <w:t xml:space="preserve">online </w:t>
      </w:r>
      <w:r>
        <w:t>h</w:t>
      </w:r>
      <w:r w:rsidRPr="0033566A">
        <w:t xml:space="preserve">ousing </w:t>
      </w:r>
      <w:r>
        <w:t>s</w:t>
      </w:r>
      <w:r w:rsidRPr="0033566A">
        <w:t xml:space="preserve">upply </w:t>
      </w:r>
      <w:r>
        <w:t>m</w:t>
      </w:r>
      <w:r w:rsidRPr="0033566A">
        <w:t>onitor</w:t>
      </w:r>
      <w:r>
        <w:t xml:space="preserve"> with </w:t>
      </w:r>
      <w:r w:rsidRPr="0033566A">
        <w:t>5,475 residential units completed since the Development Plan came into effect</w:t>
      </w:r>
      <w:r>
        <w:t xml:space="preserve"> and </w:t>
      </w:r>
      <w:r w:rsidRPr="0033566A">
        <w:t>planning permission in place for a further 12,649 homes</w:t>
      </w:r>
      <w:r>
        <w:t xml:space="preserve"> by the end of Q3 2024.  Delivery of strategic infrastructure in partnership with private landowners within </w:t>
      </w:r>
      <w:proofErr w:type="spellStart"/>
      <w:r w:rsidRPr="0033566A">
        <w:t>Clonburris</w:t>
      </w:r>
      <w:proofErr w:type="spellEnd"/>
      <w:r w:rsidRPr="0033566A">
        <w:t xml:space="preserve"> </w:t>
      </w:r>
      <w:r>
        <w:t>SDZ enabled large scale housing development with 2</w:t>
      </w:r>
      <w:r w:rsidRPr="0033566A">
        <w:t xml:space="preserve">,196 </w:t>
      </w:r>
      <w:r>
        <w:t xml:space="preserve">homes </w:t>
      </w:r>
      <w:r w:rsidRPr="0033566A">
        <w:t>complete or under construction</w:t>
      </w:r>
      <w:r>
        <w:t xml:space="preserve"> there.</w:t>
      </w:r>
    </w:p>
    <w:p w14:paraId="187A9995" w14:textId="77777777" w:rsidR="009073D2" w:rsidRDefault="009073D2" w:rsidP="009073D2">
      <w:pPr>
        <w:jc w:val="both"/>
        <w:rPr>
          <w:lang w:val="en"/>
        </w:rPr>
      </w:pPr>
      <w:r>
        <w:t xml:space="preserve">Under our new </w:t>
      </w:r>
      <w:r w:rsidRPr="0033566A">
        <w:rPr>
          <w:lang w:val="en-US"/>
        </w:rPr>
        <w:t>Climate Action Plan</w:t>
      </w:r>
      <w:r>
        <w:rPr>
          <w:lang w:val="en-US"/>
        </w:rPr>
        <w:t>, which was adopted in F</w:t>
      </w:r>
      <w:r w:rsidRPr="0033566A">
        <w:rPr>
          <w:lang w:val="en-US"/>
        </w:rPr>
        <w:t xml:space="preserve">ebruary, </w:t>
      </w:r>
      <w:r>
        <w:rPr>
          <w:lang w:val="en-US"/>
        </w:rPr>
        <w:t xml:space="preserve">our </w:t>
      </w:r>
      <w:r w:rsidRPr="0033566A">
        <w:t xml:space="preserve">estimated </w:t>
      </w:r>
      <w:r>
        <w:t xml:space="preserve">improvements since the 2018 baseline figures are 45.5% for energy efficiency and 43% </w:t>
      </w:r>
      <w:r w:rsidRPr="0033566A">
        <w:t xml:space="preserve">reduction in total </w:t>
      </w:r>
      <w:r>
        <w:t>greenhouse gas emissions respectively, while the</w:t>
      </w:r>
      <w:r w:rsidRPr="0033566A">
        <w:t xml:space="preserve"> Community Climate Action Fund supported a portfolio of 28 projects with funding of over €1.1million</w:t>
      </w:r>
      <w:r>
        <w:t>. Implementation of t</w:t>
      </w:r>
      <w:r w:rsidRPr="0033566A">
        <w:t xml:space="preserve">he Clondalkin Decarbonising Zone commenced, </w:t>
      </w:r>
      <w:r>
        <w:t xml:space="preserve">and we contracted a partner to provide </w:t>
      </w:r>
      <w:r w:rsidRPr="0033566A">
        <w:t xml:space="preserve">public </w:t>
      </w:r>
      <w:r>
        <w:lastRenderedPageBreak/>
        <w:t xml:space="preserve">electric vehicle </w:t>
      </w:r>
      <w:r w:rsidRPr="0033566A">
        <w:t xml:space="preserve">infrastructure charging stations </w:t>
      </w:r>
      <w:r>
        <w:t>while also increasing our electric vehicle numbers and replacing diesel use with renewable hydrotreated vegetable oil for our larger vehicles.  We provided 22.5 kilometres of n</w:t>
      </w:r>
      <w:proofErr w:type="spellStart"/>
      <w:r w:rsidRPr="0033566A">
        <w:rPr>
          <w:lang w:val="en-US"/>
        </w:rPr>
        <w:t>ew</w:t>
      </w:r>
      <w:proofErr w:type="spellEnd"/>
      <w:r w:rsidRPr="0033566A">
        <w:rPr>
          <w:lang w:val="en-US"/>
        </w:rPr>
        <w:t xml:space="preserve"> and upgraded cycle lanes </w:t>
      </w:r>
      <w:r>
        <w:rPr>
          <w:lang w:val="en-US"/>
        </w:rPr>
        <w:t xml:space="preserve">under the Cycle South Dublin </w:t>
      </w:r>
      <w:proofErr w:type="spellStart"/>
      <w:r>
        <w:rPr>
          <w:lang w:val="en-US"/>
        </w:rPr>
        <w:t>programme</w:t>
      </w:r>
      <w:proofErr w:type="spellEnd"/>
      <w:r>
        <w:rPr>
          <w:lang w:val="en-US"/>
        </w:rPr>
        <w:t xml:space="preserve">, </w:t>
      </w:r>
      <w:r w:rsidRPr="00BA5AA8">
        <w:rPr>
          <w:lang w:val="en"/>
        </w:rPr>
        <w:t xml:space="preserve">85 </w:t>
      </w:r>
      <w:r>
        <w:rPr>
          <w:lang w:val="en"/>
        </w:rPr>
        <w:t xml:space="preserve">social homes underwent energy efficiency retrofits, and </w:t>
      </w:r>
      <w:r w:rsidRPr="0033566A">
        <w:t>1,690 existing public lights were upgraded to LED</w:t>
      </w:r>
      <w:r>
        <w:t>.</w:t>
      </w:r>
    </w:p>
    <w:p w14:paraId="32629E8E" w14:textId="77777777" w:rsidR="009073D2" w:rsidRPr="0033566A" w:rsidRDefault="009073D2" w:rsidP="009073D2">
      <w:pPr>
        <w:jc w:val="both"/>
      </w:pPr>
      <w:r>
        <w:rPr>
          <w:lang w:val="en"/>
        </w:rPr>
        <w:t xml:space="preserve">Our new </w:t>
      </w:r>
      <w:r w:rsidRPr="00BA5AA8">
        <w:rPr>
          <w:lang w:val="en-US"/>
        </w:rPr>
        <w:t>Local Economic and Community Plan was adopted in December</w:t>
      </w:r>
      <w:r>
        <w:rPr>
          <w:lang w:val="en-US"/>
        </w:rPr>
        <w:t xml:space="preserve"> to guide ec</w:t>
      </w:r>
      <w:r w:rsidRPr="00BA5AA8">
        <w:rPr>
          <w:lang w:val="en-US"/>
        </w:rPr>
        <w:t>onomic and community development over the next six years.</w:t>
      </w:r>
      <w:r>
        <w:rPr>
          <w:lang w:val="en-US"/>
        </w:rPr>
        <w:t xml:space="preserve">  </w:t>
      </w:r>
      <w:r>
        <w:t>Completion of the new Work IQ innovation centre for start-up businesses complemented in tandem with LEO supports and continued development of Grange Castle Business Park to attract and support both indigenous and foreign direct investment, were key steps for economic development.  We processed 5,178</w:t>
      </w:r>
      <w:r w:rsidRPr="006D40EF">
        <w:t xml:space="preserve"> </w:t>
      </w:r>
      <w:r w:rsidRPr="0033566A">
        <w:t>Increased Cost of Business grants</w:t>
      </w:r>
      <w:r w:rsidRPr="006D40EF">
        <w:t xml:space="preserve"> </w:t>
      </w:r>
      <w:r w:rsidRPr="0033566A">
        <w:t>with a value of over €13.6m to support small and medium businesses while we also commenced processing the new Power Up Grant by year end.</w:t>
      </w:r>
    </w:p>
    <w:p w14:paraId="0C69749F" w14:textId="77777777" w:rsidR="009073D2" w:rsidRDefault="009073D2" w:rsidP="009073D2">
      <w:pPr>
        <w:jc w:val="both"/>
      </w:pPr>
      <w:r>
        <w:t xml:space="preserve">Upgrades, including the new North Stand, at Tallaght Stadium have seen an increasing national and international profile thanks to our sporting partnerships there.  </w:t>
      </w:r>
      <w:bookmarkStart w:id="5" w:name="_Hlk195255974"/>
      <w:r>
        <w:t xml:space="preserve">We also progressed our plans for the </w:t>
      </w:r>
      <w:r w:rsidRPr="0033566A">
        <w:t xml:space="preserve">economic, cultural, and social </w:t>
      </w:r>
      <w:r>
        <w:t>masterplan at 12</w:t>
      </w:r>
      <w:r w:rsidRPr="000F1841">
        <w:rPr>
          <w:vertAlign w:val="superscript"/>
        </w:rPr>
        <w:t>th</w:t>
      </w:r>
      <w:r>
        <w:t xml:space="preserve"> Lock.</w:t>
      </w:r>
      <w:bookmarkEnd w:id="5"/>
      <w:r>
        <w:t xml:space="preserve"> In terms of tourism, the first stages of our Hellfire development at the Dublin mountains commenced and the acquisition of Lucan House during the year provides a significant strategic opportunity.</w:t>
      </w:r>
    </w:p>
    <w:p w14:paraId="44ABB2BB" w14:textId="77777777" w:rsidR="009073D2" w:rsidRDefault="009073D2" w:rsidP="009073D2">
      <w:pPr>
        <w:jc w:val="both"/>
      </w:pPr>
      <w:r>
        <w:t xml:space="preserve">The </w:t>
      </w:r>
      <w:r w:rsidRPr="0033566A">
        <w:t xml:space="preserve">Community Integration Forum </w:t>
      </w:r>
      <w:r>
        <w:t xml:space="preserve">continued to shape interagency supports and services for new arrivals to the county with an integration team also established within the council, while local communities benefitted from </w:t>
      </w:r>
      <w:r w:rsidRPr="00BA5AA8">
        <w:rPr>
          <w:lang w:val="en-US"/>
        </w:rPr>
        <w:t>€2,249,663 in funding under the Community Recognition</w:t>
      </w:r>
      <w:r>
        <w:rPr>
          <w:lang w:val="en-US"/>
        </w:rPr>
        <w:t xml:space="preserve"> Fund.  We also continued to provide over €1.6million through our community department and rolled out an online booking system for </w:t>
      </w:r>
      <w:r w:rsidRPr="00BA5AA8">
        <w:rPr>
          <w:lang w:val="en-US"/>
        </w:rPr>
        <w:t xml:space="preserve">24 community </w:t>
      </w:r>
      <w:proofErr w:type="spellStart"/>
      <w:r w:rsidRPr="00BA5AA8">
        <w:rPr>
          <w:lang w:val="en-US"/>
        </w:rPr>
        <w:t>centres</w:t>
      </w:r>
      <w:proofErr w:type="spellEnd"/>
      <w:r>
        <w:rPr>
          <w:lang w:val="en-US"/>
        </w:rPr>
        <w:t xml:space="preserve"> while new </w:t>
      </w:r>
      <w:r w:rsidRPr="00BA5AA8">
        <w:rPr>
          <w:lang w:val="en"/>
        </w:rPr>
        <w:t xml:space="preserve">community facilities </w:t>
      </w:r>
      <w:r>
        <w:rPr>
          <w:lang w:val="en"/>
        </w:rPr>
        <w:t xml:space="preserve">were delivered at </w:t>
      </w:r>
      <w:proofErr w:type="spellStart"/>
      <w:r w:rsidRPr="00BA5AA8">
        <w:rPr>
          <w:lang w:val="en"/>
        </w:rPr>
        <w:t>Saggart</w:t>
      </w:r>
      <w:proofErr w:type="spellEnd"/>
      <w:r>
        <w:rPr>
          <w:lang w:val="en"/>
        </w:rPr>
        <w:t xml:space="preserve">, </w:t>
      </w:r>
      <w:proofErr w:type="spellStart"/>
      <w:r w:rsidRPr="00BA5AA8">
        <w:rPr>
          <w:lang w:val="en"/>
        </w:rPr>
        <w:t>Glenasmole</w:t>
      </w:r>
      <w:proofErr w:type="spellEnd"/>
      <w:r w:rsidRPr="00BA5AA8">
        <w:rPr>
          <w:lang w:val="en"/>
        </w:rPr>
        <w:t>,</w:t>
      </w:r>
      <w:r>
        <w:rPr>
          <w:lang w:val="en"/>
        </w:rPr>
        <w:t xml:space="preserve"> Clondalkin village, Rathcoole and </w:t>
      </w:r>
      <w:proofErr w:type="spellStart"/>
      <w:r>
        <w:rPr>
          <w:lang w:val="en"/>
        </w:rPr>
        <w:t>Balgaddy</w:t>
      </w:r>
      <w:proofErr w:type="spellEnd"/>
      <w:r>
        <w:rPr>
          <w:lang w:val="en"/>
        </w:rPr>
        <w:t>.  We continued the i</w:t>
      </w:r>
      <w:r w:rsidRPr="00BA5AA8">
        <w:rPr>
          <w:lang w:val="en"/>
        </w:rPr>
        <w:t>mplementation of our Active South Dublin Plan</w:t>
      </w:r>
      <w:r>
        <w:rPr>
          <w:lang w:val="en"/>
        </w:rPr>
        <w:t xml:space="preserve"> as well as the </w:t>
      </w:r>
      <w:r w:rsidRPr="00BA5AA8">
        <w:rPr>
          <w:lang w:val="en"/>
        </w:rPr>
        <w:t xml:space="preserve">Healthy Ireland and </w:t>
      </w:r>
      <w:proofErr w:type="spellStart"/>
      <w:r w:rsidRPr="00BA5AA8">
        <w:rPr>
          <w:lang w:val="en"/>
        </w:rPr>
        <w:t>Sláintecare</w:t>
      </w:r>
      <w:proofErr w:type="spellEnd"/>
      <w:r w:rsidRPr="00BA5AA8">
        <w:rPr>
          <w:lang w:val="en"/>
        </w:rPr>
        <w:t xml:space="preserve"> </w:t>
      </w:r>
      <w:proofErr w:type="spellStart"/>
      <w:r w:rsidRPr="00BA5AA8">
        <w:rPr>
          <w:lang w:val="en"/>
        </w:rPr>
        <w:t>programmes</w:t>
      </w:r>
      <w:proofErr w:type="spellEnd"/>
      <w:r>
        <w:rPr>
          <w:lang w:val="en"/>
        </w:rPr>
        <w:t xml:space="preserve"> with 124,057 participants on council-led </w:t>
      </w:r>
      <w:r w:rsidRPr="0033566A">
        <w:rPr>
          <w:lang w:val="en-US"/>
        </w:rPr>
        <w:t>sports and community initiatives</w:t>
      </w:r>
      <w:r>
        <w:rPr>
          <w:lang w:val="en-US"/>
        </w:rPr>
        <w:t>.</w:t>
      </w:r>
    </w:p>
    <w:p w14:paraId="09F487E7" w14:textId="77777777" w:rsidR="009073D2" w:rsidRPr="0033566A" w:rsidRDefault="009073D2" w:rsidP="009073D2">
      <w:pPr>
        <w:jc w:val="both"/>
      </w:pPr>
      <w:r>
        <w:t xml:space="preserve">Our programme of public realm improvements and district enhancements continued with significant work completed around Parthalán Place and County Hall in Tallaght and </w:t>
      </w:r>
      <w:proofErr w:type="spellStart"/>
      <w:r>
        <w:t>Castletymon</w:t>
      </w:r>
      <w:proofErr w:type="spellEnd"/>
      <w:r w:rsidRPr="0033566A">
        <w:t xml:space="preserve"> and </w:t>
      </w:r>
      <w:proofErr w:type="spellStart"/>
      <w:r w:rsidRPr="0033566A">
        <w:t>Dodsboro</w:t>
      </w:r>
      <w:proofErr w:type="spellEnd"/>
      <w:r w:rsidRPr="0033566A">
        <w:t xml:space="preserve"> </w:t>
      </w:r>
      <w:r>
        <w:t>d</w:t>
      </w:r>
      <w:r w:rsidRPr="0033566A">
        <w:t xml:space="preserve">istrict </w:t>
      </w:r>
      <w:r>
        <w:t>ce</w:t>
      </w:r>
      <w:r w:rsidRPr="0033566A">
        <w:t>ntre</w:t>
      </w:r>
      <w:r>
        <w:t xml:space="preserve">s, while works also started on improvements to </w:t>
      </w:r>
      <w:r w:rsidRPr="0033566A">
        <w:t xml:space="preserve">Lucan </w:t>
      </w:r>
      <w:r>
        <w:t>v</w:t>
      </w:r>
      <w:r w:rsidRPr="0033566A">
        <w:t>illage</w:t>
      </w:r>
      <w:r>
        <w:t xml:space="preserve">.  We </w:t>
      </w:r>
      <w:r w:rsidRPr="00264CD6">
        <w:t>cleaned 11,162 kilometres of</w:t>
      </w:r>
      <w:r w:rsidRPr="0033566A">
        <w:t xml:space="preserve"> roads </w:t>
      </w:r>
      <w:r>
        <w:t xml:space="preserve">and collected </w:t>
      </w:r>
      <w:r w:rsidRPr="0033566A">
        <w:t xml:space="preserve">11,034 tonnes of waste </w:t>
      </w:r>
      <w:r>
        <w:t xml:space="preserve">as well as extending the </w:t>
      </w:r>
      <w:r w:rsidRPr="0033566A">
        <w:t>road sweeping programme to include cleaning of back lanes and sweeping of segregated cycle tracks.</w:t>
      </w:r>
      <w:r>
        <w:t xml:space="preserve">  </w:t>
      </w:r>
    </w:p>
    <w:p w14:paraId="050E65D7" w14:textId="77777777" w:rsidR="009073D2" w:rsidRDefault="009073D2" w:rsidP="009073D2">
      <w:pPr>
        <w:jc w:val="both"/>
      </w:pPr>
      <w:r w:rsidRPr="0033566A">
        <w:t xml:space="preserve">11,632 </w:t>
      </w:r>
      <w:r>
        <w:t xml:space="preserve">environmental </w:t>
      </w:r>
      <w:r w:rsidRPr="0033566A">
        <w:t xml:space="preserve">inspections were carried out </w:t>
      </w:r>
      <w:r>
        <w:t>and, after providing additional funding in our budget, activities under our three-year tree maintenance programme reached</w:t>
      </w:r>
      <w:r w:rsidRPr="0033566A">
        <w:t xml:space="preserve"> 9,475 trees surveyed, 10,927 trees pruned, 1,144 trees and 625 stumps removed, and 3,651 trees planted.</w:t>
      </w:r>
    </w:p>
    <w:p w14:paraId="14659012" w14:textId="77777777" w:rsidR="009073D2" w:rsidRPr="0033566A" w:rsidRDefault="009073D2" w:rsidP="009073D2">
      <w:pPr>
        <w:jc w:val="both"/>
      </w:pPr>
      <w:bookmarkStart w:id="6" w:name="_Hlk195255949"/>
      <w:r>
        <w:rPr>
          <w:lang w:val="en-GB"/>
        </w:rPr>
        <w:t xml:space="preserve">An additional </w:t>
      </w:r>
      <w:r w:rsidRPr="0033566A">
        <w:rPr>
          <w:lang w:val="en-GB"/>
        </w:rPr>
        <w:t>€</w:t>
      </w:r>
      <w:r w:rsidRPr="002A5A8A">
        <w:rPr>
          <w:lang w:val="en-GB"/>
        </w:rPr>
        <w:t>4.5 million</w:t>
      </w:r>
      <w:r w:rsidRPr="0033566A">
        <w:rPr>
          <w:lang w:val="en-GB"/>
        </w:rPr>
        <w:t xml:space="preserve"> </w:t>
      </w:r>
      <w:r>
        <w:rPr>
          <w:lang w:val="en-GB"/>
        </w:rPr>
        <w:t xml:space="preserve">was </w:t>
      </w:r>
      <w:r w:rsidRPr="0033566A">
        <w:rPr>
          <w:lang w:val="en-GB"/>
        </w:rPr>
        <w:t xml:space="preserve">collected in commercial rates, </w:t>
      </w:r>
      <w:r>
        <w:rPr>
          <w:lang w:val="en-GB"/>
        </w:rPr>
        <w:t>bringing the total</w:t>
      </w:r>
      <w:r w:rsidRPr="0033566A">
        <w:rPr>
          <w:lang w:val="en-GB"/>
        </w:rPr>
        <w:t xml:space="preserve"> collected </w:t>
      </w:r>
      <w:r>
        <w:rPr>
          <w:lang w:val="en-GB"/>
        </w:rPr>
        <w:t xml:space="preserve">to over </w:t>
      </w:r>
      <w:r w:rsidRPr="0033566A">
        <w:rPr>
          <w:lang w:val="en-GB"/>
        </w:rPr>
        <w:t>€145.7</w:t>
      </w:r>
      <w:r>
        <w:rPr>
          <w:lang w:val="en-GB"/>
        </w:rPr>
        <w:t xml:space="preserve"> </w:t>
      </w:r>
      <w:r w:rsidRPr="0033566A">
        <w:rPr>
          <w:lang w:val="en-GB"/>
        </w:rPr>
        <w:t xml:space="preserve">million representing our highest amount ever collected </w:t>
      </w:r>
      <w:proofErr w:type="gramStart"/>
      <w:r w:rsidRPr="0033566A">
        <w:rPr>
          <w:lang w:val="en-GB"/>
        </w:rPr>
        <w:t>and also</w:t>
      </w:r>
      <w:proofErr w:type="gramEnd"/>
      <w:r w:rsidRPr="0033566A">
        <w:rPr>
          <w:lang w:val="en-GB"/>
        </w:rPr>
        <w:t xml:space="preserve"> resulting in reducing arrears by over </w:t>
      </w:r>
      <w:r>
        <w:rPr>
          <w:lang w:val="en-GB"/>
        </w:rPr>
        <w:t xml:space="preserve">one </w:t>
      </w:r>
      <w:r w:rsidRPr="0033566A">
        <w:rPr>
          <w:lang w:val="en-GB"/>
        </w:rPr>
        <w:t>m</w:t>
      </w:r>
      <w:r>
        <w:rPr>
          <w:lang w:val="en-GB"/>
        </w:rPr>
        <w:t>illion</w:t>
      </w:r>
      <w:r w:rsidRPr="0033566A">
        <w:rPr>
          <w:lang w:val="en-GB"/>
        </w:rPr>
        <w:t xml:space="preserve"> </w:t>
      </w:r>
      <w:r>
        <w:rPr>
          <w:lang w:val="en-GB"/>
        </w:rPr>
        <w:t>to their</w:t>
      </w:r>
      <w:r w:rsidRPr="0033566A">
        <w:rPr>
          <w:lang w:val="en-GB"/>
        </w:rPr>
        <w:t xml:space="preserve"> lowest since 2008</w:t>
      </w:r>
      <w:r>
        <w:rPr>
          <w:lang w:val="en-GB"/>
        </w:rPr>
        <w:t xml:space="preserve">. </w:t>
      </w:r>
      <w:r w:rsidRPr="0033566A">
        <w:rPr>
          <w:lang w:val="en-GB"/>
        </w:rPr>
        <w:t xml:space="preserve">We increased collection of differential </w:t>
      </w:r>
      <w:r w:rsidRPr="0033566A">
        <w:rPr>
          <w:lang w:val="en-GB"/>
        </w:rPr>
        <w:lastRenderedPageBreak/>
        <w:t xml:space="preserve">rents by 12% with €34.9 million collected and </w:t>
      </w:r>
      <w:r>
        <w:rPr>
          <w:lang w:val="en-GB"/>
        </w:rPr>
        <w:t>reduced housing loan arrears to approximately €300,000.</w:t>
      </w:r>
    </w:p>
    <w:bookmarkEnd w:id="6"/>
    <w:p w14:paraId="1754C767" w14:textId="77777777" w:rsidR="009073D2" w:rsidRDefault="009073D2" w:rsidP="009073D2">
      <w:pPr>
        <w:jc w:val="both"/>
      </w:pPr>
      <w:proofErr w:type="gramStart"/>
      <w:r>
        <w:t>All of</w:t>
      </w:r>
      <w:proofErr w:type="gramEnd"/>
      <w:r>
        <w:t xml:space="preserve"> this progress relies on the commitment of our staff, and we continue to recruit and expand to match both the level of services required and our ambition for the county.  We commenced a process to update our s</w:t>
      </w:r>
      <w:r w:rsidRPr="0033566A">
        <w:t>trategic workforce plan</w:t>
      </w:r>
      <w:r>
        <w:t xml:space="preserve"> to ensure </w:t>
      </w:r>
      <w:r w:rsidRPr="0033566A">
        <w:t xml:space="preserve">proactive management of our current and future workforce </w:t>
      </w:r>
      <w:r>
        <w:t xml:space="preserve">to </w:t>
      </w:r>
      <w:r w:rsidRPr="0033566A">
        <w:t>enable us to meet strategic challenges and changing needs efficiently.</w:t>
      </w:r>
      <w:r>
        <w:t xml:space="preserve">  143 </w:t>
      </w:r>
      <w:r w:rsidRPr="0033566A">
        <w:t>new staff joined us</w:t>
      </w:r>
      <w:r>
        <w:t xml:space="preserve"> during the year while </w:t>
      </w:r>
      <w:r w:rsidRPr="0033566A">
        <w:t xml:space="preserve">82 existing staff were </w:t>
      </w:r>
      <w:r>
        <w:t>promoted, with</w:t>
      </w:r>
      <w:r w:rsidRPr="0033566A">
        <w:t xml:space="preserve"> 69 </w:t>
      </w:r>
      <w:r>
        <w:t>people leaving for o</w:t>
      </w:r>
      <w:r w:rsidRPr="0033566A">
        <w:t>ther opportunities</w:t>
      </w:r>
      <w:r>
        <w:t xml:space="preserve"> and </w:t>
      </w:r>
      <w:r w:rsidRPr="0033566A">
        <w:t xml:space="preserve">44 </w:t>
      </w:r>
      <w:r>
        <w:t>retiring.</w:t>
      </w:r>
    </w:p>
    <w:p w14:paraId="2A726B1F" w14:textId="77777777" w:rsidR="009073D2" w:rsidRDefault="009073D2" w:rsidP="009073D2">
      <w:pPr>
        <w:jc w:val="both"/>
      </w:pPr>
      <w:r>
        <w:t xml:space="preserve">The year was notable for the local elections and the ongoing support of councillors new and not so new throughout the year, was another key factor in our achievements.  In December, the adoption of a new Corporate Plan for 2025 to 2029 provides us with a platform to build on all that has been achieved in 2024, with a renewed purpose to provide greater opportunity for all as we seek to be a place that </w:t>
      </w:r>
      <w:r w:rsidRPr="00F43F2F">
        <w:t>meets the needs and ambitions of everyone in South Dublin</w:t>
      </w:r>
      <w:r>
        <w:t>.</w:t>
      </w:r>
    </w:p>
    <w:p w14:paraId="67F4389A" w14:textId="1F2C49FC" w:rsidR="001740C1" w:rsidRDefault="001740C1" w:rsidP="00B60676">
      <w:pPr>
        <w:jc w:val="both"/>
      </w:pPr>
      <w:r>
        <w:br w:type="page"/>
      </w:r>
    </w:p>
    <w:p w14:paraId="1275A33E" w14:textId="438E9406" w:rsidR="00181595" w:rsidRDefault="006E7E48" w:rsidP="00B623CC">
      <w:pPr>
        <w:pStyle w:val="Heading1"/>
        <w:jc w:val="both"/>
      </w:pPr>
      <w:bookmarkStart w:id="7" w:name="_Toc199244549"/>
      <w:r>
        <w:lastRenderedPageBreak/>
        <w:t>M</w:t>
      </w:r>
      <w:r w:rsidR="00181595">
        <w:t xml:space="preserve">ission </w:t>
      </w:r>
      <w:r w:rsidR="000F0BE8">
        <w:t>and Values</w:t>
      </w:r>
      <w:bookmarkEnd w:id="7"/>
    </w:p>
    <w:p w14:paraId="4CF9F96E" w14:textId="77777777" w:rsidR="000F0BE8" w:rsidRDefault="000F0BE8" w:rsidP="00B623CC">
      <w:pPr>
        <w:jc w:val="both"/>
      </w:pPr>
    </w:p>
    <w:p w14:paraId="6A9973BF" w14:textId="1A22E3A3" w:rsidR="00F4313D" w:rsidRDefault="00060FB5" w:rsidP="00F4313D">
      <w:pPr>
        <w:jc w:val="center"/>
      </w:pPr>
      <w:r>
        <w:t>Our mission is t</w:t>
      </w:r>
      <w:r w:rsidR="00B623CC" w:rsidRPr="00B623CC">
        <w:t xml:space="preserve">o make our county a vibrant and inclusive place </w:t>
      </w:r>
    </w:p>
    <w:p w14:paraId="5629F289" w14:textId="77777777" w:rsidR="00F4313D" w:rsidRDefault="00B623CC" w:rsidP="00F4313D">
      <w:pPr>
        <w:jc w:val="center"/>
      </w:pPr>
      <w:r w:rsidRPr="00B623CC">
        <w:t>for the people who live, visit, work, and do</w:t>
      </w:r>
      <w:r>
        <w:t xml:space="preserve"> </w:t>
      </w:r>
      <w:r w:rsidRPr="00B623CC">
        <w:t xml:space="preserve">business here, </w:t>
      </w:r>
    </w:p>
    <w:p w14:paraId="125244F5" w14:textId="755EEFFF" w:rsidR="00B623CC" w:rsidRDefault="00B623CC" w:rsidP="006B1FA9">
      <w:pPr>
        <w:jc w:val="center"/>
      </w:pPr>
      <w:r w:rsidRPr="00B623CC">
        <w:t>now and for the future.</w:t>
      </w:r>
    </w:p>
    <w:p w14:paraId="601FD3E5" w14:textId="77777777" w:rsidR="00B623CC" w:rsidRDefault="00B623CC" w:rsidP="00B623CC">
      <w:pPr>
        <w:jc w:val="both"/>
      </w:pPr>
    </w:p>
    <w:p w14:paraId="79BEB65B" w14:textId="33ED2F8C" w:rsidR="00B623CC" w:rsidRPr="00B623CC" w:rsidRDefault="00F4313D" w:rsidP="00B623CC">
      <w:pPr>
        <w:jc w:val="both"/>
      </w:pPr>
      <w:r>
        <w:t xml:space="preserve">The following </w:t>
      </w:r>
      <w:r w:rsidR="00B623CC" w:rsidRPr="00B623CC">
        <w:t xml:space="preserve">values </w:t>
      </w:r>
      <w:r w:rsidR="00F56B7F">
        <w:t xml:space="preserve">guide the work of all employees and elected members: </w:t>
      </w:r>
    </w:p>
    <w:p w14:paraId="2466B9C5" w14:textId="77777777" w:rsidR="00B623CC" w:rsidRPr="00B623CC" w:rsidRDefault="00B623CC" w:rsidP="00B623CC">
      <w:pPr>
        <w:jc w:val="both"/>
        <w:rPr>
          <w:b/>
          <w:bCs/>
        </w:rPr>
      </w:pPr>
      <w:r w:rsidRPr="00B623CC">
        <w:rPr>
          <w:b/>
          <w:bCs/>
        </w:rPr>
        <w:t>Customer service</w:t>
      </w:r>
    </w:p>
    <w:p w14:paraId="2E523AB4" w14:textId="522329E8" w:rsidR="00B623CC" w:rsidRPr="00B623CC" w:rsidRDefault="00B623CC" w:rsidP="00B623CC">
      <w:pPr>
        <w:jc w:val="both"/>
      </w:pPr>
      <w:r w:rsidRPr="00B623CC">
        <w:t>We are committed to providing an accessible, courteous,</w:t>
      </w:r>
      <w:r>
        <w:t xml:space="preserve"> </w:t>
      </w:r>
      <w:r w:rsidRPr="00B623CC">
        <w:t>consistent, impartial and</w:t>
      </w:r>
      <w:r>
        <w:t xml:space="preserve"> </w:t>
      </w:r>
      <w:r w:rsidRPr="00B623CC">
        <w:t>responsive service. We will</w:t>
      </w:r>
      <w:r>
        <w:t xml:space="preserve"> </w:t>
      </w:r>
      <w:r w:rsidRPr="00B623CC">
        <w:t>operate a citizens’ charter including a complaints and</w:t>
      </w:r>
      <w:r>
        <w:t xml:space="preserve"> </w:t>
      </w:r>
      <w:r w:rsidRPr="00B623CC">
        <w:t>redress system to support this commitment.</w:t>
      </w:r>
    </w:p>
    <w:p w14:paraId="23A2C8C2" w14:textId="77777777" w:rsidR="00B623CC" w:rsidRPr="00B623CC" w:rsidRDefault="00B623CC" w:rsidP="00B623CC">
      <w:pPr>
        <w:jc w:val="both"/>
        <w:rPr>
          <w:b/>
          <w:bCs/>
        </w:rPr>
      </w:pPr>
      <w:r w:rsidRPr="00B623CC">
        <w:rPr>
          <w:b/>
          <w:bCs/>
        </w:rPr>
        <w:t>Sustainability</w:t>
      </w:r>
    </w:p>
    <w:p w14:paraId="4CD0302E" w14:textId="30E1AC9E" w:rsidR="00B623CC" w:rsidRPr="00B623CC" w:rsidRDefault="00B623CC" w:rsidP="00B623CC">
      <w:pPr>
        <w:jc w:val="both"/>
      </w:pPr>
      <w:r w:rsidRPr="00B623CC">
        <w:t>We will act in a responsible, sustainable way regarding</w:t>
      </w:r>
      <w:r>
        <w:t xml:space="preserve"> </w:t>
      </w:r>
      <w:r w:rsidRPr="00B623CC">
        <w:t>finance, the environment, community affairs and socioeconomic</w:t>
      </w:r>
      <w:r>
        <w:t xml:space="preserve"> </w:t>
      </w:r>
      <w:r w:rsidRPr="00B623CC">
        <w:t>issues. Sustainability means meeting the</w:t>
      </w:r>
      <w:r>
        <w:t xml:space="preserve"> </w:t>
      </w:r>
      <w:r w:rsidRPr="00B623CC">
        <w:t>needs of people today without harming the ability to</w:t>
      </w:r>
      <w:r>
        <w:t xml:space="preserve"> </w:t>
      </w:r>
      <w:r w:rsidRPr="00B623CC">
        <w:t>meet the needs of future generations.</w:t>
      </w:r>
    </w:p>
    <w:p w14:paraId="69D52050" w14:textId="77777777" w:rsidR="00B623CC" w:rsidRPr="00B623CC" w:rsidRDefault="00B623CC" w:rsidP="00B623CC">
      <w:pPr>
        <w:jc w:val="both"/>
        <w:rPr>
          <w:b/>
          <w:bCs/>
        </w:rPr>
      </w:pPr>
      <w:r w:rsidRPr="00B623CC">
        <w:rPr>
          <w:b/>
          <w:bCs/>
        </w:rPr>
        <w:t>Inclusiveness, equality and accessibility</w:t>
      </w:r>
    </w:p>
    <w:p w14:paraId="31DA32DA" w14:textId="0164DBF2" w:rsidR="00B623CC" w:rsidRPr="00B623CC" w:rsidRDefault="00B623CC" w:rsidP="00B623CC">
      <w:pPr>
        <w:jc w:val="both"/>
      </w:pPr>
      <w:r w:rsidRPr="00B623CC">
        <w:t>We will prioritise social inclusion, equality of access and</w:t>
      </w:r>
      <w:r>
        <w:t xml:space="preserve"> </w:t>
      </w:r>
      <w:r w:rsidRPr="00B623CC">
        <w:t>opportunity, and the needs of the most</w:t>
      </w:r>
      <w:r>
        <w:t xml:space="preserve"> </w:t>
      </w:r>
      <w:r w:rsidRPr="00B623CC">
        <w:t>vulnerable people in society when we design and deliver</w:t>
      </w:r>
      <w:r>
        <w:t xml:space="preserve"> </w:t>
      </w:r>
      <w:r w:rsidRPr="00B623CC">
        <w:t>services.</w:t>
      </w:r>
    </w:p>
    <w:p w14:paraId="1ADDB123" w14:textId="77777777" w:rsidR="00B623CC" w:rsidRPr="00B623CC" w:rsidRDefault="00B623CC" w:rsidP="00B623CC">
      <w:pPr>
        <w:jc w:val="both"/>
        <w:rPr>
          <w:b/>
          <w:bCs/>
        </w:rPr>
      </w:pPr>
      <w:r w:rsidRPr="00B623CC">
        <w:rPr>
          <w:b/>
          <w:bCs/>
        </w:rPr>
        <w:t>Innovation, creativity and diversity</w:t>
      </w:r>
    </w:p>
    <w:p w14:paraId="37F46261" w14:textId="356E0225" w:rsidR="00B623CC" w:rsidRPr="00B623CC" w:rsidRDefault="00B623CC" w:rsidP="00B623CC">
      <w:pPr>
        <w:jc w:val="both"/>
      </w:pPr>
      <w:r w:rsidRPr="00B623CC">
        <w:t>We will look at new, creative and different ways to</w:t>
      </w:r>
      <w:r>
        <w:t xml:space="preserve"> </w:t>
      </w:r>
      <w:r w:rsidRPr="00B623CC">
        <w:t>deliver services and solve problems, and will encourage</w:t>
      </w:r>
      <w:r>
        <w:t xml:space="preserve"> </w:t>
      </w:r>
      <w:r w:rsidRPr="00B623CC">
        <w:t>the people, groups and organisations we work with to</w:t>
      </w:r>
      <w:r>
        <w:t xml:space="preserve"> </w:t>
      </w:r>
      <w:r w:rsidRPr="00B623CC">
        <w:t>do the same.</w:t>
      </w:r>
    </w:p>
    <w:p w14:paraId="356EEDB8" w14:textId="77777777" w:rsidR="00B623CC" w:rsidRPr="00B623CC" w:rsidRDefault="00B623CC" w:rsidP="00B623CC">
      <w:pPr>
        <w:jc w:val="both"/>
        <w:rPr>
          <w:b/>
          <w:bCs/>
        </w:rPr>
      </w:pPr>
      <w:r w:rsidRPr="00B623CC">
        <w:rPr>
          <w:b/>
          <w:bCs/>
        </w:rPr>
        <w:t>Accountability and transparency</w:t>
      </w:r>
    </w:p>
    <w:p w14:paraId="225A39FE" w14:textId="3133EE50" w:rsidR="00B623CC" w:rsidRPr="00B623CC" w:rsidRDefault="00B623CC" w:rsidP="00B623CC">
      <w:pPr>
        <w:jc w:val="both"/>
      </w:pPr>
      <w:r w:rsidRPr="00B623CC">
        <w:t>We will communicate clearly and openly with people,</w:t>
      </w:r>
      <w:r>
        <w:t xml:space="preserve"> </w:t>
      </w:r>
      <w:r w:rsidRPr="00B623CC">
        <w:t>and we will be transparent in all</w:t>
      </w:r>
      <w:r>
        <w:t xml:space="preserve"> </w:t>
      </w:r>
      <w:r w:rsidRPr="00B623CC">
        <w:t>our decision-making.</w:t>
      </w:r>
    </w:p>
    <w:p w14:paraId="7A6F936C" w14:textId="77777777" w:rsidR="00B623CC" w:rsidRPr="00B623CC" w:rsidRDefault="00B623CC" w:rsidP="00B623CC">
      <w:pPr>
        <w:jc w:val="both"/>
        <w:rPr>
          <w:b/>
          <w:bCs/>
        </w:rPr>
      </w:pPr>
      <w:r w:rsidRPr="00B623CC">
        <w:rPr>
          <w:b/>
          <w:bCs/>
        </w:rPr>
        <w:t>Value for money</w:t>
      </w:r>
    </w:p>
    <w:p w14:paraId="1A056041" w14:textId="32A7879E" w:rsidR="00181595" w:rsidRPr="00181595" w:rsidRDefault="00B623CC" w:rsidP="003103D3">
      <w:pPr>
        <w:jc w:val="both"/>
      </w:pPr>
      <w:r w:rsidRPr="00B623CC">
        <w:t>We will use our resources efficiently, and we will</w:t>
      </w:r>
      <w:r>
        <w:t xml:space="preserve"> </w:t>
      </w:r>
      <w:r w:rsidRPr="00B623CC">
        <w:t>continually review and evaluate our performance.</w:t>
      </w:r>
      <w:r w:rsidR="00334496">
        <w:br w:type="page"/>
      </w:r>
    </w:p>
    <w:p w14:paraId="011F1175" w14:textId="667E32F4" w:rsidR="001740C1" w:rsidRDefault="001740C1" w:rsidP="00B60676">
      <w:pPr>
        <w:pStyle w:val="Heading1"/>
        <w:jc w:val="both"/>
      </w:pPr>
      <w:bookmarkStart w:id="8" w:name="_Toc199244550"/>
      <w:r>
        <w:lastRenderedPageBreak/>
        <w:t>About the Council</w:t>
      </w:r>
      <w:bookmarkEnd w:id="8"/>
    </w:p>
    <w:p w14:paraId="7DC2D3B8" w14:textId="6227F622" w:rsidR="001740C1" w:rsidRPr="001740C1" w:rsidRDefault="001740C1" w:rsidP="00B60676">
      <w:pPr>
        <w:jc w:val="both"/>
      </w:pPr>
      <w:r w:rsidRPr="001740C1">
        <w:t>South Dublin County Council</w:t>
      </w:r>
      <w:r w:rsidR="00F56B7F">
        <w:t xml:space="preserve"> celebrated i</w:t>
      </w:r>
      <w:r w:rsidR="00B623CC" w:rsidRPr="001740C1">
        <w:t>ts</w:t>
      </w:r>
      <w:r w:rsidRPr="001740C1">
        <w:t xml:space="preserve"> 30</w:t>
      </w:r>
      <w:r w:rsidRPr="001740C1">
        <w:rPr>
          <w:vertAlign w:val="superscript"/>
        </w:rPr>
        <w:t>th</w:t>
      </w:r>
      <w:r w:rsidRPr="001740C1">
        <w:t xml:space="preserve"> yea</w:t>
      </w:r>
      <w:r w:rsidR="00F56B7F">
        <w:t xml:space="preserve">r in 2024 as it was established </w:t>
      </w:r>
      <w:r w:rsidRPr="001740C1">
        <w:t xml:space="preserve">on Saturday, 1 January 1994. </w:t>
      </w:r>
      <w:r w:rsidR="00F56B7F">
        <w:t xml:space="preserve">The council </w:t>
      </w:r>
      <w:r w:rsidR="00F56B7F" w:rsidRPr="001740C1">
        <w:t>operates in an area of 22</w:t>
      </w:r>
      <w:r w:rsidR="00F56B7F">
        <w:t>3</w:t>
      </w:r>
      <w:r w:rsidR="00F56B7F" w:rsidRPr="001740C1">
        <w:t xml:space="preserve"> square </w:t>
      </w:r>
      <w:proofErr w:type="gramStart"/>
      <w:r w:rsidR="00F56B7F" w:rsidRPr="001740C1">
        <w:t>kilometres</w:t>
      </w:r>
      <w:proofErr w:type="gramEnd"/>
      <w:r w:rsidR="00F56B7F" w:rsidRPr="001740C1">
        <w:t xml:space="preserve"> </w:t>
      </w:r>
      <w:r w:rsidR="00F56B7F">
        <w:t xml:space="preserve">and the county is </w:t>
      </w:r>
      <w:r w:rsidRPr="001740C1">
        <w:t xml:space="preserve">bounded by Dublin city to the northeast, the Dublin </w:t>
      </w:r>
      <w:r w:rsidR="00F56B7F">
        <w:t>m</w:t>
      </w:r>
      <w:r w:rsidRPr="001740C1">
        <w:t xml:space="preserve">ountains and Wicklow to the south, the </w:t>
      </w:r>
      <w:r w:rsidR="00F56B7F">
        <w:t>r</w:t>
      </w:r>
      <w:r w:rsidRPr="001740C1">
        <w:t xml:space="preserve">iver Liffey to the north separating it from Fingal and Kildare to the west. </w:t>
      </w:r>
    </w:p>
    <w:p w14:paraId="7C04222E" w14:textId="2F476E32" w:rsidR="001740C1" w:rsidRPr="001740C1" w:rsidRDefault="001740C1" w:rsidP="00B60676">
      <w:pPr>
        <w:jc w:val="both"/>
      </w:pPr>
      <w:r w:rsidRPr="001740C1">
        <w:t xml:space="preserve">The </w:t>
      </w:r>
      <w:r w:rsidR="00E660BC">
        <w:t>c</w:t>
      </w:r>
      <w:r w:rsidRPr="001740C1">
        <w:t>ounty has a population of 301,075 people</w:t>
      </w:r>
      <w:r w:rsidR="007C5F31">
        <w:t xml:space="preserve"> living</w:t>
      </w:r>
      <w:r w:rsidRPr="001740C1">
        <w:t xml:space="preserve"> in 106,074 homes according to the 2022 census results, representing an 8% population increase from the previous census in 2016. </w:t>
      </w:r>
    </w:p>
    <w:p w14:paraId="307D7E9D" w14:textId="031A4BFC" w:rsidR="001740C1" w:rsidRPr="001740C1" w:rsidRDefault="001740C1" w:rsidP="00B60676">
      <w:pPr>
        <w:jc w:val="both"/>
      </w:pPr>
      <w:r w:rsidRPr="001740C1">
        <w:t>The Council is made up of 40 Elected Members spread across seven electoral areas</w:t>
      </w:r>
      <w:r w:rsidR="004079C1">
        <w:t>. T</w:t>
      </w:r>
      <w:r w:rsidRPr="001740C1">
        <w:t xml:space="preserve">he </w:t>
      </w:r>
      <w:proofErr w:type="gramStart"/>
      <w:r w:rsidRPr="001740C1">
        <w:t>Mayor</w:t>
      </w:r>
      <w:proofErr w:type="gramEnd"/>
      <w:r w:rsidRPr="001740C1">
        <w:t xml:space="preserve"> </w:t>
      </w:r>
      <w:r w:rsidR="004079C1">
        <w:t xml:space="preserve">is </w:t>
      </w:r>
      <w:r w:rsidRPr="001740C1">
        <w:t xml:space="preserve">elected by the members </w:t>
      </w:r>
      <w:r w:rsidR="004079C1">
        <w:t xml:space="preserve">at the </w:t>
      </w:r>
      <w:r w:rsidRPr="001740C1">
        <w:t>annual</w:t>
      </w:r>
      <w:r w:rsidR="004079C1">
        <w:t xml:space="preserve"> meeting in June</w:t>
      </w:r>
      <w:r w:rsidRPr="001740C1">
        <w:t>.</w:t>
      </w:r>
      <w:r w:rsidR="003103D3">
        <w:t xml:space="preserve"> Following the Local and General Elections in 2024, South Dublin became </w:t>
      </w:r>
      <w:r w:rsidR="00413328">
        <w:t>the first council in Ireland to reach and exceed gender parity with 21 female councillors</w:t>
      </w:r>
      <w:r w:rsidR="004079C1">
        <w:t xml:space="preserve"> in 2024</w:t>
      </w:r>
      <w:r w:rsidR="00413328">
        <w:t>.</w:t>
      </w:r>
      <w:r w:rsidRPr="001740C1">
        <w:t xml:space="preserve"> Along with the Corporate Policy Group, six Strategic Policy Committees develop and recommend policy to the Council. Committees are made up of Elected Members and representatives of the business, farming, environment, community and trade union sectors.</w:t>
      </w:r>
    </w:p>
    <w:p w14:paraId="0AF8DBE1" w14:textId="0817FA25" w:rsidR="001740C1" w:rsidRDefault="001740C1" w:rsidP="00B60676">
      <w:pPr>
        <w:jc w:val="both"/>
      </w:pPr>
      <w:r>
        <w:br w:type="page"/>
      </w:r>
    </w:p>
    <w:p w14:paraId="1AE401C9" w14:textId="11317DB6" w:rsidR="001740C1" w:rsidRDefault="001740C1" w:rsidP="00B60676">
      <w:pPr>
        <w:pStyle w:val="Heading1"/>
        <w:jc w:val="both"/>
      </w:pPr>
      <w:bookmarkStart w:id="9" w:name="_Toc199244551"/>
      <w:r>
        <w:lastRenderedPageBreak/>
        <w:t>Our Principal Services</w:t>
      </w:r>
      <w:bookmarkEnd w:id="9"/>
    </w:p>
    <w:p w14:paraId="40F6AB7C" w14:textId="77777777" w:rsidR="001740C1" w:rsidRPr="001740C1" w:rsidRDefault="001740C1" w:rsidP="00B60676">
      <w:pPr>
        <w:jc w:val="both"/>
        <w:rPr>
          <w:b/>
          <w:bCs/>
        </w:rPr>
      </w:pPr>
      <w:r w:rsidRPr="001740C1">
        <w:rPr>
          <w:b/>
          <w:bCs/>
        </w:rPr>
        <w:t xml:space="preserve">Economic, enterprise and tourism development </w:t>
      </w:r>
    </w:p>
    <w:p w14:paraId="521D832C" w14:textId="0083FC96" w:rsidR="001740C1" w:rsidRPr="001740C1" w:rsidRDefault="001740C1" w:rsidP="00A45EAB">
      <w:pPr>
        <w:pStyle w:val="ListParagraph"/>
        <w:numPr>
          <w:ilvl w:val="0"/>
          <w:numId w:val="1"/>
        </w:numPr>
        <w:jc w:val="both"/>
      </w:pPr>
      <w:r w:rsidRPr="001740C1">
        <w:t xml:space="preserve">Economic development and promotion of the county for investment </w:t>
      </w:r>
    </w:p>
    <w:p w14:paraId="513E01A1" w14:textId="02F36287" w:rsidR="001740C1" w:rsidRPr="001740C1" w:rsidRDefault="001740C1" w:rsidP="00A45EAB">
      <w:pPr>
        <w:pStyle w:val="ListParagraph"/>
        <w:numPr>
          <w:ilvl w:val="0"/>
          <w:numId w:val="1"/>
        </w:numPr>
        <w:jc w:val="both"/>
      </w:pPr>
      <w:r w:rsidRPr="001740C1">
        <w:t xml:space="preserve">Enterprise development and supports </w:t>
      </w:r>
    </w:p>
    <w:p w14:paraId="52D164BD" w14:textId="3B07B01A" w:rsidR="001740C1" w:rsidRPr="001740C1" w:rsidRDefault="001740C1" w:rsidP="00A45EAB">
      <w:pPr>
        <w:pStyle w:val="ListParagraph"/>
        <w:numPr>
          <w:ilvl w:val="0"/>
          <w:numId w:val="1"/>
        </w:numPr>
        <w:jc w:val="both"/>
      </w:pPr>
      <w:r w:rsidRPr="001740C1">
        <w:t xml:space="preserve">Asset management </w:t>
      </w:r>
    </w:p>
    <w:p w14:paraId="46128C0A" w14:textId="7EE463D5" w:rsidR="001740C1" w:rsidRPr="001740C1" w:rsidRDefault="001740C1" w:rsidP="00A45EAB">
      <w:pPr>
        <w:pStyle w:val="ListParagraph"/>
        <w:numPr>
          <w:ilvl w:val="0"/>
          <w:numId w:val="1"/>
        </w:numPr>
        <w:jc w:val="both"/>
      </w:pPr>
      <w:r w:rsidRPr="001740C1">
        <w:t xml:space="preserve">Library services, the arts office and cultural infrastructure </w:t>
      </w:r>
    </w:p>
    <w:p w14:paraId="50932C41" w14:textId="0BCB186F" w:rsidR="001740C1" w:rsidRPr="001740C1" w:rsidRDefault="001740C1" w:rsidP="00A45EAB">
      <w:pPr>
        <w:pStyle w:val="ListParagraph"/>
        <w:numPr>
          <w:ilvl w:val="0"/>
          <w:numId w:val="1"/>
        </w:numPr>
        <w:jc w:val="both"/>
      </w:pPr>
      <w:r w:rsidRPr="001740C1">
        <w:t>County promotion and tourism development</w:t>
      </w:r>
    </w:p>
    <w:p w14:paraId="3915A489" w14:textId="77777777" w:rsidR="001740C1" w:rsidRPr="001740C1" w:rsidRDefault="001740C1" w:rsidP="00B60676">
      <w:pPr>
        <w:jc w:val="both"/>
        <w:rPr>
          <w:b/>
          <w:bCs/>
        </w:rPr>
      </w:pPr>
      <w:r w:rsidRPr="001740C1">
        <w:rPr>
          <w:b/>
          <w:bCs/>
        </w:rPr>
        <w:t>Land use, planning and transportation</w:t>
      </w:r>
    </w:p>
    <w:p w14:paraId="0E55FD54" w14:textId="146FEBA1" w:rsidR="001740C1" w:rsidRPr="001740C1" w:rsidRDefault="001740C1" w:rsidP="00A45EAB">
      <w:pPr>
        <w:pStyle w:val="ListParagraph"/>
        <w:numPr>
          <w:ilvl w:val="0"/>
          <w:numId w:val="1"/>
        </w:numPr>
        <w:jc w:val="both"/>
      </w:pPr>
      <w:r w:rsidRPr="001740C1">
        <w:t>Development management</w:t>
      </w:r>
    </w:p>
    <w:p w14:paraId="13E44607" w14:textId="51E824FE" w:rsidR="001740C1" w:rsidRPr="001740C1" w:rsidRDefault="001740C1" w:rsidP="00A45EAB">
      <w:pPr>
        <w:pStyle w:val="ListParagraph"/>
        <w:numPr>
          <w:ilvl w:val="0"/>
          <w:numId w:val="1"/>
        </w:numPr>
        <w:jc w:val="both"/>
      </w:pPr>
      <w:r w:rsidRPr="001740C1">
        <w:t>Forward Planning</w:t>
      </w:r>
    </w:p>
    <w:p w14:paraId="375F2B19" w14:textId="588F188D" w:rsidR="001740C1" w:rsidRPr="001740C1" w:rsidRDefault="001740C1" w:rsidP="00A45EAB">
      <w:pPr>
        <w:pStyle w:val="ListParagraph"/>
        <w:numPr>
          <w:ilvl w:val="0"/>
          <w:numId w:val="1"/>
        </w:numPr>
        <w:jc w:val="both"/>
      </w:pPr>
      <w:proofErr w:type="gramStart"/>
      <w:r w:rsidRPr="001740C1">
        <w:t>Roads</w:t>
      </w:r>
      <w:proofErr w:type="gramEnd"/>
      <w:r w:rsidRPr="001740C1">
        <w:t xml:space="preserve"> construction and maintenance</w:t>
      </w:r>
    </w:p>
    <w:p w14:paraId="59052C88" w14:textId="449D831B" w:rsidR="001740C1" w:rsidRPr="001740C1" w:rsidRDefault="001740C1" w:rsidP="00A45EAB">
      <w:pPr>
        <w:pStyle w:val="ListParagraph"/>
        <w:numPr>
          <w:ilvl w:val="0"/>
          <w:numId w:val="1"/>
        </w:numPr>
        <w:jc w:val="both"/>
      </w:pPr>
      <w:r w:rsidRPr="001740C1">
        <w:t>Traffic management</w:t>
      </w:r>
    </w:p>
    <w:p w14:paraId="368A3E11" w14:textId="6ED2A92F" w:rsidR="001740C1" w:rsidRPr="001740C1" w:rsidRDefault="001740C1" w:rsidP="00A45EAB">
      <w:pPr>
        <w:pStyle w:val="ListParagraph"/>
        <w:numPr>
          <w:ilvl w:val="0"/>
          <w:numId w:val="1"/>
        </w:numPr>
        <w:jc w:val="both"/>
      </w:pPr>
      <w:r w:rsidRPr="001740C1">
        <w:t>Public lighting</w:t>
      </w:r>
    </w:p>
    <w:p w14:paraId="707BD1CA" w14:textId="13F85B91" w:rsidR="001740C1" w:rsidRPr="001740C1" w:rsidRDefault="001740C1" w:rsidP="00A45EAB">
      <w:pPr>
        <w:pStyle w:val="ListParagraph"/>
        <w:numPr>
          <w:ilvl w:val="0"/>
          <w:numId w:val="1"/>
        </w:numPr>
        <w:jc w:val="both"/>
      </w:pPr>
      <w:r w:rsidRPr="001740C1">
        <w:t>Building control</w:t>
      </w:r>
    </w:p>
    <w:p w14:paraId="592C1463" w14:textId="12665818" w:rsidR="001740C1" w:rsidRPr="001740C1" w:rsidRDefault="001740C1" w:rsidP="00A45EAB">
      <w:pPr>
        <w:pStyle w:val="ListParagraph"/>
        <w:numPr>
          <w:ilvl w:val="0"/>
          <w:numId w:val="1"/>
        </w:numPr>
        <w:jc w:val="both"/>
      </w:pPr>
      <w:r w:rsidRPr="001740C1">
        <w:t>Heritage and conservation promotion</w:t>
      </w:r>
    </w:p>
    <w:p w14:paraId="0B170A49" w14:textId="77777777" w:rsidR="001740C1" w:rsidRPr="001740C1" w:rsidRDefault="001740C1" w:rsidP="00B60676">
      <w:pPr>
        <w:jc w:val="both"/>
        <w:rPr>
          <w:b/>
          <w:bCs/>
        </w:rPr>
      </w:pPr>
      <w:r w:rsidRPr="001740C1">
        <w:rPr>
          <w:b/>
          <w:bCs/>
        </w:rPr>
        <w:t xml:space="preserve">Housing, social and community development </w:t>
      </w:r>
    </w:p>
    <w:p w14:paraId="0DF250B7" w14:textId="51BDC557" w:rsidR="001740C1" w:rsidRPr="001740C1" w:rsidRDefault="001740C1" w:rsidP="00A45EAB">
      <w:pPr>
        <w:pStyle w:val="ListParagraph"/>
        <w:numPr>
          <w:ilvl w:val="0"/>
          <w:numId w:val="1"/>
        </w:numPr>
        <w:jc w:val="both"/>
      </w:pPr>
      <w:r w:rsidRPr="001740C1">
        <w:t xml:space="preserve">Social housing programme </w:t>
      </w:r>
    </w:p>
    <w:p w14:paraId="240F26D1" w14:textId="5508D190" w:rsidR="001740C1" w:rsidRPr="001740C1" w:rsidRDefault="001740C1" w:rsidP="00A45EAB">
      <w:pPr>
        <w:pStyle w:val="ListParagraph"/>
        <w:numPr>
          <w:ilvl w:val="0"/>
          <w:numId w:val="1"/>
        </w:numPr>
        <w:jc w:val="both"/>
      </w:pPr>
      <w:r w:rsidRPr="001740C1">
        <w:t xml:space="preserve">Housing allocations, maintenance and refurbishment </w:t>
      </w:r>
    </w:p>
    <w:p w14:paraId="1B385BA7" w14:textId="77777777" w:rsidR="001740C1" w:rsidRDefault="001740C1" w:rsidP="00A45EAB">
      <w:pPr>
        <w:pStyle w:val="ListParagraph"/>
        <w:numPr>
          <w:ilvl w:val="0"/>
          <w:numId w:val="1"/>
        </w:numPr>
        <w:jc w:val="both"/>
      </w:pPr>
      <w:r w:rsidRPr="001740C1">
        <w:t xml:space="preserve">Social services, estate management and community development </w:t>
      </w:r>
    </w:p>
    <w:p w14:paraId="00F140C5" w14:textId="77777777" w:rsidR="001740C1" w:rsidRDefault="001740C1" w:rsidP="00A45EAB">
      <w:pPr>
        <w:pStyle w:val="ListParagraph"/>
        <w:numPr>
          <w:ilvl w:val="0"/>
          <w:numId w:val="1"/>
        </w:numPr>
        <w:jc w:val="both"/>
      </w:pPr>
      <w:r w:rsidRPr="001740C1">
        <w:t>Age-friendly</w:t>
      </w:r>
      <w:r>
        <w:t xml:space="preserve"> </w:t>
      </w:r>
      <w:r w:rsidRPr="001740C1">
        <w:t xml:space="preserve">and social inclusion initiatives </w:t>
      </w:r>
    </w:p>
    <w:p w14:paraId="5F659E93" w14:textId="6850DB12" w:rsidR="001740C1" w:rsidRPr="001740C1" w:rsidRDefault="001740C1" w:rsidP="00A45EAB">
      <w:pPr>
        <w:pStyle w:val="ListParagraph"/>
        <w:numPr>
          <w:ilvl w:val="0"/>
          <w:numId w:val="1"/>
        </w:numPr>
        <w:jc w:val="both"/>
      </w:pPr>
      <w:r w:rsidRPr="001740C1">
        <w:t xml:space="preserve">Sports programmes and health and wellbeing initiatives </w:t>
      </w:r>
    </w:p>
    <w:p w14:paraId="58815AB9" w14:textId="77777777" w:rsidR="001740C1" w:rsidRPr="001740C1" w:rsidRDefault="001740C1" w:rsidP="00B60676">
      <w:pPr>
        <w:jc w:val="both"/>
        <w:rPr>
          <w:b/>
          <w:bCs/>
        </w:rPr>
      </w:pPr>
      <w:r w:rsidRPr="001740C1">
        <w:rPr>
          <w:b/>
          <w:bCs/>
        </w:rPr>
        <w:t xml:space="preserve">Environment, water and climate change </w:t>
      </w:r>
    </w:p>
    <w:p w14:paraId="75824591" w14:textId="4EAB7C5F" w:rsidR="001740C1" w:rsidRPr="001740C1" w:rsidRDefault="001740C1" w:rsidP="00A45EAB">
      <w:pPr>
        <w:pStyle w:val="ListParagraph"/>
        <w:numPr>
          <w:ilvl w:val="0"/>
          <w:numId w:val="1"/>
        </w:numPr>
        <w:jc w:val="both"/>
      </w:pPr>
      <w:r w:rsidRPr="001740C1">
        <w:t xml:space="preserve">Climate change mitigation and adaptation </w:t>
      </w:r>
    </w:p>
    <w:p w14:paraId="21B3CE21" w14:textId="42F68937" w:rsidR="001740C1" w:rsidRPr="001740C1" w:rsidRDefault="001740C1" w:rsidP="00A45EAB">
      <w:pPr>
        <w:pStyle w:val="ListParagraph"/>
        <w:numPr>
          <w:ilvl w:val="0"/>
          <w:numId w:val="1"/>
        </w:numPr>
        <w:jc w:val="both"/>
      </w:pPr>
      <w:r w:rsidRPr="001740C1">
        <w:t>Major emergency management</w:t>
      </w:r>
    </w:p>
    <w:p w14:paraId="09F7849C" w14:textId="252BD15E" w:rsidR="001740C1" w:rsidRPr="001740C1" w:rsidRDefault="001740C1" w:rsidP="00A45EAB">
      <w:pPr>
        <w:pStyle w:val="ListParagraph"/>
        <w:numPr>
          <w:ilvl w:val="0"/>
          <w:numId w:val="1"/>
        </w:numPr>
        <w:jc w:val="both"/>
      </w:pPr>
      <w:r w:rsidRPr="001740C1">
        <w:t xml:space="preserve">Waste and enforcement </w:t>
      </w:r>
    </w:p>
    <w:p w14:paraId="77A7061F" w14:textId="06ECA53C" w:rsidR="001740C1" w:rsidRPr="001740C1" w:rsidRDefault="001740C1" w:rsidP="00A45EAB">
      <w:pPr>
        <w:pStyle w:val="ListParagraph"/>
        <w:numPr>
          <w:ilvl w:val="0"/>
          <w:numId w:val="1"/>
        </w:numPr>
        <w:jc w:val="both"/>
      </w:pPr>
      <w:r w:rsidRPr="001740C1">
        <w:t xml:space="preserve">Water and drainage services </w:t>
      </w:r>
    </w:p>
    <w:p w14:paraId="5DA2CEF8" w14:textId="36193BDD" w:rsidR="001740C1" w:rsidRPr="001740C1" w:rsidRDefault="001740C1" w:rsidP="00A45EAB">
      <w:pPr>
        <w:pStyle w:val="ListParagraph"/>
        <w:numPr>
          <w:ilvl w:val="0"/>
          <w:numId w:val="1"/>
        </w:numPr>
        <w:jc w:val="both"/>
      </w:pPr>
      <w:r w:rsidRPr="001740C1">
        <w:t xml:space="preserve">Veterinary services </w:t>
      </w:r>
    </w:p>
    <w:p w14:paraId="49EAD5BD" w14:textId="4FC250DD" w:rsidR="001740C1" w:rsidRPr="001740C1" w:rsidRDefault="001740C1" w:rsidP="00A45EAB">
      <w:pPr>
        <w:pStyle w:val="ListParagraph"/>
        <w:numPr>
          <w:ilvl w:val="0"/>
          <w:numId w:val="1"/>
        </w:numPr>
        <w:jc w:val="both"/>
      </w:pPr>
      <w:r w:rsidRPr="001740C1">
        <w:t xml:space="preserve">Public realm management and maintenance </w:t>
      </w:r>
    </w:p>
    <w:p w14:paraId="51167EBD" w14:textId="77777777" w:rsidR="001740C1" w:rsidRPr="001740C1" w:rsidRDefault="001740C1" w:rsidP="00B60676">
      <w:pPr>
        <w:jc w:val="both"/>
        <w:rPr>
          <w:b/>
          <w:bCs/>
        </w:rPr>
      </w:pPr>
      <w:r w:rsidRPr="001740C1">
        <w:rPr>
          <w:b/>
          <w:bCs/>
        </w:rPr>
        <w:t xml:space="preserve">Organisational capacity and accountability </w:t>
      </w:r>
    </w:p>
    <w:p w14:paraId="6708F2A6" w14:textId="3BFABBD9" w:rsidR="001740C1" w:rsidRPr="001740C1" w:rsidRDefault="001740C1" w:rsidP="00A45EAB">
      <w:pPr>
        <w:pStyle w:val="ListParagraph"/>
        <w:numPr>
          <w:ilvl w:val="0"/>
          <w:numId w:val="1"/>
        </w:numPr>
        <w:jc w:val="both"/>
      </w:pPr>
      <w:r w:rsidRPr="001740C1">
        <w:t xml:space="preserve">Corporate services </w:t>
      </w:r>
    </w:p>
    <w:p w14:paraId="5D51A9E9" w14:textId="1897A728" w:rsidR="001740C1" w:rsidRPr="001740C1" w:rsidRDefault="001740C1" w:rsidP="00A45EAB">
      <w:pPr>
        <w:pStyle w:val="ListParagraph"/>
        <w:numPr>
          <w:ilvl w:val="0"/>
          <w:numId w:val="1"/>
        </w:numPr>
        <w:jc w:val="both"/>
      </w:pPr>
      <w:r w:rsidRPr="001740C1">
        <w:t xml:space="preserve">Human resource management </w:t>
      </w:r>
    </w:p>
    <w:p w14:paraId="20F04728" w14:textId="35B7FB3A" w:rsidR="001740C1" w:rsidRPr="001740C1" w:rsidRDefault="001740C1" w:rsidP="00A45EAB">
      <w:pPr>
        <w:pStyle w:val="ListParagraph"/>
        <w:numPr>
          <w:ilvl w:val="0"/>
          <w:numId w:val="1"/>
        </w:numPr>
        <w:jc w:val="both"/>
      </w:pPr>
      <w:r w:rsidRPr="001740C1">
        <w:t xml:space="preserve">Financial management </w:t>
      </w:r>
    </w:p>
    <w:p w14:paraId="3CE69882" w14:textId="129FDD73" w:rsidR="001740C1" w:rsidRPr="001740C1" w:rsidRDefault="001740C1" w:rsidP="00A45EAB">
      <w:pPr>
        <w:pStyle w:val="ListParagraph"/>
        <w:numPr>
          <w:ilvl w:val="0"/>
          <w:numId w:val="1"/>
        </w:numPr>
        <w:jc w:val="both"/>
      </w:pPr>
      <w:r w:rsidRPr="001740C1">
        <w:t xml:space="preserve">Information and communication technologies </w:t>
      </w:r>
    </w:p>
    <w:p w14:paraId="757577EF" w14:textId="3B00CA03" w:rsidR="001740C1" w:rsidRPr="001740C1" w:rsidRDefault="001740C1" w:rsidP="00A45EAB">
      <w:pPr>
        <w:pStyle w:val="ListParagraph"/>
        <w:numPr>
          <w:ilvl w:val="0"/>
          <w:numId w:val="1"/>
        </w:numPr>
        <w:jc w:val="both"/>
      </w:pPr>
      <w:r w:rsidRPr="001740C1">
        <w:t xml:space="preserve">Architectural services </w:t>
      </w:r>
    </w:p>
    <w:p w14:paraId="2AB63A6F" w14:textId="2252EF47" w:rsidR="001740C1" w:rsidRDefault="001740C1" w:rsidP="00B60676">
      <w:pPr>
        <w:pStyle w:val="ListParagraph"/>
        <w:numPr>
          <w:ilvl w:val="0"/>
          <w:numId w:val="1"/>
        </w:numPr>
        <w:jc w:val="both"/>
      </w:pPr>
      <w:r w:rsidRPr="001740C1">
        <w:t>Legal services</w:t>
      </w:r>
      <w:r>
        <w:br w:type="page"/>
      </w:r>
    </w:p>
    <w:p w14:paraId="319F55C3" w14:textId="2F052863" w:rsidR="005C7678" w:rsidRPr="003103D3" w:rsidRDefault="001740C1" w:rsidP="003103D3">
      <w:pPr>
        <w:pStyle w:val="Heading1"/>
        <w:jc w:val="both"/>
      </w:pPr>
      <w:bookmarkStart w:id="10" w:name="_Toc199244552"/>
      <w:r>
        <w:lastRenderedPageBreak/>
        <w:t>Council Meetings 2024</w:t>
      </w:r>
      <w:bookmarkEnd w:id="10"/>
    </w:p>
    <w:p w14:paraId="124071AE" w14:textId="00B47977" w:rsidR="001740C1" w:rsidRPr="003103D3" w:rsidRDefault="005C7678" w:rsidP="003103D3">
      <w:pPr>
        <w:jc w:val="both"/>
        <w:rPr>
          <w:b/>
          <w:bCs/>
        </w:rPr>
      </w:pPr>
      <w:r>
        <w:rPr>
          <w:lang w:val="en-GB"/>
        </w:rPr>
        <w:t>There were 86 meetings of the full Council, Organisation, Procedure and Finance Committee, Corporate Policy Group (CPG) and Area Committee’s comprising:</w:t>
      </w:r>
    </w:p>
    <w:p w14:paraId="4D55CF31" w14:textId="77777777" w:rsidR="001740C1" w:rsidRPr="001740C1" w:rsidRDefault="001740C1" w:rsidP="00A45EAB">
      <w:pPr>
        <w:pStyle w:val="ListParagraph"/>
        <w:numPr>
          <w:ilvl w:val="0"/>
          <w:numId w:val="3"/>
        </w:numPr>
        <w:jc w:val="both"/>
      </w:pPr>
      <w:r w:rsidRPr="001740C1">
        <w:rPr>
          <w:lang w:val="en-GB"/>
        </w:rPr>
        <w:t>10 County Council Meetings</w:t>
      </w:r>
    </w:p>
    <w:p w14:paraId="7A9FA9C8" w14:textId="22E1A457" w:rsidR="00C70A95" w:rsidRPr="003103D3" w:rsidRDefault="00C70A95" w:rsidP="00A45EAB">
      <w:pPr>
        <w:pStyle w:val="ListParagraph"/>
        <w:numPr>
          <w:ilvl w:val="0"/>
          <w:numId w:val="3"/>
        </w:numPr>
        <w:jc w:val="both"/>
      </w:pPr>
      <w:r>
        <w:rPr>
          <w:lang w:val="en-GB"/>
        </w:rPr>
        <w:t xml:space="preserve">Inaugural Council meeting </w:t>
      </w:r>
      <w:r w:rsidR="004079C1">
        <w:rPr>
          <w:lang w:val="en-GB"/>
        </w:rPr>
        <w:t>following the local elections</w:t>
      </w:r>
    </w:p>
    <w:p w14:paraId="734FE09E" w14:textId="7D6F8C35" w:rsidR="001740C1" w:rsidRPr="001740C1" w:rsidRDefault="001740C1" w:rsidP="00A45EAB">
      <w:pPr>
        <w:pStyle w:val="ListParagraph"/>
        <w:numPr>
          <w:ilvl w:val="0"/>
          <w:numId w:val="3"/>
        </w:numPr>
        <w:jc w:val="both"/>
      </w:pPr>
      <w:r w:rsidRPr="001740C1">
        <w:rPr>
          <w:lang w:val="en-GB"/>
        </w:rPr>
        <w:t>2 Special Meeting</w:t>
      </w:r>
      <w:r w:rsidR="00413328">
        <w:rPr>
          <w:lang w:val="en-GB"/>
        </w:rPr>
        <w:t>s</w:t>
      </w:r>
      <w:r w:rsidRPr="001740C1">
        <w:rPr>
          <w:lang w:val="en-GB"/>
        </w:rPr>
        <w:t xml:space="preserve"> of the County Council</w:t>
      </w:r>
    </w:p>
    <w:p w14:paraId="5A6911F2" w14:textId="77777777" w:rsidR="001740C1" w:rsidRPr="001740C1" w:rsidRDefault="001740C1" w:rsidP="00A45EAB">
      <w:pPr>
        <w:pStyle w:val="ListParagraph"/>
        <w:numPr>
          <w:ilvl w:val="0"/>
          <w:numId w:val="3"/>
        </w:numPr>
        <w:jc w:val="both"/>
      </w:pPr>
      <w:r w:rsidRPr="001740C1">
        <w:rPr>
          <w:lang w:val="en-GB"/>
        </w:rPr>
        <w:t>1 Annual Budget Meeting</w:t>
      </w:r>
    </w:p>
    <w:p w14:paraId="0BE25732" w14:textId="77777777" w:rsidR="001740C1" w:rsidRPr="001740C1" w:rsidRDefault="001740C1" w:rsidP="00A45EAB">
      <w:pPr>
        <w:pStyle w:val="ListParagraph"/>
        <w:numPr>
          <w:ilvl w:val="0"/>
          <w:numId w:val="3"/>
        </w:numPr>
        <w:jc w:val="both"/>
      </w:pPr>
      <w:r w:rsidRPr="001740C1">
        <w:rPr>
          <w:lang w:val="en-GB"/>
        </w:rPr>
        <w:t>6 Organisation, Procedure and Finance Committee Meetings (including 1 Special Budget Meeting)</w:t>
      </w:r>
    </w:p>
    <w:p w14:paraId="7C12B337" w14:textId="77777777" w:rsidR="001740C1" w:rsidRDefault="001740C1" w:rsidP="00A45EAB">
      <w:pPr>
        <w:pStyle w:val="ListParagraph"/>
        <w:numPr>
          <w:ilvl w:val="0"/>
          <w:numId w:val="3"/>
        </w:numPr>
        <w:jc w:val="both"/>
      </w:pPr>
      <w:r w:rsidRPr="001740C1">
        <w:rPr>
          <w:lang w:val="en-GB"/>
        </w:rPr>
        <w:t>10 Corporate Policy Group meetings</w:t>
      </w:r>
    </w:p>
    <w:p w14:paraId="48596542" w14:textId="0D1F126E" w:rsidR="001740C1" w:rsidRPr="001740C1" w:rsidRDefault="001740C1" w:rsidP="00B60676">
      <w:pPr>
        <w:jc w:val="both"/>
      </w:pPr>
      <w:r w:rsidRPr="001740C1">
        <w:rPr>
          <w:lang w:val="en-GB"/>
        </w:rPr>
        <w:t>The four Area Committees met:</w:t>
      </w:r>
    </w:p>
    <w:p w14:paraId="288E7B08" w14:textId="77777777" w:rsidR="001740C1" w:rsidRPr="001740C1" w:rsidRDefault="001740C1" w:rsidP="00A45EAB">
      <w:pPr>
        <w:pStyle w:val="ListParagraph"/>
        <w:numPr>
          <w:ilvl w:val="0"/>
          <w:numId w:val="2"/>
        </w:numPr>
        <w:jc w:val="both"/>
      </w:pPr>
      <w:r w:rsidRPr="001740C1">
        <w:rPr>
          <w:lang w:val="en-GB"/>
        </w:rPr>
        <w:t>8 Rathfarnham/Templeogue/Firhouse-Bohernabreena meetings</w:t>
      </w:r>
    </w:p>
    <w:p w14:paraId="7D12A484" w14:textId="77777777" w:rsidR="001740C1" w:rsidRPr="001740C1" w:rsidRDefault="001740C1" w:rsidP="00A45EAB">
      <w:pPr>
        <w:pStyle w:val="ListParagraph"/>
        <w:numPr>
          <w:ilvl w:val="0"/>
          <w:numId w:val="2"/>
        </w:numPr>
        <w:jc w:val="both"/>
      </w:pPr>
      <w:r w:rsidRPr="001740C1">
        <w:rPr>
          <w:lang w:val="en-GB"/>
        </w:rPr>
        <w:t xml:space="preserve">8 Clondalkin, Newcastle, Rathcoole, </w:t>
      </w:r>
      <w:proofErr w:type="spellStart"/>
      <w:r w:rsidRPr="001740C1">
        <w:rPr>
          <w:lang w:val="en-GB"/>
        </w:rPr>
        <w:t>Saggart</w:t>
      </w:r>
      <w:proofErr w:type="spellEnd"/>
      <w:r w:rsidRPr="001740C1">
        <w:rPr>
          <w:lang w:val="en-GB"/>
        </w:rPr>
        <w:t>/Brittas meetings</w:t>
      </w:r>
    </w:p>
    <w:p w14:paraId="4F3E4826" w14:textId="77777777" w:rsidR="001740C1" w:rsidRPr="001740C1" w:rsidRDefault="001740C1" w:rsidP="00A45EAB">
      <w:pPr>
        <w:pStyle w:val="ListParagraph"/>
        <w:numPr>
          <w:ilvl w:val="0"/>
          <w:numId w:val="2"/>
        </w:numPr>
        <w:jc w:val="both"/>
      </w:pPr>
      <w:r w:rsidRPr="001740C1">
        <w:rPr>
          <w:lang w:val="en-GB"/>
        </w:rPr>
        <w:t xml:space="preserve">8 Lucan/Palmerstown/North Clondalkin meetings </w:t>
      </w:r>
    </w:p>
    <w:p w14:paraId="2362BEBC" w14:textId="77777777" w:rsidR="001740C1" w:rsidRPr="001740C1" w:rsidRDefault="001740C1" w:rsidP="00A45EAB">
      <w:pPr>
        <w:pStyle w:val="ListParagraph"/>
        <w:numPr>
          <w:ilvl w:val="0"/>
          <w:numId w:val="2"/>
        </w:numPr>
        <w:jc w:val="both"/>
      </w:pPr>
      <w:r w:rsidRPr="001740C1">
        <w:rPr>
          <w:lang w:val="en-GB"/>
        </w:rPr>
        <w:t>8 Tallaght Area Committee meetings</w:t>
      </w:r>
    </w:p>
    <w:p w14:paraId="1E3BFF7A" w14:textId="77777777" w:rsidR="001740C1" w:rsidRPr="001740C1" w:rsidRDefault="001740C1" w:rsidP="00B60676">
      <w:pPr>
        <w:jc w:val="both"/>
      </w:pPr>
      <w:r w:rsidRPr="001740C1">
        <w:rPr>
          <w:lang w:val="en-GB"/>
        </w:rPr>
        <w:t>In addition, there were:</w:t>
      </w:r>
    </w:p>
    <w:p w14:paraId="7EC4A23D" w14:textId="77777777" w:rsidR="001740C1" w:rsidRPr="001740C1" w:rsidRDefault="001740C1" w:rsidP="00A45EAB">
      <w:pPr>
        <w:pStyle w:val="ListParagraph"/>
        <w:numPr>
          <w:ilvl w:val="0"/>
          <w:numId w:val="4"/>
        </w:numPr>
        <w:jc w:val="both"/>
      </w:pPr>
      <w:r w:rsidRPr="001740C1">
        <w:rPr>
          <w:lang w:val="en-GB"/>
        </w:rPr>
        <w:t>18 meetings across the six Strategic Policy Committees</w:t>
      </w:r>
    </w:p>
    <w:p w14:paraId="589103D5" w14:textId="77777777" w:rsidR="001740C1" w:rsidRPr="001740C1" w:rsidRDefault="001740C1" w:rsidP="00A45EAB">
      <w:pPr>
        <w:pStyle w:val="ListParagraph"/>
        <w:numPr>
          <w:ilvl w:val="0"/>
          <w:numId w:val="4"/>
        </w:numPr>
        <w:jc w:val="both"/>
      </w:pPr>
      <w:r w:rsidRPr="001740C1">
        <w:rPr>
          <w:lang w:val="en-GB"/>
        </w:rPr>
        <w:t>2 meetings of the Joint Policing Committee</w:t>
      </w:r>
    </w:p>
    <w:p w14:paraId="4E4CDE04" w14:textId="4ADA48BE" w:rsidR="001740C1" w:rsidRPr="001740C1" w:rsidRDefault="00C70A95" w:rsidP="00A45EAB">
      <w:pPr>
        <w:pStyle w:val="ListParagraph"/>
        <w:numPr>
          <w:ilvl w:val="0"/>
          <w:numId w:val="4"/>
        </w:numPr>
        <w:jc w:val="both"/>
      </w:pPr>
      <w:r>
        <w:rPr>
          <w:lang w:val="en-GB"/>
        </w:rPr>
        <w:t>3</w:t>
      </w:r>
      <w:r w:rsidR="001740C1" w:rsidRPr="001740C1">
        <w:rPr>
          <w:lang w:val="en-GB"/>
        </w:rPr>
        <w:t xml:space="preserve"> Audit Committee Meetings</w:t>
      </w:r>
    </w:p>
    <w:p w14:paraId="4BE7BC0B" w14:textId="77777777" w:rsidR="003103D3" w:rsidRDefault="003103D3" w:rsidP="00B60676">
      <w:pPr>
        <w:jc w:val="both"/>
      </w:pPr>
    </w:p>
    <w:p w14:paraId="12A0FE89" w14:textId="77777777" w:rsidR="003103D3" w:rsidRPr="003103D3" w:rsidRDefault="003103D3" w:rsidP="00B60676">
      <w:pPr>
        <w:jc w:val="both"/>
        <w:rPr>
          <w:b/>
          <w:bCs/>
        </w:rPr>
      </w:pPr>
      <w:r w:rsidRPr="003103D3">
        <w:rPr>
          <w:b/>
          <w:bCs/>
        </w:rPr>
        <w:t>Retirements</w:t>
      </w:r>
    </w:p>
    <w:p w14:paraId="45518524" w14:textId="0AEAEB53" w:rsidR="003103D3" w:rsidRPr="003103D3" w:rsidRDefault="003103D3" w:rsidP="003103D3">
      <w:pPr>
        <w:jc w:val="both"/>
      </w:pPr>
      <w:r w:rsidRPr="003103D3">
        <w:t>After 33 years of service to South Dublin, Councillors Guss O’Connell and Charlie O’Connor announced that they would not seek re-election in the June local elections. Guss O’Connell served as a Councillor from 1991 until 2024 as an Independent. Charlie O’Connor was also elected to the Council in 1991 and was elected to Dáil Éireann in 2022 and re-elected in 2007 before returning to the Council</w:t>
      </w:r>
      <w:r>
        <w:t>.</w:t>
      </w:r>
    </w:p>
    <w:p w14:paraId="4B99F23B" w14:textId="146570B1" w:rsidR="001740C1" w:rsidRDefault="001740C1" w:rsidP="00B60676">
      <w:pPr>
        <w:jc w:val="both"/>
      </w:pPr>
      <w:r>
        <w:br w:type="page"/>
      </w:r>
    </w:p>
    <w:p w14:paraId="4ED3A803" w14:textId="456A7460" w:rsidR="001740C1" w:rsidRDefault="001740C1" w:rsidP="00B60676">
      <w:pPr>
        <w:pStyle w:val="Heading1"/>
        <w:jc w:val="both"/>
      </w:pPr>
      <w:bookmarkStart w:id="11" w:name="_Toc199244553"/>
      <w:r>
        <w:lastRenderedPageBreak/>
        <w:t>Strategic Policy Committee</w:t>
      </w:r>
      <w:r w:rsidR="009C4CE2">
        <w:t>s</w:t>
      </w:r>
      <w:bookmarkEnd w:id="11"/>
    </w:p>
    <w:p w14:paraId="5CC5DBA1" w14:textId="5BC42342" w:rsidR="00871415" w:rsidRPr="00D756D4" w:rsidRDefault="00871415" w:rsidP="003A3352">
      <w:pPr>
        <w:rPr>
          <w:rFonts w:cs="Times New Roman"/>
        </w:rPr>
      </w:pPr>
      <w:r w:rsidRPr="00D756D4">
        <w:rPr>
          <w:rFonts w:cs="Times New Roman"/>
        </w:rPr>
        <w:t xml:space="preserve">One of the statutory functions of the Corporate Policy Group is to make proposals for the allocation of business as between strategic policy committees and for the general co-ordination of such business. Below </w:t>
      </w:r>
      <w:r w:rsidR="00D756D4">
        <w:rPr>
          <w:rFonts w:cs="Times New Roman"/>
        </w:rPr>
        <w:t>is</w:t>
      </w:r>
      <w:r w:rsidRPr="00D756D4">
        <w:rPr>
          <w:rFonts w:cs="Times New Roman"/>
        </w:rPr>
        <w:t xml:space="preserve"> the</w:t>
      </w:r>
      <w:r w:rsidR="00D756D4">
        <w:rPr>
          <w:rFonts w:cs="Times New Roman"/>
        </w:rPr>
        <w:t xml:space="preserve"> membership and the</w:t>
      </w:r>
      <w:r w:rsidRPr="00D756D4">
        <w:rPr>
          <w:rFonts w:cs="Times New Roman"/>
        </w:rPr>
        <w:t xml:space="preserve"> work programmes </w:t>
      </w:r>
      <w:r w:rsidR="00D756D4">
        <w:rPr>
          <w:rFonts w:cs="Times New Roman"/>
        </w:rPr>
        <w:t>and their agreed work plans of each SPC in 2024.</w:t>
      </w:r>
    </w:p>
    <w:p w14:paraId="47BFB53F" w14:textId="77777777" w:rsidR="00871415" w:rsidRDefault="00871415" w:rsidP="003A3352">
      <w:pPr>
        <w:rPr>
          <w:rFonts w:ascii="Verdana" w:hAnsi="Verdana" w:cs="Times New Roman"/>
        </w:rPr>
      </w:pPr>
    </w:p>
    <w:p w14:paraId="20990270" w14:textId="5CA5EB99" w:rsidR="00871415" w:rsidRDefault="005B296A" w:rsidP="003A3352">
      <w:pPr>
        <w:pStyle w:val="Heading2"/>
      </w:pPr>
      <w:bookmarkStart w:id="12" w:name="_Toc195533610"/>
      <w:bookmarkStart w:id="13" w:name="_Toc195533682"/>
      <w:bookmarkStart w:id="14" w:name="_Toc195533959"/>
      <w:bookmarkStart w:id="15" w:name="_Toc195534034"/>
      <w:bookmarkStart w:id="16" w:name="_Toc195534397"/>
      <w:bookmarkStart w:id="17" w:name="_Toc195534598"/>
      <w:bookmarkStart w:id="18" w:name="_Hlk121906078"/>
      <w:bookmarkStart w:id="19" w:name="_Hlk121900462"/>
      <w:bookmarkStart w:id="20" w:name="_Toc199244554"/>
      <w:r w:rsidRPr="00786876">
        <w:t xml:space="preserve">Arts, Culture, </w:t>
      </w:r>
      <w:proofErr w:type="spellStart"/>
      <w:r w:rsidRPr="00786876">
        <w:t>Gaeilge</w:t>
      </w:r>
      <w:proofErr w:type="spellEnd"/>
      <w:r>
        <w:t>,</w:t>
      </w:r>
      <w:r w:rsidRPr="00786876">
        <w:t xml:space="preserve"> Heritage </w:t>
      </w:r>
      <w:r w:rsidR="00A757BF">
        <w:t>a</w:t>
      </w:r>
      <w:r w:rsidRPr="00786876">
        <w:t>nd Libraries S</w:t>
      </w:r>
      <w:r>
        <w:t>PC</w:t>
      </w:r>
      <w:bookmarkEnd w:id="12"/>
      <w:bookmarkEnd w:id="13"/>
      <w:bookmarkEnd w:id="14"/>
      <w:bookmarkEnd w:id="15"/>
      <w:bookmarkEnd w:id="16"/>
      <w:bookmarkEnd w:id="17"/>
      <w:bookmarkEnd w:id="20"/>
    </w:p>
    <w:p w14:paraId="28FF4048" w14:textId="77777777" w:rsidR="00871415" w:rsidRDefault="00871415" w:rsidP="003A3352">
      <w:pPr>
        <w:rPr>
          <w:rFonts w:cstheme="minorHAnsi"/>
        </w:rPr>
      </w:pPr>
      <w:r>
        <w:rPr>
          <w:rFonts w:cstheme="minorHAnsi"/>
        </w:rPr>
        <w:t xml:space="preserve">Pre 2024 Local Election </w:t>
      </w:r>
      <w:r w:rsidRPr="00D457CE">
        <w:rPr>
          <w:rFonts w:cstheme="minorHAnsi"/>
        </w:rPr>
        <w:t xml:space="preserve">Chair: Cllr </w:t>
      </w:r>
      <w:r>
        <w:rPr>
          <w:rFonts w:cstheme="minorHAnsi"/>
        </w:rPr>
        <w:t>Guss O’Connell</w:t>
      </w:r>
    </w:p>
    <w:p w14:paraId="6351C978" w14:textId="77777777" w:rsidR="00871415" w:rsidRPr="00D457CE" w:rsidRDefault="00871415" w:rsidP="003A3352">
      <w:pPr>
        <w:rPr>
          <w:rFonts w:cstheme="minorHAnsi"/>
        </w:rPr>
      </w:pPr>
      <w:r>
        <w:rPr>
          <w:rFonts w:cstheme="minorHAnsi"/>
        </w:rPr>
        <w:t xml:space="preserve">Post 2024 Local Election </w:t>
      </w:r>
      <w:r w:rsidRPr="00D457CE">
        <w:rPr>
          <w:rFonts w:cstheme="minorHAnsi"/>
        </w:rPr>
        <w:t>Chair:</w:t>
      </w:r>
      <w:r>
        <w:rPr>
          <w:rFonts w:cstheme="minorHAnsi"/>
        </w:rPr>
        <w:t xml:space="preserve"> Cllr Louise Dunne</w:t>
      </w:r>
    </w:p>
    <w:p w14:paraId="190AEF0B" w14:textId="77777777" w:rsidR="008654C7" w:rsidRDefault="00871415" w:rsidP="003A3352">
      <w:pPr>
        <w:rPr>
          <w:rFonts w:cstheme="minorHAnsi"/>
        </w:rPr>
      </w:pPr>
      <w:r w:rsidRPr="00D457CE">
        <w:rPr>
          <w:rFonts w:cstheme="minorHAnsi"/>
        </w:rPr>
        <w:t xml:space="preserve">Director: </w:t>
      </w:r>
      <w:r>
        <w:rPr>
          <w:rFonts w:cstheme="minorHAnsi"/>
        </w:rPr>
        <w:t>Jason Frehill</w:t>
      </w:r>
      <w:r w:rsidR="008654C7">
        <w:rPr>
          <w:rFonts w:cstheme="minorHAnsi"/>
        </w:rPr>
        <w:t xml:space="preserve"> </w:t>
      </w:r>
    </w:p>
    <w:p w14:paraId="6C22640C" w14:textId="77777777" w:rsidR="008654C7" w:rsidRDefault="008654C7" w:rsidP="003A3352">
      <w:pPr>
        <w:rPr>
          <w:rFonts w:cstheme="minorHAnsi"/>
        </w:rPr>
      </w:pPr>
    </w:p>
    <w:p w14:paraId="647C452A" w14:textId="187D58E8" w:rsidR="008654C7" w:rsidRPr="006B1FA9" w:rsidRDefault="005B296A" w:rsidP="003A3352">
      <w:pPr>
        <w:rPr>
          <w:rFonts w:cstheme="minorHAnsi"/>
          <w:b/>
          <w:bCs/>
        </w:rPr>
      </w:pPr>
      <w:r w:rsidRPr="003A3352">
        <w:rPr>
          <w:rFonts w:cstheme="minorHAnsi"/>
          <w:b/>
          <w:bCs/>
        </w:rPr>
        <w:t>Membership</w:t>
      </w:r>
      <w:r>
        <w:rPr>
          <w:rFonts w:cstheme="minorHAnsi"/>
          <w:b/>
          <w:bCs/>
        </w:rPr>
        <w:t xml:space="preserve"> </w:t>
      </w:r>
      <w:r w:rsidRPr="005B296A">
        <w:rPr>
          <w:rFonts w:cstheme="minorHAnsi"/>
          <w:b/>
          <w:bCs/>
        </w:rPr>
        <w:t>J</w:t>
      </w:r>
      <w:r w:rsidR="008654C7" w:rsidRPr="006B1FA9">
        <w:rPr>
          <w:rFonts w:cstheme="minorHAnsi"/>
          <w:b/>
          <w:bCs/>
        </w:rPr>
        <w:t>anuary – May 2024</w:t>
      </w:r>
    </w:p>
    <w:p w14:paraId="0E76368D" w14:textId="77777777" w:rsidR="008654C7" w:rsidRPr="006B1FA9" w:rsidRDefault="008654C7" w:rsidP="003A3352">
      <w:pPr>
        <w:rPr>
          <w:rFonts w:eastAsia="Times New Roman" w:cs="Times New Roman"/>
          <w:b/>
          <w:bCs/>
          <w:lang w:eastAsia="en-IE"/>
        </w:rPr>
      </w:pPr>
      <w:r w:rsidRPr="006B1FA9">
        <w:rPr>
          <w:rFonts w:eastAsia="Times New Roman" w:cs="Times New Roman"/>
          <w:b/>
          <w:bCs/>
          <w:lang w:eastAsia="en-IE"/>
        </w:rPr>
        <w:t xml:space="preserve">Council Members </w:t>
      </w:r>
    </w:p>
    <w:p w14:paraId="68177B9D" w14:textId="09CD5801" w:rsidR="008654C7" w:rsidRDefault="008654C7" w:rsidP="003A3352">
      <w:r>
        <w:t>Guss O’Connell (Independent) (Chair)</w:t>
      </w:r>
    </w:p>
    <w:p w14:paraId="67EE1F4F" w14:textId="77777777" w:rsidR="008654C7" w:rsidRDefault="008654C7" w:rsidP="003A3352">
      <w:r>
        <w:t>Mick Duff (Independent)</w:t>
      </w:r>
    </w:p>
    <w:p w14:paraId="3533FB68" w14:textId="77777777" w:rsidR="008654C7" w:rsidRDefault="008654C7" w:rsidP="003A3352">
      <w:r>
        <w:t>Kenneth Egan (Fine Gael)</w:t>
      </w:r>
    </w:p>
    <w:p w14:paraId="2640993A" w14:textId="25B5C2C8" w:rsidR="008654C7" w:rsidRDefault="008654C7" w:rsidP="003A3352">
      <w:r>
        <w:t>Alan Hayes (Independent)</w:t>
      </w:r>
    </w:p>
    <w:p w14:paraId="174314BF" w14:textId="77777777" w:rsidR="008654C7" w:rsidRDefault="008654C7" w:rsidP="003A3352">
      <w:r>
        <w:t>Mark Lynch (Green)</w:t>
      </w:r>
    </w:p>
    <w:p w14:paraId="037FB297" w14:textId="77777777" w:rsidR="008654C7" w:rsidRDefault="008654C7" w:rsidP="003A3352">
      <w:r>
        <w:t>Terea Costello (Fianna Fail)</w:t>
      </w:r>
    </w:p>
    <w:p w14:paraId="54F2FE1B" w14:textId="77777777" w:rsidR="008654C7" w:rsidRPr="00D756D4" w:rsidRDefault="008654C7" w:rsidP="003A3352">
      <w:pPr>
        <w:rPr>
          <w:b/>
          <w:bCs/>
        </w:rPr>
      </w:pPr>
      <w:r w:rsidRPr="00D756D4">
        <w:rPr>
          <w:b/>
          <w:bCs/>
        </w:rPr>
        <w:t>Sectoral Members</w:t>
      </w:r>
    </w:p>
    <w:p w14:paraId="090B34F1" w14:textId="77777777" w:rsidR="008654C7" w:rsidRDefault="008654C7" w:rsidP="003A3352">
      <w:r>
        <w:t>Ms Freda Manweiler – Public Participation Network (PPN)</w:t>
      </w:r>
    </w:p>
    <w:p w14:paraId="0DFAC0F2" w14:textId="77777777" w:rsidR="008654C7" w:rsidRDefault="008654C7" w:rsidP="003A3352">
      <w:r>
        <w:t>Ms Elaine Vince-O’Hara – Education Training Board (ETB)</w:t>
      </w:r>
    </w:p>
    <w:p w14:paraId="67C8AAA6" w14:textId="77777777" w:rsidR="008654C7" w:rsidRDefault="008654C7" w:rsidP="003A3352"/>
    <w:p w14:paraId="18479EFD" w14:textId="61EA4907" w:rsidR="008654C7" w:rsidRPr="006B1FA9" w:rsidRDefault="005B296A" w:rsidP="003A3352">
      <w:pPr>
        <w:rPr>
          <w:rFonts w:cstheme="minorHAnsi"/>
          <w:b/>
          <w:bCs/>
        </w:rPr>
      </w:pPr>
      <w:r w:rsidRPr="003A3352">
        <w:rPr>
          <w:rFonts w:cstheme="minorHAnsi"/>
          <w:b/>
          <w:bCs/>
        </w:rPr>
        <w:t>Membership</w:t>
      </w:r>
      <w:r w:rsidRPr="00403213">
        <w:rPr>
          <w:u w:val="single"/>
        </w:rPr>
        <w:t xml:space="preserve"> </w:t>
      </w:r>
      <w:r w:rsidR="008654C7" w:rsidRPr="006B1FA9">
        <w:rPr>
          <w:rFonts w:cstheme="minorHAnsi"/>
          <w:b/>
          <w:bCs/>
        </w:rPr>
        <w:t>June 2024 – December 2024</w:t>
      </w:r>
    </w:p>
    <w:p w14:paraId="0EAB0CFB" w14:textId="77777777" w:rsidR="008654C7" w:rsidRPr="003A3352" w:rsidRDefault="008654C7" w:rsidP="003A3352">
      <w:pPr>
        <w:rPr>
          <w:rFonts w:eastAsia="Times New Roman" w:cs="Times New Roman"/>
          <w:b/>
          <w:bCs/>
          <w:lang w:eastAsia="en-IE"/>
        </w:rPr>
      </w:pPr>
      <w:r w:rsidRPr="003A3352">
        <w:rPr>
          <w:rFonts w:eastAsia="Times New Roman" w:cs="Times New Roman"/>
          <w:b/>
          <w:bCs/>
          <w:lang w:eastAsia="en-IE"/>
        </w:rPr>
        <w:t xml:space="preserve">Council Members </w:t>
      </w:r>
    </w:p>
    <w:p w14:paraId="531DAE15" w14:textId="48FE30C6" w:rsidR="008654C7" w:rsidRDefault="008654C7" w:rsidP="003A3352">
      <w:r>
        <w:t>Louise Dunne (Sinn Fein) (Chair)</w:t>
      </w:r>
    </w:p>
    <w:p w14:paraId="34AC3E9C" w14:textId="5AA1E5A8" w:rsidR="008654C7" w:rsidRDefault="008654C7" w:rsidP="003A3352">
      <w:r>
        <w:t>Darragh Adelaide (People Before Profit)</w:t>
      </w:r>
    </w:p>
    <w:p w14:paraId="4EEABE7D" w14:textId="77777777" w:rsidR="008654C7" w:rsidRDefault="008654C7" w:rsidP="003A3352">
      <w:r>
        <w:t>Sarah Barnes (Fine Gael)</w:t>
      </w:r>
    </w:p>
    <w:p w14:paraId="1E9A96C1" w14:textId="77777777" w:rsidR="008654C7" w:rsidRDefault="008654C7" w:rsidP="003A3352">
      <w:r>
        <w:lastRenderedPageBreak/>
        <w:t>Dean Donnelly (Independent)</w:t>
      </w:r>
    </w:p>
    <w:p w14:paraId="2B963FAF" w14:textId="77777777" w:rsidR="008654C7" w:rsidRDefault="008654C7" w:rsidP="003A3352">
      <w:r>
        <w:t>Glen Moore (Irish Freedom Party)</w:t>
      </w:r>
    </w:p>
    <w:p w14:paraId="3E15E0AF" w14:textId="2BA094DB" w:rsidR="008654C7" w:rsidRDefault="008654C7" w:rsidP="003A3352">
      <w:r>
        <w:t xml:space="preserve">Eoin Ó Broin </w:t>
      </w:r>
      <w:r w:rsidR="00D756D4">
        <w:t>(</w:t>
      </w:r>
      <w:r>
        <w:t>Social Democrats)</w:t>
      </w:r>
    </w:p>
    <w:p w14:paraId="4B5153CF" w14:textId="77777777" w:rsidR="008654C7" w:rsidRPr="003A3352" w:rsidRDefault="008654C7" w:rsidP="003A3352">
      <w:pPr>
        <w:rPr>
          <w:b/>
          <w:bCs/>
        </w:rPr>
      </w:pPr>
      <w:r w:rsidRPr="003A3352">
        <w:rPr>
          <w:b/>
          <w:bCs/>
        </w:rPr>
        <w:t>Sectoral Members</w:t>
      </w:r>
    </w:p>
    <w:p w14:paraId="0A0900DF" w14:textId="77777777" w:rsidR="008654C7" w:rsidRDefault="008654C7" w:rsidP="003A3352">
      <w:r>
        <w:t>Emma Kennedy – Business Commercial</w:t>
      </w:r>
    </w:p>
    <w:p w14:paraId="1673283B" w14:textId="77777777" w:rsidR="008654C7" w:rsidRDefault="008654C7" w:rsidP="003A3352">
      <w:r>
        <w:t>Noel Gavin - Public Participation Network (PPN)</w:t>
      </w:r>
    </w:p>
    <w:p w14:paraId="5ADB2245" w14:textId="77777777" w:rsidR="008654C7" w:rsidRDefault="008654C7" w:rsidP="003A3352">
      <w:r>
        <w:t>Yemi Ojo - Public Participation Network (PPN)</w:t>
      </w:r>
    </w:p>
    <w:p w14:paraId="6F3C3AD8" w14:textId="77777777" w:rsidR="008654C7" w:rsidRDefault="008654C7" w:rsidP="003A3352"/>
    <w:p w14:paraId="5F5665CB" w14:textId="3A27C9F3" w:rsidR="00871415" w:rsidRPr="003A3352" w:rsidRDefault="009C4CE2" w:rsidP="003A3352">
      <w:pPr>
        <w:rPr>
          <w:rFonts w:cstheme="minorHAnsi"/>
          <w:b/>
          <w:bCs/>
        </w:rPr>
      </w:pPr>
      <w:r>
        <w:rPr>
          <w:rFonts w:cstheme="minorHAnsi"/>
          <w:b/>
          <w:bCs/>
        </w:rPr>
        <w:t xml:space="preserve">2024 </w:t>
      </w:r>
      <w:r w:rsidR="008654C7" w:rsidRPr="003A3352">
        <w:rPr>
          <w:rFonts w:cstheme="minorHAnsi"/>
          <w:b/>
          <w:bCs/>
        </w:rPr>
        <w:t>P</w:t>
      </w:r>
      <w:r>
        <w:rPr>
          <w:rFonts w:cstheme="minorHAnsi"/>
          <w:b/>
          <w:bCs/>
        </w:rPr>
        <w:t>ROGAMME OF WORK</w:t>
      </w:r>
    </w:p>
    <w:bookmarkEnd w:id="18"/>
    <w:bookmarkEnd w:id="19"/>
    <w:p w14:paraId="108BFFCE" w14:textId="77777777" w:rsidR="00871415" w:rsidRPr="006B1FA9" w:rsidRDefault="00871415" w:rsidP="006B1FA9">
      <w:pPr>
        <w:pStyle w:val="ListParagraph"/>
        <w:numPr>
          <w:ilvl w:val="0"/>
          <w:numId w:val="19"/>
        </w:numPr>
        <w:rPr>
          <w:rFonts w:eastAsia="Times New Roman"/>
        </w:rPr>
      </w:pPr>
      <w:r w:rsidRPr="006B1FA9">
        <w:rPr>
          <w:rFonts w:eastAsia="Times New Roman"/>
        </w:rPr>
        <w:t>Implementation of the Library Development Plan</w:t>
      </w:r>
    </w:p>
    <w:p w14:paraId="65E13A41" w14:textId="77777777" w:rsidR="00871415" w:rsidRPr="006B1FA9" w:rsidRDefault="00871415" w:rsidP="006B1FA9">
      <w:pPr>
        <w:pStyle w:val="ListParagraph"/>
        <w:numPr>
          <w:ilvl w:val="0"/>
          <w:numId w:val="19"/>
        </w:numPr>
        <w:rPr>
          <w:rFonts w:eastAsia="Times New Roman"/>
        </w:rPr>
      </w:pPr>
      <w:r w:rsidRPr="006B1FA9">
        <w:rPr>
          <w:rFonts w:eastAsia="Times New Roman"/>
        </w:rPr>
        <w:t xml:space="preserve">Adamstown and Dublin West Libraries - </w:t>
      </w:r>
      <w:proofErr w:type="gramStart"/>
      <w:r w:rsidRPr="006B1FA9">
        <w:rPr>
          <w:rFonts w:eastAsia="Times New Roman" w:cstheme="minorHAnsi"/>
        </w:rPr>
        <w:t>Future plans</w:t>
      </w:r>
      <w:proofErr w:type="gramEnd"/>
      <w:r w:rsidRPr="006B1FA9">
        <w:rPr>
          <w:rFonts w:eastAsia="Times New Roman" w:cstheme="minorHAnsi"/>
        </w:rPr>
        <w:t xml:space="preserve"> and project updates</w:t>
      </w:r>
    </w:p>
    <w:p w14:paraId="0C84C734" w14:textId="77777777" w:rsidR="00871415" w:rsidRPr="006B1FA9" w:rsidRDefault="00871415" w:rsidP="006B1FA9">
      <w:pPr>
        <w:pStyle w:val="ListParagraph"/>
        <w:numPr>
          <w:ilvl w:val="0"/>
          <w:numId w:val="19"/>
        </w:numPr>
        <w:rPr>
          <w:rFonts w:eastAsia="Times New Roman"/>
        </w:rPr>
      </w:pPr>
      <w:r w:rsidRPr="006B1FA9">
        <w:rPr>
          <w:rFonts w:eastAsia="Times New Roman"/>
        </w:rPr>
        <w:t xml:space="preserve">Role of Creative Ireland, </w:t>
      </w:r>
      <w:proofErr w:type="spellStart"/>
      <w:r w:rsidRPr="006B1FA9">
        <w:rPr>
          <w:rFonts w:eastAsia="Times New Roman"/>
        </w:rPr>
        <w:t>Crinnu</w:t>
      </w:r>
      <w:proofErr w:type="spellEnd"/>
      <w:r w:rsidRPr="006B1FA9">
        <w:rPr>
          <w:rFonts w:eastAsia="Times New Roman"/>
        </w:rPr>
        <w:t xml:space="preserve"> </w:t>
      </w:r>
      <w:proofErr w:type="spellStart"/>
      <w:r w:rsidRPr="006B1FA9">
        <w:rPr>
          <w:rFonts w:eastAsia="Times New Roman"/>
        </w:rPr>
        <w:t>na</w:t>
      </w:r>
      <w:proofErr w:type="spellEnd"/>
      <w:r w:rsidRPr="006B1FA9">
        <w:rPr>
          <w:rFonts w:eastAsia="Times New Roman"/>
        </w:rPr>
        <w:t xml:space="preserve"> </w:t>
      </w:r>
      <w:proofErr w:type="spellStart"/>
      <w:r w:rsidRPr="006B1FA9">
        <w:rPr>
          <w:rFonts w:eastAsia="Times New Roman"/>
        </w:rPr>
        <w:t>Nog</w:t>
      </w:r>
      <w:proofErr w:type="spellEnd"/>
      <w:r w:rsidRPr="006B1FA9">
        <w:rPr>
          <w:rFonts w:eastAsia="Times New Roman"/>
        </w:rPr>
        <w:t>, Music Generation etc in the development of arts and culture in the County</w:t>
      </w:r>
    </w:p>
    <w:p w14:paraId="5CDAC578" w14:textId="77777777" w:rsidR="00871415" w:rsidRPr="006B1FA9" w:rsidRDefault="00871415" w:rsidP="006B1FA9">
      <w:pPr>
        <w:pStyle w:val="ListParagraph"/>
        <w:numPr>
          <w:ilvl w:val="0"/>
          <w:numId w:val="19"/>
        </w:numPr>
        <w:rPr>
          <w:rFonts w:eastAsia="Times New Roman"/>
        </w:rPr>
      </w:pPr>
      <w:r w:rsidRPr="006B1FA9">
        <w:rPr>
          <w:rFonts w:eastAsia="Times New Roman"/>
        </w:rPr>
        <w:t>Public Art Steering Committee Reports and Updates</w:t>
      </w:r>
    </w:p>
    <w:p w14:paraId="4FD6738B" w14:textId="77777777" w:rsidR="00871415" w:rsidRPr="006B1FA9" w:rsidRDefault="00871415" w:rsidP="006B1FA9">
      <w:pPr>
        <w:pStyle w:val="ListParagraph"/>
        <w:numPr>
          <w:ilvl w:val="0"/>
          <w:numId w:val="19"/>
        </w:numPr>
        <w:rPr>
          <w:rFonts w:eastAsia="Times New Roman"/>
        </w:rPr>
      </w:pPr>
      <w:r w:rsidRPr="006B1FA9">
        <w:rPr>
          <w:rFonts w:eastAsia="Times New Roman" w:cstheme="minorHAnsi"/>
        </w:rPr>
        <w:t>Development and promotion of Tallaght Cultural Quarter</w:t>
      </w:r>
    </w:p>
    <w:p w14:paraId="711B8B5D" w14:textId="77777777" w:rsidR="00871415" w:rsidRPr="006B1FA9" w:rsidRDefault="00871415" w:rsidP="006B1FA9">
      <w:pPr>
        <w:pStyle w:val="ListParagraph"/>
        <w:numPr>
          <w:ilvl w:val="0"/>
          <w:numId w:val="19"/>
        </w:numPr>
        <w:rPr>
          <w:rFonts w:eastAsia="Times New Roman"/>
        </w:rPr>
      </w:pPr>
      <w:r w:rsidRPr="006B1FA9">
        <w:rPr>
          <w:rFonts w:eastAsia="Times New Roman"/>
        </w:rPr>
        <w:t>Support the role and development of Rua Red and the Civic</w:t>
      </w:r>
    </w:p>
    <w:p w14:paraId="48BE4FE4" w14:textId="77777777" w:rsidR="00871415" w:rsidRPr="006B1FA9" w:rsidRDefault="00871415" w:rsidP="006B1FA9">
      <w:pPr>
        <w:pStyle w:val="ListParagraph"/>
        <w:numPr>
          <w:ilvl w:val="0"/>
          <w:numId w:val="19"/>
        </w:numPr>
        <w:rPr>
          <w:rFonts w:eastAsia="Times New Roman"/>
        </w:rPr>
      </w:pPr>
      <w:r w:rsidRPr="006B1FA9">
        <w:rPr>
          <w:rFonts w:eastAsia="Times New Roman"/>
        </w:rPr>
        <w:t xml:space="preserve">Tallaght Heritage Centre - </w:t>
      </w:r>
      <w:proofErr w:type="gramStart"/>
      <w:r w:rsidRPr="006B1FA9">
        <w:rPr>
          <w:rFonts w:eastAsia="Times New Roman" w:cstheme="minorHAnsi"/>
        </w:rPr>
        <w:t>Future plans</w:t>
      </w:r>
      <w:proofErr w:type="gramEnd"/>
      <w:r w:rsidRPr="006B1FA9">
        <w:rPr>
          <w:rFonts w:eastAsia="Times New Roman" w:cstheme="minorHAnsi"/>
        </w:rPr>
        <w:t xml:space="preserve"> and project updates</w:t>
      </w:r>
    </w:p>
    <w:p w14:paraId="480BC741" w14:textId="77777777" w:rsidR="00871415" w:rsidRPr="006B1FA9" w:rsidRDefault="00871415" w:rsidP="006B1FA9">
      <w:pPr>
        <w:pStyle w:val="ListParagraph"/>
        <w:numPr>
          <w:ilvl w:val="0"/>
          <w:numId w:val="19"/>
        </w:numPr>
        <w:rPr>
          <w:rFonts w:eastAsia="Times New Roman"/>
        </w:rPr>
      </w:pPr>
      <w:r w:rsidRPr="006B1FA9">
        <w:rPr>
          <w:rFonts w:eastAsia="Times New Roman"/>
        </w:rPr>
        <w:t>Implementation of the County Heritage Plan or any successive (succeeding) Plan</w:t>
      </w:r>
    </w:p>
    <w:p w14:paraId="06E7D1E6" w14:textId="77777777" w:rsidR="00871415" w:rsidRPr="006B1FA9" w:rsidRDefault="00871415" w:rsidP="006B1FA9">
      <w:pPr>
        <w:pStyle w:val="ListParagraph"/>
        <w:numPr>
          <w:ilvl w:val="0"/>
          <w:numId w:val="19"/>
        </w:numPr>
        <w:rPr>
          <w:rFonts w:eastAsia="Times New Roman"/>
        </w:rPr>
      </w:pPr>
      <w:proofErr w:type="spellStart"/>
      <w:r w:rsidRPr="006B1FA9">
        <w:rPr>
          <w:rFonts w:eastAsia="Times New Roman"/>
        </w:rPr>
        <w:t>Gaeilge</w:t>
      </w:r>
      <w:proofErr w:type="spellEnd"/>
      <w:r w:rsidRPr="006B1FA9">
        <w:rPr>
          <w:rFonts w:eastAsia="Times New Roman"/>
        </w:rPr>
        <w:t xml:space="preserve"> sub-committee </w:t>
      </w:r>
    </w:p>
    <w:p w14:paraId="066C0A66" w14:textId="77777777" w:rsidR="00871415" w:rsidRPr="006B1FA9" w:rsidRDefault="00871415" w:rsidP="006B1FA9">
      <w:pPr>
        <w:pStyle w:val="ListParagraph"/>
        <w:numPr>
          <w:ilvl w:val="0"/>
          <w:numId w:val="19"/>
        </w:numPr>
        <w:rPr>
          <w:rFonts w:eastAsia="Times New Roman"/>
        </w:rPr>
      </w:pPr>
      <w:r w:rsidRPr="006B1FA9">
        <w:rPr>
          <w:rFonts w:eastAsia="Times New Roman"/>
        </w:rPr>
        <w:t xml:space="preserve">Implementation of </w:t>
      </w:r>
      <w:proofErr w:type="spellStart"/>
      <w:r w:rsidRPr="006B1FA9">
        <w:rPr>
          <w:rFonts w:eastAsia="Times New Roman"/>
        </w:rPr>
        <w:t>ReFrame</w:t>
      </w:r>
      <w:proofErr w:type="spellEnd"/>
      <w:r w:rsidRPr="006B1FA9">
        <w:rPr>
          <w:rFonts w:eastAsia="Times New Roman"/>
        </w:rPr>
        <w:t xml:space="preserve"> Arts Development Strategy 2022 - 2026</w:t>
      </w:r>
    </w:p>
    <w:p w14:paraId="79D7941D" w14:textId="77777777" w:rsidR="00871415" w:rsidRPr="006B1FA9" w:rsidRDefault="00871415" w:rsidP="006B1FA9">
      <w:pPr>
        <w:pStyle w:val="ListParagraph"/>
        <w:numPr>
          <w:ilvl w:val="0"/>
          <w:numId w:val="19"/>
        </w:numPr>
        <w:rPr>
          <w:rFonts w:eastAsia="Times New Roman"/>
        </w:rPr>
      </w:pPr>
      <w:r w:rsidRPr="006B1FA9">
        <w:rPr>
          <w:rFonts w:eastAsia="Times New Roman"/>
        </w:rPr>
        <w:t>Joint meetings/workshops with other SPCs in crosscutting themes.</w:t>
      </w:r>
    </w:p>
    <w:p w14:paraId="3F66EEEE" w14:textId="77777777" w:rsidR="00871415" w:rsidRPr="0070319F" w:rsidRDefault="00871415" w:rsidP="003A3352">
      <w:pPr>
        <w:rPr>
          <w:rFonts w:cstheme="minorHAnsi"/>
        </w:rPr>
      </w:pPr>
    </w:p>
    <w:p w14:paraId="6AE8E7F1" w14:textId="1F65150F" w:rsidR="00871415" w:rsidRPr="00786876" w:rsidRDefault="00871415" w:rsidP="003A3352">
      <w:pPr>
        <w:pStyle w:val="Heading2"/>
      </w:pPr>
      <w:bookmarkStart w:id="21" w:name="_Toc195533611"/>
      <w:bookmarkStart w:id="22" w:name="_Toc195533683"/>
      <w:bookmarkStart w:id="23" w:name="_Toc195533960"/>
      <w:bookmarkStart w:id="24" w:name="_Toc195534035"/>
      <w:bookmarkStart w:id="25" w:name="_Toc195534398"/>
      <w:bookmarkStart w:id="26" w:name="_Toc195534599"/>
      <w:bookmarkStart w:id="27" w:name="_Toc199244555"/>
      <w:r w:rsidRPr="00786876">
        <w:t>E</w:t>
      </w:r>
      <w:r w:rsidR="00A757BF">
        <w:t>conomic, Enterprise, and Tourism Development</w:t>
      </w:r>
      <w:r w:rsidR="00A757BF" w:rsidRPr="00786876">
        <w:t xml:space="preserve"> </w:t>
      </w:r>
      <w:r w:rsidRPr="00786876">
        <w:t>SPC</w:t>
      </w:r>
      <w:bookmarkEnd w:id="21"/>
      <w:bookmarkEnd w:id="22"/>
      <w:bookmarkEnd w:id="23"/>
      <w:bookmarkEnd w:id="24"/>
      <w:bookmarkEnd w:id="25"/>
      <w:bookmarkEnd w:id="26"/>
      <w:bookmarkEnd w:id="27"/>
      <w:r w:rsidRPr="00786876">
        <w:t xml:space="preserve"> </w:t>
      </w:r>
    </w:p>
    <w:p w14:paraId="0416ED55" w14:textId="77777777" w:rsidR="00871415" w:rsidRDefault="00871415" w:rsidP="003A3352">
      <w:pPr>
        <w:rPr>
          <w:rFonts w:cstheme="minorHAnsi"/>
        </w:rPr>
      </w:pPr>
      <w:r>
        <w:rPr>
          <w:rFonts w:cstheme="minorHAnsi"/>
        </w:rPr>
        <w:t xml:space="preserve">Pre 2024 Local Election </w:t>
      </w:r>
      <w:r w:rsidRPr="00D457CE">
        <w:rPr>
          <w:rFonts w:cstheme="minorHAnsi"/>
        </w:rPr>
        <w:t>Chair: Cllr Cathal King</w:t>
      </w:r>
    </w:p>
    <w:p w14:paraId="7E9B9531" w14:textId="77777777" w:rsidR="00871415" w:rsidRPr="00D457CE" w:rsidRDefault="00871415" w:rsidP="003A3352">
      <w:pPr>
        <w:rPr>
          <w:rFonts w:cstheme="minorHAnsi"/>
        </w:rPr>
      </w:pPr>
      <w:r>
        <w:rPr>
          <w:rFonts w:cstheme="minorHAnsi"/>
        </w:rPr>
        <w:t xml:space="preserve">Post 2024 Local Election </w:t>
      </w:r>
      <w:r w:rsidRPr="00D457CE">
        <w:rPr>
          <w:rFonts w:cstheme="minorHAnsi"/>
        </w:rPr>
        <w:t>Chair:</w:t>
      </w:r>
      <w:r>
        <w:rPr>
          <w:rFonts w:cstheme="minorHAnsi"/>
        </w:rPr>
        <w:t xml:space="preserve"> Cllr Vicki Casserly</w:t>
      </w:r>
    </w:p>
    <w:p w14:paraId="31B7654C" w14:textId="77777777" w:rsidR="00871415" w:rsidRDefault="00871415" w:rsidP="003A3352">
      <w:pPr>
        <w:rPr>
          <w:rFonts w:cstheme="minorHAnsi"/>
        </w:rPr>
      </w:pPr>
      <w:r w:rsidRPr="00D457CE">
        <w:rPr>
          <w:rFonts w:cstheme="minorHAnsi"/>
        </w:rPr>
        <w:t xml:space="preserve">Director: </w:t>
      </w:r>
      <w:r>
        <w:rPr>
          <w:rFonts w:cstheme="minorHAnsi"/>
        </w:rPr>
        <w:t>Jason Frehill</w:t>
      </w:r>
    </w:p>
    <w:p w14:paraId="2624F991" w14:textId="77777777" w:rsidR="008654C7" w:rsidRDefault="008654C7" w:rsidP="003A3352">
      <w:pPr>
        <w:rPr>
          <w:rFonts w:cstheme="minorHAnsi"/>
        </w:rPr>
      </w:pPr>
    </w:p>
    <w:p w14:paraId="38158E01" w14:textId="77777777" w:rsidR="005B296A" w:rsidRPr="005A1628" w:rsidRDefault="005B296A" w:rsidP="005B296A">
      <w:pPr>
        <w:rPr>
          <w:rFonts w:cstheme="minorHAnsi"/>
          <w:b/>
          <w:bCs/>
        </w:rPr>
      </w:pPr>
      <w:r w:rsidRPr="003A3352">
        <w:rPr>
          <w:rFonts w:cstheme="minorHAnsi"/>
          <w:b/>
          <w:bCs/>
        </w:rPr>
        <w:t>Membership</w:t>
      </w:r>
      <w:r>
        <w:rPr>
          <w:rFonts w:cstheme="minorHAnsi"/>
          <w:b/>
          <w:bCs/>
        </w:rPr>
        <w:t xml:space="preserve"> </w:t>
      </w:r>
      <w:r w:rsidRPr="005B296A">
        <w:rPr>
          <w:rFonts w:cstheme="minorHAnsi"/>
          <w:b/>
          <w:bCs/>
        </w:rPr>
        <w:t>J</w:t>
      </w:r>
      <w:r w:rsidRPr="005A1628">
        <w:rPr>
          <w:rFonts w:cstheme="minorHAnsi"/>
          <w:b/>
          <w:bCs/>
        </w:rPr>
        <w:t>anuary – May 2024</w:t>
      </w:r>
    </w:p>
    <w:p w14:paraId="2723688F" w14:textId="3481641F" w:rsidR="008654C7" w:rsidRPr="003A3352" w:rsidRDefault="008654C7" w:rsidP="003A3352">
      <w:pPr>
        <w:rPr>
          <w:rFonts w:eastAsia="Times New Roman" w:cs="Times New Roman"/>
          <w:b/>
          <w:bCs/>
          <w:lang w:eastAsia="en-IE"/>
        </w:rPr>
      </w:pPr>
      <w:r w:rsidRPr="003A3352">
        <w:rPr>
          <w:rFonts w:eastAsia="Times New Roman" w:cs="Times New Roman"/>
          <w:b/>
          <w:bCs/>
          <w:lang w:eastAsia="en-IE"/>
        </w:rPr>
        <w:t xml:space="preserve">Council Members </w:t>
      </w:r>
    </w:p>
    <w:p w14:paraId="146EECA6" w14:textId="77777777" w:rsidR="008654C7" w:rsidRPr="00922CBB" w:rsidRDefault="008654C7" w:rsidP="003A3352">
      <w:r w:rsidRPr="00922CBB">
        <w:t>Cathal King (Sinn Féin) </w:t>
      </w:r>
      <w:r>
        <w:t>–(</w:t>
      </w:r>
      <w:r w:rsidRPr="00922CBB">
        <w:t>Chair</w:t>
      </w:r>
      <w:r>
        <w:t>)</w:t>
      </w:r>
    </w:p>
    <w:p w14:paraId="7E7966B4" w14:textId="77777777" w:rsidR="008654C7" w:rsidRPr="00922CBB" w:rsidRDefault="008654C7" w:rsidP="003A3352">
      <w:r w:rsidRPr="00922CBB">
        <w:t>Lynn McCrave (Fine Gael)</w:t>
      </w:r>
    </w:p>
    <w:p w14:paraId="126615C2" w14:textId="77777777" w:rsidR="008654C7" w:rsidRPr="00922CBB" w:rsidRDefault="008654C7" w:rsidP="003A3352">
      <w:r w:rsidRPr="00922CBB">
        <w:lastRenderedPageBreak/>
        <w:t>Ronan McMahon (Independent)</w:t>
      </w:r>
    </w:p>
    <w:p w14:paraId="715D6B72" w14:textId="77777777" w:rsidR="008654C7" w:rsidRPr="00922CBB" w:rsidRDefault="008654C7" w:rsidP="003A3352">
      <w:r w:rsidRPr="00922CBB">
        <w:t>Leah Whelan (Solidarity)</w:t>
      </w:r>
    </w:p>
    <w:p w14:paraId="27EFE88E" w14:textId="77777777" w:rsidR="008654C7" w:rsidRPr="00922CBB" w:rsidRDefault="008654C7" w:rsidP="003A3352">
      <w:r w:rsidRPr="00922CBB">
        <w:t xml:space="preserve">Ed O'Brien (Fianna </w:t>
      </w:r>
      <w:proofErr w:type="spellStart"/>
      <w:r w:rsidRPr="00922CBB">
        <w:t>Fáil</w:t>
      </w:r>
      <w:proofErr w:type="spellEnd"/>
      <w:r w:rsidRPr="00922CBB">
        <w:t>)</w:t>
      </w:r>
    </w:p>
    <w:p w14:paraId="39B9580B" w14:textId="77777777" w:rsidR="008654C7" w:rsidRPr="00922CBB" w:rsidRDefault="008654C7" w:rsidP="003A3352">
      <w:r w:rsidRPr="00922CBB">
        <w:t>Louise Dunne (Sinn Féin)</w:t>
      </w:r>
    </w:p>
    <w:p w14:paraId="16736A47" w14:textId="77777777" w:rsidR="008654C7" w:rsidRPr="00922CBB" w:rsidRDefault="008654C7" w:rsidP="003A3352">
      <w:r w:rsidRPr="00922CBB">
        <w:t>Liona O'Toole (Independent)</w:t>
      </w:r>
    </w:p>
    <w:p w14:paraId="64C0D5D2" w14:textId="77777777" w:rsidR="008654C7" w:rsidRPr="00922CBB" w:rsidRDefault="008654C7" w:rsidP="003A3352">
      <w:r w:rsidRPr="00922CBB">
        <w:t>Pamela Kearns (Labour)</w:t>
      </w:r>
    </w:p>
    <w:p w14:paraId="2FD7F89F" w14:textId="63399E79" w:rsidR="008654C7" w:rsidRPr="003A3352" w:rsidRDefault="008654C7" w:rsidP="003A3352">
      <w:pPr>
        <w:rPr>
          <w:b/>
          <w:bCs/>
        </w:rPr>
      </w:pPr>
      <w:r w:rsidRPr="003A3352">
        <w:rPr>
          <w:b/>
          <w:bCs/>
        </w:rPr>
        <w:t>Sectoral Members</w:t>
      </w:r>
    </w:p>
    <w:p w14:paraId="0B69C036" w14:textId="77777777" w:rsidR="008654C7" w:rsidRPr="00922CBB" w:rsidRDefault="008654C7" w:rsidP="003A3352">
      <w:r w:rsidRPr="00922CBB">
        <w:t>Jack McDonnell - TUD Tallaght</w:t>
      </w:r>
    </w:p>
    <w:p w14:paraId="72FF7FED" w14:textId="77777777" w:rsidR="008654C7" w:rsidRPr="00922CBB" w:rsidRDefault="008654C7" w:rsidP="003A3352">
      <w:r w:rsidRPr="00922CBB">
        <w:t>Mic</w:t>
      </w:r>
      <w:r>
        <w:t>h</w:t>
      </w:r>
      <w:r w:rsidRPr="00922CBB">
        <w:t>ael Noonan - PPN </w:t>
      </w:r>
    </w:p>
    <w:p w14:paraId="4EDB9CA9" w14:textId="77777777" w:rsidR="008654C7" w:rsidRPr="00922CBB" w:rsidRDefault="008654C7" w:rsidP="003A3352">
      <w:r w:rsidRPr="00922CBB">
        <w:t>Sherri Brennan - Business Chamber of Commerce</w:t>
      </w:r>
    </w:p>
    <w:p w14:paraId="5A15D915" w14:textId="77777777" w:rsidR="008654C7" w:rsidRDefault="008654C7" w:rsidP="003A3352"/>
    <w:p w14:paraId="277A5FEA" w14:textId="77777777" w:rsidR="005B296A" w:rsidRPr="005A1628" w:rsidRDefault="005B296A" w:rsidP="005B296A">
      <w:pPr>
        <w:rPr>
          <w:rFonts w:cstheme="minorHAnsi"/>
          <w:b/>
          <w:bCs/>
        </w:rPr>
      </w:pPr>
      <w:r w:rsidRPr="003A3352">
        <w:rPr>
          <w:rFonts w:cstheme="minorHAnsi"/>
          <w:b/>
          <w:bCs/>
        </w:rPr>
        <w:t>Membership</w:t>
      </w:r>
      <w:r w:rsidRPr="00403213">
        <w:rPr>
          <w:u w:val="single"/>
        </w:rPr>
        <w:t xml:space="preserve"> </w:t>
      </w:r>
      <w:r w:rsidRPr="005A1628">
        <w:rPr>
          <w:rFonts w:cstheme="minorHAnsi"/>
          <w:b/>
          <w:bCs/>
        </w:rPr>
        <w:t>June 2024 – December 2024</w:t>
      </w:r>
    </w:p>
    <w:p w14:paraId="4ED01DF2" w14:textId="4BE9CBBB" w:rsidR="008654C7" w:rsidRPr="003A3352" w:rsidRDefault="008654C7" w:rsidP="003A3352">
      <w:pPr>
        <w:rPr>
          <w:rFonts w:eastAsia="Times New Roman" w:cs="Times New Roman"/>
          <w:b/>
          <w:bCs/>
          <w:lang w:eastAsia="en-IE"/>
        </w:rPr>
      </w:pPr>
      <w:r w:rsidRPr="003A3352">
        <w:rPr>
          <w:rFonts w:eastAsia="Times New Roman" w:cs="Times New Roman"/>
          <w:b/>
          <w:bCs/>
          <w:lang w:eastAsia="en-IE"/>
        </w:rPr>
        <w:t xml:space="preserve">Council Members </w:t>
      </w:r>
    </w:p>
    <w:p w14:paraId="21199BBE" w14:textId="77777777" w:rsidR="008654C7" w:rsidRPr="00677919" w:rsidRDefault="008654C7" w:rsidP="003A3352">
      <w:pPr>
        <w:rPr>
          <w:rFonts w:eastAsia="Times New Roman" w:cs="Times New Roman"/>
          <w:lang w:eastAsia="en-IE"/>
        </w:rPr>
      </w:pPr>
      <w:r w:rsidRPr="00677919">
        <w:rPr>
          <w:rFonts w:eastAsia="Times New Roman" w:cs="Times New Roman"/>
          <w:lang w:eastAsia="en-IE"/>
        </w:rPr>
        <w:t>Vicki Casserly</w:t>
      </w:r>
      <w:r>
        <w:rPr>
          <w:rFonts w:eastAsia="Times New Roman" w:cs="Times New Roman"/>
          <w:lang w:eastAsia="en-IE"/>
        </w:rPr>
        <w:t xml:space="preserve"> (Fine Gael)</w:t>
      </w:r>
      <w:r w:rsidRPr="00677919">
        <w:rPr>
          <w:rFonts w:eastAsia="Times New Roman" w:cs="Times New Roman"/>
          <w:lang w:eastAsia="en-IE"/>
        </w:rPr>
        <w:t xml:space="preserve"> (Chair)</w:t>
      </w:r>
    </w:p>
    <w:p w14:paraId="6E788D2E" w14:textId="6FC37B77" w:rsidR="008654C7" w:rsidRPr="00677919" w:rsidRDefault="008654C7" w:rsidP="003A3352">
      <w:pPr>
        <w:rPr>
          <w:rFonts w:eastAsia="Times New Roman" w:cs="Times New Roman"/>
          <w:lang w:eastAsia="en-IE"/>
        </w:rPr>
      </w:pPr>
      <w:r w:rsidRPr="00677919">
        <w:rPr>
          <w:rFonts w:eastAsia="Times New Roman" w:cs="Times New Roman"/>
          <w:lang w:eastAsia="en-IE"/>
        </w:rPr>
        <w:t>Shane Moynihan (Fianna Fail)</w:t>
      </w:r>
      <w:r w:rsidR="00D756D4">
        <w:rPr>
          <w:rFonts w:eastAsia="Times New Roman" w:cs="Times New Roman"/>
          <w:lang w:eastAsia="en-IE"/>
        </w:rPr>
        <w:t xml:space="preserve"> – Elected to the 34</w:t>
      </w:r>
      <w:r w:rsidR="00D756D4" w:rsidRPr="00273068">
        <w:rPr>
          <w:rFonts w:eastAsia="Times New Roman" w:cs="Times New Roman"/>
          <w:vertAlign w:val="superscript"/>
          <w:lang w:eastAsia="en-IE"/>
        </w:rPr>
        <w:t>th</w:t>
      </w:r>
      <w:r w:rsidR="00273068">
        <w:rPr>
          <w:rFonts w:eastAsia="Times New Roman" w:cs="Times New Roman"/>
          <w:lang w:eastAsia="en-IE"/>
        </w:rPr>
        <w:t xml:space="preserve"> Dáil on 29</w:t>
      </w:r>
      <w:r w:rsidR="00273068" w:rsidRPr="00273068">
        <w:rPr>
          <w:rFonts w:eastAsia="Times New Roman" w:cs="Times New Roman"/>
          <w:vertAlign w:val="superscript"/>
          <w:lang w:eastAsia="en-IE"/>
        </w:rPr>
        <w:t>th</w:t>
      </w:r>
      <w:r w:rsidR="00273068">
        <w:rPr>
          <w:rFonts w:eastAsia="Times New Roman" w:cs="Times New Roman"/>
          <w:lang w:eastAsia="en-IE"/>
        </w:rPr>
        <w:t xml:space="preserve"> November</w:t>
      </w:r>
    </w:p>
    <w:p w14:paraId="21CD10A7" w14:textId="77777777" w:rsidR="008654C7" w:rsidRPr="00677919" w:rsidRDefault="008654C7" w:rsidP="003A3352">
      <w:pPr>
        <w:rPr>
          <w:rFonts w:eastAsia="Times New Roman" w:cs="Times New Roman"/>
          <w:lang w:eastAsia="en-IE"/>
        </w:rPr>
      </w:pPr>
      <w:r w:rsidRPr="00677919">
        <w:rPr>
          <w:rFonts w:eastAsia="Times New Roman" w:cs="Times New Roman"/>
          <w:lang w:eastAsia="en-IE"/>
        </w:rPr>
        <w:t>Justin Sinnott (Social Democrats)</w:t>
      </w:r>
    </w:p>
    <w:p w14:paraId="5304A2B8" w14:textId="77777777" w:rsidR="008654C7" w:rsidRPr="00677919" w:rsidRDefault="008654C7" w:rsidP="003A3352">
      <w:pPr>
        <w:rPr>
          <w:rFonts w:eastAsia="Times New Roman" w:cs="Times New Roman"/>
          <w:lang w:eastAsia="en-IE"/>
        </w:rPr>
      </w:pPr>
      <w:r w:rsidRPr="00677919">
        <w:rPr>
          <w:rFonts w:eastAsia="Times New Roman" w:cs="Times New Roman"/>
          <w:lang w:eastAsia="en-IE"/>
        </w:rPr>
        <w:t>Ronan McMahon (Independent)</w:t>
      </w:r>
    </w:p>
    <w:p w14:paraId="73E354B1" w14:textId="77777777" w:rsidR="008654C7" w:rsidRPr="00677919" w:rsidRDefault="008654C7" w:rsidP="003A3352">
      <w:pPr>
        <w:rPr>
          <w:rFonts w:eastAsia="Times New Roman" w:cs="Times New Roman"/>
          <w:lang w:eastAsia="en-IE"/>
        </w:rPr>
      </w:pPr>
      <w:r w:rsidRPr="00677919">
        <w:rPr>
          <w:rFonts w:eastAsia="Times New Roman" w:cs="Times New Roman"/>
          <w:lang w:eastAsia="en-IE"/>
        </w:rPr>
        <w:t>Shirley O’Hara (Fine Gael)</w:t>
      </w:r>
    </w:p>
    <w:p w14:paraId="7335010F" w14:textId="77777777" w:rsidR="008654C7" w:rsidRPr="00677919" w:rsidRDefault="008654C7" w:rsidP="003A3352">
      <w:pPr>
        <w:rPr>
          <w:rFonts w:eastAsia="Times New Roman" w:cs="Times New Roman"/>
          <w:lang w:eastAsia="en-IE"/>
        </w:rPr>
      </w:pPr>
      <w:r w:rsidRPr="00677919">
        <w:rPr>
          <w:rFonts w:eastAsia="Times New Roman" w:cs="Times New Roman"/>
          <w:lang w:eastAsia="en-IE"/>
        </w:rPr>
        <w:t>Pamela Kearns (Labour)</w:t>
      </w:r>
    </w:p>
    <w:p w14:paraId="537698E7" w14:textId="77777777" w:rsidR="008654C7" w:rsidRPr="00677919" w:rsidRDefault="008654C7" w:rsidP="003A3352">
      <w:pPr>
        <w:rPr>
          <w:rFonts w:eastAsia="Times New Roman" w:cs="Times New Roman"/>
          <w:lang w:eastAsia="en-IE"/>
        </w:rPr>
      </w:pPr>
      <w:r w:rsidRPr="00677919">
        <w:rPr>
          <w:rFonts w:eastAsia="Times New Roman" w:cs="Times New Roman"/>
          <w:lang w:eastAsia="en-IE"/>
        </w:rPr>
        <w:t>Paddy Holohan (Independent)</w:t>
      </w:r>
    </w:p>
    <w:p w14:paraId="07D4CAE3" w14:textId="77777777" w:rsidR="008654C7" w:rsidRPr="00677919" w:rsidRDefault="008654C7" w:rsidP="003A3352">
      <w:pPr>
        <w:rPr>
          <w:rFonts w:eastAsia="Times New Roman" w:cs="Times New Roman"/>
          <w:lang w:eastAsia="en-IE"/>
        </w:rPr>
      </w:pPr>
      <w:r w:rsidRPr="00677919">
        <w:rPr>
          <w:rFonts w:eastAsia="Times New Roman" w:cs="Times New Roman"/>
          <w:lang w:eastAsia="en-IE"/>
        </w:rPr>
        <w:t>Liona O’Toole (Independent)</w:t>
      </w:r>
    </w:p>
    <w:p w14:paraId="4573A3CA" w14:textId="71DD2538" w:rsidR="008654C7" w:rsidRPr="003A3352" w:rsidRDefault="008654C7" w:rsidP="003A3352">
      <w:pPr>
        <w:rPr>
          <w:b/>
          <w:bCs/>
        </w:rPr>
      </w:pPr>
      <w:r w:rsidRPr="003A3352">
        <w:rPr>
          <w:b/>
          <w:bCs/>
        </w:rPr>
        <w:t>Sectoral Members</w:t>
      </w:r>
    </w:p>
    <w:p w14:paraId="005F65A9" w14:textId="77777777" w:rsidR="008654C7" w:rsidRPr="00677919" w:rsidRDefault="008654C7" w:rsidP="003A3352">
      <w:pPr>
        <w:rPr>
          <w:rFonts w:eastAsia="Times New Roman" w:cs="Times New Roman"/>
          <w:lang w:eastAsia="en-IE"/>
        </w:rPr>
      </w:pPr>
      <w:r w:rsidRPr="00677919">
        <w:rPr>
          <w:rFonts w:eastAsia="Times New Roman" w:cs="Times New Roman"/>
          <w:lang w:eastAsia="en-IE"/>
        </w:rPr>
        <w:t xml:space="preserve">Simon Van </w:t>
      </w:r>
      <w:proofErr w:type="spellStart"/>
      <w:r w:rsidRPr="00677919">
        <w:rPr>
          <w:rFonts w:eastAsia="Times New Roman" w:cs="Times New Roman"/>
          <w:lang w:eastAsia="en-IE"/>
        </w:rPr>
        <w:t>Lonkhuyzen</w:t>
      </w:r>
      <w:proofErr w:type="spellEnd"/>
      <w:r w:rsidRPr="00677919">
        <w:rPr>
          <w:rFonts w:eastAsia="Times New Roman" w:cs="Times New Roman"/>
          <w:lang w:eastAsia="en-IE"/>
        </w:rPr>
        <w:t xml:space="preserve"> </w:t>
      </w:r>
      <w:proofErr w:type="gramStart"/>
      <w:r w:rsidRPr="00677919">
        <w:rPr>
          <w:rFonts w:eastAsia="Times New Roman" w:cs="Times New Roman"/>
          <w:lang w:eastAsia="en-IE"/>
        </w:rPr>
        <w:t>-  Business</w:t>
      </w:r>
      <w:proofErr w:type="gramEnd"/>
      <w:r w:rsidRPr="00677919">
        <w:rPr>
          <w:rFonts w:eastAsia="Times New Roman" w:cs="Times New Roman"/>
          <w:lang w:eastAsia="en-IE"/>
        </w:rPr>
        <w:t xml:space="preserve"> Commercial (overseas)</w:t>
      </w:r>
    </w:p>
    <w:p w14:paraId="66CBBFBC" w14:textId="77777777" w:rsidR="008654C7" w:rsidRPr="00677919" w:rsidRDefault="008654C7" w:rsidP="003A3352">
      <w:pPr>
        <w:rPr>
          <w:rFonts w:eastAsia="Times New Roman" w:cs="Times New Roman"/>
          <w:lang w:eastAsia="en-IE"/>
        </w:rPr>
      </w:pPr>
      <w:r w:rsidRPr="00677919">
        <w:rPr>
          <w:rFonts w:eastAsia="Times New Roman" w:cs="Times New Roman"/>
          <w:lang w:eastAsia="en-IE"/>
        </w:rPr>
        <w:t>Harry Simpson – Business Commercial (indigenous)</w:t>
      </w:r>
    </w:p>
    <w:p w14:paraId="31878A1B" w14:textId="77777777" w:rsidR="008654C7" w:rsidRPr="00677919" w:rsidRDefault="008654C7" w:rsidP="003A3352">
      <w:pPr>
        <w:rPr>
          <w:rFonts w:eastAsia="Times New Roman" w:cs="Times New Roman"/>
          <w:lang w:eastAsia="en-IE"/>
        </w:rPr>
      </w:pPr>
      <w:r w:rsidRPr="00677919">
        <w:rPr>
          <w:rFonts w:eastAsia="Times New Roman" w:cs="Times New Roman"/>
          <w:lang w:eastAsia="en-IE"/>
        </w:rPr>
        <w:t>Betty Tyrrell-Collard – Trade Union</w:t>
      </w:r>
    </w:p>
    <w:p w14:paraId="37CA0ADF" w14:textId="77777777" w:rsidR="008654C7" w:rsidRPr="00677919" w:rsidRDefault="008654C7" w:rsidP="003A3352">
      <w:pPr>
        <w:rPr>
          <w:rFonts w:eastAsia="Times New Roman" w:cs="Times New Roman"/>
          <w:lang w:eastAsia="en-IE"/>
        </w:rPr>
      </w:pPr>
      <w:r w:rsidRPr="00677919">
        <w:rPr>
          <w:rFonts w:eastAsia="Times New Roman" w:cs="Times New Roman"/>
          <w:lang w:eastAsia="en-IE"/>
        </w:rPr>
        <w:t>Lisa Rowntree – Public Participation Network (PPN)</w:t>
      </w:r>
    </w:p>
    <w:p w14:paraId="5D0FD76A" w14:textId="77777777" w:rsidR="008654C7" w:rsidRPr="00677919" w:rsidRDefault="008654C7" w:rsidP="003A3352">
      <w:pPr>
        <w:rPr>
          <w:rFonts w:eastAsia="Times New Roman" w:cs="Times New Roman"/>
          <w:lang w:eastAsia="en-IE"/>
        </w:rPr>
      </w:pPr>
      <w:r w:rsidRPr="00677919">
        <w:rPr>
          <w:rFonts w:eastAsia="Times New Roman" w:cs="Times New Roman"/>
          <w:lang w:eastAsia="en-IE"/>
        </w:rPr>
        <w:t>Prashant Shukla – Public Participation Network (PPN)</w:t>
      </w:r>
    </w:p>
    <w:p w14:paraId="43C7E582" w14:textId="77777777" w:rsidR="008654C7" w:rsidRDefault="008654C7" w:rsidP="003A3352">
      <w:pPr>
        <w:rPr>
          <w:rFonts w:eastAsia="Times New Roman" w:cs="Times New Roman"/>
          <w:lang w:eastAsia="en-IE"/>
        </w:rPr>
      </w:pPr>
      <w:r w:rsidRPr="00677919">
        <w:rPr>
          <w:rFonts w:eastAsia="Times New Roman" w:cs="Times New Roman"/>
          <w:lang w:eastAsia="en-IE"/>
        </w:rPr>
        <w:t>Dr Miriam O’Donoghue – TUD Tallaght</w:t>
      </w:r>
    </w:p>
    <w:p w14:paraId="1E795F25" w14:textId="77777777" w:rsidR="008654C7" w:rsidRDefault="008654C7" w:rsidP="003A3352">
      <w:pPr>
        <w:rPr>
          <w:rFonts w:cstheme="minorHAnsi"/>
        </w:rPr>
      </w:pPr>
    </w:p>
    <w:p w14:paraId="3A216AB7" w14:textId="77777777" w:rsidR="009C4CE2" w:rsidRPr="003A3352" w:rsidRDefault="009C4CE2" w:rsidP="009C4CE2">
      <w:pPr>
        <w:rPr>
          <w:rFonts w:cstheme="minorHAnsi"/>
          <w:b/>
          <w:bCs/>
        </w:rPr>
      </w:pPr>
      <w:r>
        <w:rPr>
          <w:rFonts w:cstheme="minorHAnsi"/>
          <w:b/>
          <w:bCs/>
        </w:rPr>
        <w:t xml:space="preserve">2024 </w:t>
      </w:r>
      <w:r w:rsidRPr="003A3352">
        <w:rPr>
          <w:rFonts w:cstheme="minorHAnsi"/>
          <w:b/>
          <w:bCs/>
        </w:rPr>
        <w:t>P</w:t>
      </w:r>
      <w:r>
        <w:rPr>
          <w:rFonts w:cstheme="minorHAnsi"/>
          <w:b/>
          <w:bCs/>
        </w:rPr>
        <w:t>ROGAMME OF WORK</w:t>
      </w:r>
    </w:p>
    <w:p w14:paraId="63B5EF0C" w14:textId="77777777" w:rsidR="00871415" w:rsidRPr="00191E28" w:rsidRDefault="00871415" w:rsidP="006B1FA9">
      <w:pPr>
        <w:pStyle w:val="ListParagraph"/>
        <w:numPr>
          <w:ilvl w:val="0"/>
          <w:numId w:val="21"/>
        </w:numPr>
        <w:rPr>
          <w:rFonts w:eastAsia="Times New Roman"/>
        </w:rPr>
      </w:pPr>
      <w:r>
        <w:rPr>
          <w:rFonts w:eastAsia="Times New Roman"/>
        </w:rPr>
        <w:t xml:space="preserve">Implementation of the </w:t>
      </w:r>
      <w:r w:rsidRPr="00F700F4">
        <w:rPr>
          <w:rFonts w:eastAsia="Times New Roman"/>
        </w:rPr>
        <w:t>Local Enterprise Office Development Plan 2021 – 2024</w:t>
      </w:r>
    </w:p>
    <w:p w14:paraId="55A0826A" w14:textId="77777777" w:rsidR="00871415" w:rsidRPr="006B1FA9" w:rsidRDefault="00871415" w:rsidP="006B1FA9">
      <w:pPr>
        <w:pStyle w:val="ListParagraph"/>
        <w:numPr>
          <w:ilvl w:val="0"/>
          <w:numId w:val="20"/>
        </w:numPr>
        <w:rPr>
          <w:rFonts w:eastAsia="Times New Roman" w:cstheme="minorHAnsi"/>
        </w:rPr>
      </w:pPr>
      <w:r w:rsidRPr="006B1FA9">
        <w:rPr>
          <w:rFonts w:eastAsia="Times New Roman" w:cstheme="minorHAnsi"/>
          <w:lang w:eastAsia="en-IE"/>
        </w:rPr>
        <w:t>Grange Castle – Future development, masterplan, marketing and contribution to Economic Development of the County</w:t>
      </w:r>
    </w:p>
    <w:p w14:paraId="09B7FB4C" w14:textId="77777777" w:rsidR="00871415" w:rsidRPr="006B1FA9" w:rsidRDefault="00871415" w:rsidP="006B1FA9">
      <w:pPr>
        <w:pStyle w:val="ListParagraph"/>
        <w:numPr>
          <w:ilvl w:val="0"/>
          <w:numId w:val="20"/>
        </w:numPr>
        <w:rPr>
          <w:rFonts w:eastAsia="Times New Roman" w:cstheme="minorHAnsi"/>
        </w:rPr>
      </w:pPr>
      <w:r w:rsidRPr="006B1FA9">
        <w:rPr>
          <w:rFonts w:eastAsia="Times New Roman" w:cstheme="minorHAnsi"/>
          <w:lang w:eastAsia="en-IE"/>
        </w:rPr>
        <w:t xml:space="preserve">The Innovation Centre - </w:t>
      </w:r>
      <w:proofErr w:type="gramStart"/>
      <w:r w:rsidRPr="006B1FA9">
        <w:rPr>
          <w:rFonts w:eastAsia="Times New Roman" w:cstheme="minorHAnsi"/>
          <w:lang w:eastAsia="en-IE"/>
        </w:rPr>
        <w:t>Future plans</w:t>
      </w:r>
      <w:proofErr w:type="gramEnd"/>
      <w:r w:rsidRPr="006B1FA9">
        <w:rPr>
          <w:rFonts w:eastAsia="Times New Roman" w:cstheme="minorHAnsi"/>
          <w:lang w:eastAsia="en-IE"/>
        </w:rPr>
        <w:t xml:space="preserve"> and operational updates</w:t>
      </w:r>
    </w:p>
    <w:p w14:paraId="72303D77" w14:textId="77777777" w:rsidR="00871415" w:rsidRPr="006B1FA9" w:rsidRDefault="00871415" w:rsidP="006B1FA9">
      <w:pPr>
        <w:pStyle w:val="ListParagraph"/>
        <w:numPr>
          <w:ilvl w:val="0"/>
          <w:numId w:val="20"/>
        </w:numPr>
        <w:rPr>
          <w:rFonts w:eastAsia="Times New Roman" w:cstheme="minorHAnsi"/>
        </w:rPr>
      </w:pPr>
      <w:r w:rsidRPr="006B1FA9">
        <w:rPr>
          <w:rFonts w:eastAsia="Times New Roman" w:cstheme="minorHAnsi"/>
        </w:rPr>
        <w:t>Local Enterprise Office Feasibility and Priming Grant studies</w:t>
      </w:r>
    </w:p>
    <w:p w14:paraId="3FB2FA89" w14:textId="77777777" w:rsidR="00871415" w:rsidRPr="006B1FA9" w:rsidRDefault="00871415" w:rsidP="006B1FA9">
      <w:pPr>
        <w:pStyle w:val="ListParagraph"/>
        <w:numPr>
          <w:ilvl w:val="0"/>
          <w:numId w:val="20"/>
        </w:numPr>
        <w:rPr>
          <w:rFonts w:eastAsia="Times New Roman" w:cstheme="minorHAnsi"/>
        </w:rPr>
      </w:pPr>
      <w:r w:rsidRPr="006B1FA9">
        <w:rPr>
          <w:rFonts w:eastAsia="Times New Roman" w:cstheme="minorHAnsi"/>
        </w:rPr>
        <w:t xml:space="preserve">Business Support Fund review to address Evening Time Economy opportunities </w:t>
      </w:r>
    </w:p>
    <w:p w14:paraId="504240CC" w14:textId="77777777" w:rsidR="00871415" w:rsidRPr="006B1FA9" w:rsidRDefault="00871415" w:rsidP="006B1FA9">
      <w:pPr>
        <w:pStyle w:val="ListParagraph"/>
        <w:numPr>
          <w:ilvl w:val="0"/>
          <w:numId w:val="20"/>
        </w:numPr>
        <w:rPr>
          <w:rFonts w:eastAsia="Times New Roman" w:cstheme="minorHAnsi"/>
        </w:rPr>
      </w:pPr>
      <w:r w:rsidRPr="006B1FA9">
        <w:rPr>
          <w:rFonts w:eastAsia="Times New Roman" w:cstheme="minorHAnsi"/>
          <w:lang w:eastAsia="en-IE"/>
        </w:rPr>
        <w:t>12</w:t>
      </w:r>
      <w:r w:rsidRPr="006B1FA9">
        <w:rPr>
          <w:rFonts w:eastAsia="Times New Roman" w:cstheme="minorHAnsi"/>
          <w:vertAlign w:val="superscript"/>
          <w:lang w:eastAsia="en-IE"/>
        </w:rPr>
        <w:t>th</w:t>
      </w:r>
      <w:r w:rsidRPr="006B1FA9">
        <w:rPr>
          <w:rFonts w:eastAsia="Times New Roman" w:cstheme="minorHAnsi"/>
          <w:lang w:eastAsia="en-IE"/>
        </w:rPr>
        <w:t xml:space="preserve"> Lock and Micro Enterprise Centre initiatives - </w:t>
      </w:r>
      <w:proofErr w:type="gramStart"/>
      <w:r w:rsidRPr="006B1FA9">
        <w:rPr>
          <w:rFonts w:eastAsia="Times New Roman" w:cstheme="minorHAnsi"/>
          <w:lang w:eastAsia="en-IE"/>
        </w:rPr>
        <w:t>Future plans</w:t>
      </w:r>
      <w:proofErr w:type="gramEnd"/>
      <w:r w:rsidRPr="006B1FA9">
        <w:rPr>
          <w:rFonts w:eastAsia="Times New Roman" w:cstheme="minorHAnsi"/>
          <w:lang w:eastAsia="en-IE"/>
        </w:rPr>
        <w:t xml:space="preserve"> and project updates</w:t>
      </w:r>
    </w:p>
    <w:p w14:paraId="18BCA296" w14:textId="77777777" w:rsidR="00871415" w:rsidRPr="006B1FA9" w:rsidRDefault="00871415" w:rsidP="006B1FA9">
      <w:pPr>
        <w:pStyle w:val="ListParagraph"/>
        <w:numPr>
          <w:ilvl w:val="0"/>
          <w:numId w:val="20"/>
        </w:numPr>
        <w:rPr>
          <w:rFonts w:eastAsia="Times New Roman" w:cstheme="minorHAnsi"/>
        </w:rPr>
      </w:pPr>
      <w:r w:rsidRPr="006B1FA9">
        <w:rPr>
          <w:rFonts w:eastAsia="Times New Roman" w:cstheme="minorHAnsi"/>
          <w:lang w:eastAsia="en-IE"/>
        </w:rPr>
        <w:t>Implementation of South Dublin County Council’s Tourism Strategy 2024 – 2029</w:t>
      </w:r>
      <w:r w:rsidRPr="006B1FA9">
        <w:rPr>
          <w:rFonts w:eastAsia="Times New Roman" w:cstheme="minorHAnsi"/>
        </w:rPr>
        <w:t>, including t</w:t>
      </w:r>
      <w:r w:rsidRPr="006B1FA9">
        <w:rPr>
          <w:rFonts w:eastAsia="Times New Roman" w:cstheme="minorHAnsi"/>
          <w:lang w:eastAsia="en-IE"/>
        </w:rPr>
        <w:t>ourism projects at the Dublin Mountains, Rathfarnham Castle Courtyard, and Lucan House etc.</w:t>
      </w:r>
    </w:p>
    <w:p w14:paraId="17B60B1E" w14:textId="77777777" w:rsidR="00871415" w:rsidRPr="006B1FA9" w:rsidRDefault="00871415" w:rsidP="006B1FA9">
      <w:pPr>
        <w:pStyle w:val="ListParagraph"/>
        <w:numPr>
          <w:ilvl w:val="0"/>
          <w:numId w:val="20"/>
        </w:numPr>
        <w:rPr>
          <w:rFonts w:eastAsia="Times New Roman" w:cstheme="minorHAnsi"/>
        </w:rPr>
      </w:pPr>
      <w:r w:rsidRPr="006B1FA9">
        <w:rPr>
          <w:rFonts w:eastAsia="Times New Roman" w:cstheme="minorHAnsi"/>
          <w:lang w:eastAsia="en-IE"/>
        </w:rPr>
        <w:t>The development and expanded use of Tallaght Stadium</w:t>
      </w:r>
    </w:p>
    <w:p w14:paraId="3DD54156" w14:textId="77777777" w:rsidR="00871415" w:rsidRPr="006B1FA9" w:rsidRDefault="00871415" w:rsidP="006B1FA9">
      <w:pPr>
        <w:pStyle w:val="ListParagraph"/>
        <w:numPr>
          <w:ilvl w:val="0"/>
          <w:numId w:val="20"/>
        </w:numPr>
        <w:rPr>
          <w:rFonts w:eastAsia="Times New Roman" w:cstheme="minorHAnsi"/>
        </w:rPr>
      </w:pPr>
      <w:r w:rsidRPr="006B1FA9">
        <w:rPr>
          <w:rFonts w:eastAsia="Times New Roman" w:cstheme="minorHAnsi"/>
          <w:lang w:eastAsia="en-IE"/>
        </w:rPr>
        <w:t>Preparation and implementation of the Local Economic and Community Plan</w:t>
      </w:r>
    </w:p>
    <w:p w14:paraId="39384600" w14:textId="77777777" w:rsidR="00871415" w:rsidRPr="006B1FA9" w:rsidRDefault="00871415" w:rsidP="006B1FA9">
      <w:pPr>
        <w:pStyle w:val="ListParagraph"/>
        <w:numPr>
          <w:ilvl w:val="0"/>
          <w:numId w:val="20"/>
        </w:numPr>
        <w:rPr>
          <w:rFonts w:eastAsia="Times New Roman" w:cstheme="minorHAnsi"/>
        </w:rPr>
      </w:pPr>
      <w:r w:rsidRPr="006B1FA9">
        <w:rPr>
          <w:rFonts w:eastAsia="Times New Roman" w:cstheme="minorHAnsi"/>
          <w:lang w:eastAsia="en-IE"/>
        </w:rPr>
        <w:t xml:space="preserve">Preparation of County Economic Strategy </w:t>
      </w:r>
    </w:p>
    <w:p w14:paraId="3EE24BF6" w14:textId="77777777" w:rsidR="00871415" w:rsidRPr="006B1FA9" w:rsidRDefault="00871415" w:rsidP="006B1FA9">
      <w:pPr>
        <w:pStyle w:val="ListParagraph"/>
        <w:numPr>
          <w:ilvl w:val="0"/>
          <w:numId w:val="20"/>
        </w:numPr>
        <w:rPr>
          <w:rFonts w:eastAsia="Times New Roman" w:cstheme="minorHAnsi"/>
        </w:rPr>
      </w:pPr>
      <w:r w:rsidRPr="006B1FA9">
        <w:rPr>
          <w:rFonts w:eastAsia="Times New Roman" w:cstheme="minorHAnsi"/>
          <w:lang w:eastAsia="en-IE"/>
        </w:rPr>
        <w:t>Joint meetings/workshops with other SPCs on crosscutting policies</w:t>
      </w:r>
    </w:p>
    <w:p w14:paraId="0A88EDAB" w14:textId="77777777" w:rsidR="00871415" w:rsidRDefault="00871415" w:rsidP="003A3352">
      <w:pPr>
        <w:rPr>
          <w:rFonts w:ascii="Verdana" w:hAnsi="Verdana" w:cs="Times New Roman"/>
        </w:rPr>
      </w:pPr>
    </w:p>
    <w:p w14:paraId="42126FAB" w14:textId="70D8BB4C" w:rsidR="00871415" w:rsidRPr="0067762E" w:rsidRDefault="00A757BF" w:rsidP="003A3352">
      <w:pPr>
        <w:pStyle w:val="Heading2"/>
      </w:pPr>
      <w:bookmarkStart w:id="28" w:name="_Toc195533612"/>
      <w:bookmarkStart w:id="29" w:name="_Toc195533684"/>
      <w:bookmarkStart w:id="30" w:name="_Toc195533961"/>
      <w:bookmarkStart w:id="31" w:name="_Toc195534036"/>
      <w:bookmarkStart w:id="32" w:name="_Toc195534399"/>
      <w:bookmarkStart w:id="33" w:name="_Toc195534600"/>
      <w:bookmarkStart w:id="34" w:name="_Toc199244556"/>
      <w:r w:rsidRPr="0067762E">
        <w:t xml:space="preserve">Land Use </w:t>
      </w:r>
      <w:r>
        <w:t>Planning and</w:t>
      </w:r>
      <w:r w:rsidRPr="0067762E">
        <w:t xml:space="preserve"> Transportation </w:t>
      </w:r>
      <w:proofErr w:type="spellStart"/>
      <w:r w:rsidRPr="0067762E">
        <w:t>Spc</w:t>
      </w:r>
      <w:bookmarkEnd w:id="28"/>
      <w:bookmarkEnd w:id="29"/>
      <w:bookmarkEnd w:id="30"/>
      <w:bookmarkEnd w:id="31"/>
      <w:bookmarkEnd w:id="32"/>
      <w:bookmarkEnd w:id="33"/>
      <w:bookmarkEnd w:id="34"/>
      <w:proofErr w:type="spellEnd"/>
    </w:p>
    <w:p w14:paraId="5852D5F3" w14:textId="77777777" w:rsidR="00871415" w:rsidRDefault="00871415" w:rsidP="003A3352">
      <w:pPr>
        <w:rPr>
          <w:rFonts w:cstheme="minorHAnsi"/>
        </w:rPr>
      </w:pPr>
      <w:r>
        <w:rPr>
          <w:rFonts w:cstheme="minorHAnsi"/>
        </w:rPr>
        <w:t xml:space="preserve">Pre 2024 Local Election </w:t>
      </w:r>
      <w:r w:rsidRPr="00D457CE">
        <w:rPr>
          <w:rFonts w:cstheme="minorHAnsi"/>
        </w:rPr>
        <w:t>Chair:</w:t>
      </w:r>
      <w:r w:rsidRPr="0067762E">
        <w:rPr>
          <w:rFonts w:cstheme="minorHAnsi"/>
        </w:rPr>
        <w:t xml:space="preserve"> Cllr </w:t>
      </w:r>
      <w:r w:rsidRPr="004C3E99">
        <w:rPr>
          <w:rFonts w:cstheme="minorHAnsi"/>
        </w:rPr>
        <w:t>Lyn Hagin Meade</w:t>
      </w:r>
    </w:p>
    <w:p w14:paraId="7CE6BB84" w14:textId="77777777" w:rsidR="00871415" w:rsidRPr="00D457CE" w:rsidRDefault="00871415" w:rsidP="003A3352">
      <w:pPr>
        <w:rPr>
          <w:rFonts w:cstheme="minorHAnsi"/>
        </w:rPr>
      </w:pPr>
      <w:r>
        <w:rPr>
          <w:rFonts w:cstheme="minorHAnsi"/>
        </w:rPr>
        <w:t xml:space="preserve">Post 2024 Local Election </w:t>
      </w:r>
      <w:r w:rsidRPr="00D457CE">
        <w:rPr>
          <w:rFonts w:cstheme="minorHAnsi"/>
        </w:rPr>
        <w:t>Chair:</w:t>
      </w:r>
      <w:r>
        <w:rPr>
          <w:rFonts w:cstheme="minorHAnsi"/>
        </w:rPr>
        <w:t xml:space="preserve"> Cllr Teresa Costello</w:t>
      </w:r>
    </w:p>
    <w:p w14:paraId="427304D0" w14:textId="1EC75341" w:rsidR="00871415" w:rsidRDefault="00871415" w:rsidP="003A3352">
      <w:pPr>
        <w:rPr>
          <w:rFonts w:cstheme="minorHAnsi"/>
        </w:rPr>
      </w:pPr>
      <w:r w:rsidRPr="0067762E">
        <w:rPr>
          <w:rFonts w:cstheme="minorHAnsi"/>
        </w:rPr>
        <w:t>Director: Mick Mulhern</w:t>
      </w:r>
      <w:r>
        <w:rPr>
          <w:rFonts w:cstheme="minorHAnsi"/>
        </w:rPr>
        <w:t>/Mick McAdam</w:t>
      </w:r>
    </w:p>
    <w:p w14:paraId="71D414F7" w14:textId="77777777" w:rsidR="008654C7" w:rsidRDefault="008654C7" w:rsidP="003A3352">
      <w:pPr>
        <w:rPr>
          <w:rFonts w:cstheme="minorHAnsi"/>
        </w:rPr>
      </w:pPr>
    </w:p>
    <w:p w14:paraId="2FA193A3" w14:textId="77777777" w:rsidR="005B296A" w:rsidRPr="005A1628" w:rsidRDefault="005B296A" w:rsidP="005B296A">
      <w:pPr>
        <w:rPr>
          <w:rFonts w:cstheme="minorHAnsi"/>
          <w:b/>
          <w:bCs/>
        </w:rPr>
      </w:pPr>
      <w:r w:rsidRPr="003A3352">
        <w:rPr>
          <w:rFonts w:cstheme="minorHAnsi"/>
          <w:b/>
          <w:bCs/>
        </w:rPr>
        <w:t>Membership</w:t>
      </w:r>
      <w:r>
        <w:rPr>
          <w:rFonts w:cstheme="minorHAnsi"/>
          <w:b/>
          <w:bCs/>
        </w:rPr>
        <w:t xml:space="preserve"> </w:t>
      </w:r>
      <w:r w:rsidRPr="005B296A">
        <w:rPr>
          <w:rFonts w:cstheme="minorHAnsi"/>
          <w:b/>
          <w:bCs/>
        </w:rPr>
        <w:t>J</w:t>
      </w:r>
      <w:r w:rsidRPr="005A1628">
        <w:rPr>
          <w:rFonts w:cstheme="minorHAnsi"/>
          <w:b/>
          <w:bCs/>
        </w:rPr>
        <w:t>anuary – May 2024</w:t>
      </w:r>
    </w:p>
    <w:p w14:paraId="7C88C8B0" w14:textId="3725E1EF" w:rsidR="008654C7" w:rsidRPr="003A3352" w:rsidRDefault="008654C7" w:rsidP="003A3352">
      <w:pPr>
        <w:rPr>
          <w:rFonts w:eastAsia="Times New Roman" w:cs="Times New Roman"/>
          <w:b/>
          <w:bCs/>
          <w:lang w:eastAsia="en-IE"/>
        </w:rPr>
      </w:pPr>
      <w:r w:rsidRPr="003A3352">
        <w:rPr>
          <w:rFonts w:eastAsia="Times New Roman" w:cs="Times New Roman"/>
          <w:b/>
          <w:bCs/>
          <w:lang w:eastAsia="en-IE"/>
        </w:rPr>
        <w:t>Council Members</w:t>
      </w:r>
    </w:p>
    <w:p w14:paraId="26880213" w14:textId="77777777" w:rsidR="008654C7" w:rsidRPr="00AE7A67" w:rsidRDefault="008654C7" w:rsidP="003A3352">
      <w:pPr>
        <w:rPr>
          <w:rFonts w:eastAsia="Times New Roman" w:cs="Times New Roman"/>
          <w:lang w:eastAsia="en-IE"/>
        </w:rPr>
      </w:pPr>
      <w:r w:rsidRPr="00AE7A67">
        <w:rPr>
          <w:rFonts w:eastAsia="Times New Roman" w:cs="Times New Roman"/>
          <w:lang w:eastAsia="en-IE"/>
        </w:rPr>
        <w:t xml:space="preserve">Lyn Hagin Meade (Green Party) </w:t>
      </w:r>
      <w:r>
        <w:rPr>
          <w:rFonts w:eastAsia="Times New Roman" w:cs="Times New Roman"/>
          <w:lang w:eastAsia="en-IE"/>
        </w:rPr>
        <w:t>(</w:t>
      </w:r>
      <w:r w:rsidRPr="00AE7A67">
        <w:rPr>
          <w:rFonts w:eastAsia="Times New Roman" w:cs="Times New Roman"/>
          <w:lang w:eastAsia="en-IE"/>
        </w:rPr>
        <w:t>Chair</w:t>
      </w:r>
      <w:r>
        <w:rPr>
          <w:rFonts w:eastAsia="Times New Roman" w:cs="Times New Roman"/>
          <w:lang w:eastAsia="en-IE"/>
        </w:rPr>
        <w:t>)</w:t>
      </w:r>
    </w:p>
    <w:p w14:paraId="4AC44960" w14:textId="77777777" w:rsidR="008654C7" w:rsidRPr="00AE7A67" w:rsidRDefault="008654C7" w:rsidP="003A3352">
      <w:pPr>
        <w:rPr>
          <w:rFonts w:eastAsia="Times New Roman" w:cs="Times New Roman"/>
          <w:lang w:eastAsia="en-IE"/>
        </w:rPr>
      </w:pPr>
      <w:r w:rsidRPr="00AE7A67">
        <w:rPr>
          <w:rFonts w:eastAsia="Times New Roman" w:cs="Times New Roman"/>
          <w:lang w:eastAsia="en-IE"/>
        </w:rPr>
        <w:t>Paul Gogarty (Independent)</w:t>
      </w:r>
    </w:p>
    <w:p w14:paraId="673FC3BC" w14:textId="77777777" w:rsidR="008654C7" w:rsidRPr="00AE7A67" w:rsidRDefault="008654C7" w:rsidP="003A3352">
      <w:pPr>
        <w:rPr>
          <w:rFonts w:eastAsia="Times New Roman" w:cs="Times New Roman"/>
          <w:lang w:eastAsia="en-IE"/>
        </w:rPr>
      </w:pPr>
      <w:r w:rsidRPr="00AE7A67">
        <w:rPr>
          <w:rFonts w:eastAsia="Times New Roman" w:cs="Times New Roman"/>
          <w:lang w:eastAsia="en-IE"/>
        </w:rPr>
        <w:t>Derren Ó Brádaigh (Sinn Féin)</w:t>
      </w:r>
    </w:p>
    <w:p w14:paraId="1444F7AA" w14:textId="77777777" w:rsidR="008654C7" w:rsidRPr="00AE7A67" w:rsidRDefault="008654C7" w:rsidP="003A3352">
      <w:pPr>
        <w:rPr>
          <w:rFonts w:eastAsia="Times New Roman" w:cs="Times New Roman"/>
          <w:lang w:eastAsia="en-IE"/>
        </w:rPr>
      </w:pPr>
      <w:r w:rsidRPr="00AE7A67">
        <w:rPr>
          <w:rFonts w:eastAsia="Times New Roman" w:cs="Times New Roman"/>
          <w:lang w:eastAsia="en-IE"/>
        </w:rPr>
        <w:t>Baby Pereppadan (Fine Gael)</w:t>
      </w:r>
    </w:p>
    <w:p w14:paraId="34DDEB9B" w14:textId="77777777" w:rsidR="008654C7" w:rsidRPr="00AE7A67" w:rsidRDefault="008654C7" w:rsidP="003A3352">
      <w:pPr>
        <w:rPr>
          <w:rFonts w:eastAsia="Times New Roman" w:cs="Times New Roman"/>
          <w:lang w:eastAsia="en-IE"/>
        </w:rPr>
      </w:pPr>
      <w:r w:rsidRPr="00AE7A67">
        <w:rPr>
          <w:rFonts w:eastAsia="Times New Roman" w:cs="Times New Roman"/>
          <w:lang w:eastAsia="en-IE"/>
        </w:rPr>
        <w:t>Eoin Ó Broin (Independent)</w:t>
      </w:r>
    </w:p>
    <w:p w14:paraId="40A471A6" w14:textId="77777777" w:rsidR="008654C7" w:rsidRDefault="008654C7" w:rsidP="003A3352">
      <w:pPr>
        <w:rPr>
          <w:rFonts w:eastAsia="Times New Roman" w:cs="Times New Roman"/>
          <w:lang w:eastAsia="en-IE"/>
        </w:rPr>
      </w:pPr>
      <w:r w:rsidRPr="00AE7A67">
        <w:rPr>
          <w:rFonts w:eastAsia="Times New Roman" w:cs="Times New Roman"/>
          <w:lang w:eastAsia="en-IE"/>
        </w:rPr>
        <w:t xml:space="preserve">Yvonne Collins (Fianna </w:t>
      </w:r>
      <w:proofErr w:type="spellStart"/>
      <w:r w:rsidRPr="00AE7A67">
        <w:rPr>
          <w:rFonts w:eastAsia="Times New Roman" w:cs="Times New Roman"/>
          <w:lang w:eastAsia="en-IE"/>
        </w:rPr>
        <w:t>Fáil</w:t>
      </w:r>
      <w:proofErr w:type="spellEnd"/>
      <w:r w:rsidRPr="00AE7A67">
        <w:rPr>
          <w:rFonts w:eastAsia="Times New Roman" w:cs="Times New Roman"/>
          <w:lang w:eastAsia="en-IE"/>
        </w:rPr>
        <w:t>)</w:t>
      </w:r>
    </w:p>
    <w:p w14:paraId="01B4E75E" w14:textId="2A6ED906" w:rsidR="008654C7" w:rsidRPr="003A3352" w:rsidRDefault="008654C7" w:rsidP="003A3352">
      <w:pPr>
        <w:rPr>
          <w:rFonts w:eastAsia="Times New Roman" w:cs="Times New Roman"/>
          <w:b/>
          <w:bCs/>
          <w:lang w:eastAsia="en-IE"/>
        </w:rPr>
      </w:pPr>
      <w:r w:rsidRPr="003A3352">
        <w:rPr>
          <w:rFonts w:eastAsia="Times New Roman" w:cs="Times New Roman"/>
          <w:b/>
          <w:bCs/>
          <w:lang w:eastAsia="en-IE"/>
        </w:rPr>
        <w:t>Sectoral Members</w:t>
      </w:r>
    </w:p>
    <w:p w14:paraId="141CA737" w14:textId="77777777" w:rsidR="008654C7" w:rsidRPr="00AE7A67" w:rsidRDefault="008654C7" w:rsidP="003A3352">
      <w:pPr>
        <w:rPr>
          <w:rFonts w:eastAsia="Times New Roman" w:cs="Times New Roman"/>
          <w:lang w:eastAsia="en-IE"/>
        </w:rPr>
      </w:pPr>
      <w:r w:rsidRPr="00AE7A67">
        <w:rPr>
          <w:rFonts w:eastAsia="Times New Roman" w:cs="Times New Roman"/>
          <w:lang w:eastAsia="en-IE"/>
        </w:rPr>
        <w:t>Eoin Ahern - PPN</w:t>
      </w:r>
    </w:p>
    <w:p w14:paraId="3CD026BA" w14:textId="77777777" w:rsidR="008654C7" w:rsidRDefault="008654C7" w:rsidP="003A3352">
      <w:pPr>
        <w:rPr>
          <w:rFonts w:eastAsia="Times New Roman" w:cs="Times New Roman"/>
          <w:lang w:eastAsia="en-IE"/>
        </w:rPr>
      </w:pPr>
    </w:p>
    <w:p w14:paraId="2AF2FD62" w14:textId="77777777" w:rsidR="005B296A" w:rsidRPr="005A1628" w:rsidRDefault="005B296A" w:rsidP="005B296A">
      <w:pPr>
        <w:rPr>
          <w:rFonts w:cstheme="minorHAnsi"/>
          <w:b/>
          <w:bCs/>
        </w:rPr>
      </w:pPr>
      <w:r w:rsidRPr="003A3352">
        <w:rPr>
          <w:rFonts w:cstheme="minorHAnsi"/>
          <w:b/>
          <w:bCs/>
        </w:rPr>
        <w:t>Membership</w:t>
      </w:r>
      <w:r w:rsidRPr="00403213">
        <w:rPr>
          <w:u w:val="single"/>
        </w:rPr>
        <w:t xml:space="preserve"> </w:t>
      </w:r>
      <w:r w:rsidRPr="005A1628">
        <w:rPr>
          <w:rFonts w:cstheme="minorHAnsi"/>
          <w:b/>
          <w:bCs/>
        </w:rPr>
        <w:t>June 2024 – December 2024</w:t>
      </w:r>
    </w:p>
    <w:p w14:paraId="22B4B193" w14:textId="6A03AF74" w:rsidR="008654C7" w:rsidRPr="003A3352" w:rsidRDefault="008654C7" w:rsidP="003A3352">
      <w:pPr>
        <w:rPr>
          <w:rFonts w:eastAsia="Times New Roman" w:cs="Times New Roman"/>
          <w:b/>
          <w:bCs/>
          <w:lang w:eastAsia="en-IE"/>
        </w:rPr>
      </w:pPr>
      <w:r w:rsidRPr="003A3352">
        <w:rPr>
          <w:rFonts w:eastAsia="Times New Roman" w:cs="Times New Roman"/>
          <w:b/>
          <w:bCs/>
          <w:lang w:eastAsia="en-IE"/>
        </w:rPr>
        <w:t xml:space="preserve">Council Members </w:t>
      </w:r>
    </w:p>
    <w:p w14:paraId="090D1EA9" w14:textId="77777777" w:rsidR="008654C7" w:rsidRDefault="008654C7" w:rsidP="003A3352">
      <w:pPr>
        <w:rPr>
          <w:rFonts w:eastAsia="Times New Roman" w:cs="Times New Roman"/>
          <w:lang w:eastAsia="en-IE"/>
        </w:rPr>
      </w:pPr>
      <w:r>
        <w:rPr>
          <w:rFonts w:eastAsia="Times New Roman" w:cs="Times New Roman"/>
          <w:lang w:eastAsia="en-IE"/>
        </w:rPr>
        <w:t>Teresa Costello (Fianna Fail) (Chair)</w:t>
      </w:r>
    </w:p>
    <w:p w14:paraId="575DED18" w14:textId="77777777" w:rsidR="008654C7" w:rsidRDefault="008654C7" w:rsidP="003A3352">
      <w:pPr>
        <w:rPr>
          <w:rFonts w:eastAsia="Times New Roman" w:cs="Times New Roman"/>
          <w:lang w:eastAsia="en-IE"/>
        </w:rPr>
      </w:pPr>
      <w:r>
        <w:rPr>
          <w:rFonts w:eastAsia="Times New Roman" w:cs="Times New Roman"/>
          <w:lang w:eastAsia="en-IE"/>
        </w:rPr>
        <w:t>David McManus (Fine Gael)</w:t>
      </w:r>
    </w:p>
    <w:p w14:paraId="495D984C" w14:textId="5153FFBC" w:rsidR="008654C7" w:rsidRDefault="00273068" w:rsidP="003A3352">
      <w:pPr>
        <w:rPr>
          <w:rFonts w:eastAsia="Times New Roman" w:cs="Times New Roman"/>
          <w:lang w:eastAsia="en-IE"/>
        </w:rPr>
      </w:pPr>
      <w:r>
        <w:rPr>
          <w:rFonts w:eastAsia="Times New Roman" w:cs="Times New Roman"/>
          <w:lang w:eastAsia="en-IE"/>
        </w:rPr>
        <w:t>Ciarán</w:t>
      </w:r>
      <w:r w:rsidR="008654C7">
        <w:rPr>
          <w:rFonts w:eastAsia="Times New Roman" w:cs="Times New Roman"/>
          <w:lang w:eastAsia="en-IE"/>
        </w:rPr>
        <w:t xml:space="preserve"> Ahern (Labour)</w:t>
      </w:r>
      <w:r>
        <w:rPr>
          <w:rFonts w:eastAsia="Times New Roman" w:cs="Times New Roman"/>
          <w:lang w:eastAsia="en-IE"/>
        </w:rPr>
        <w:t xml:space="preserve"> – Elected to the 34</w:t>
      </w:r>
      <w:r w:rsidRPr="00273068">
        <w:rPr>
          <w:rFonts w:eastAsia="Times New Roman" w:cs="Times New Roman"/>
          <w:vertAlign w:val="superscript"/>
          <w:lang w:eastAsia="en-IE"/>
        </w:rPr>
        <w:t>th</w:t>
      </w:r>
      <w:r>
        <w:rPr>
          <w:rFonts w:eastAsia="Times New Roman" w:cs="Times New Roman"/>
          <w:lang w:eastAsia="en-IE"/>
        </w:rPr>
        <w:t xml:space="preserve"> Dáil on 29</w:t>
      </w:r>
      <w:r w:rsidRPr="00273068">
        <w:rPr>
          <w:rFonts w:eastAsia="Times New Roman" w:cs="Times New Roman"/>
          <w:vertAlign w:val="superscript"/>
          <w:lang w:eastAsia="en-IE"/>
        </w:rPr>
        <w:t>th</w:t>
      </w:r>
      <w:r>
        <w:rPr>
          <w:rFonts w:eastAsia="Times New Roman" w:cs="Times New Roman"/>
          <w:lang w:eastAsia="en-IE"/>
        </w:rPr>
        <w:t xml:space="preserve"> November</w:t>
      </w:r>
    </w:p>
    <w:p w14:paraId="26A868A3" w14:textId="5435286F" w:rsidR="008654C7" w:rsidRPr="00AE7A67" w:rsidRDefault="008654C7" w:rsidP="003A3352">
      <w:pPr>
        <w:rPr>
          <w:rFonts w:eastAsia="Times New Roman" w:cs="Times New Roman"/>
          <w:lang w:eastAsia="en-IE"/>
        </w:rPr>
      </w:pPr>
      <w:r>
        <w:rPr>
          <w:rFonts w:eastAsia="Times New Roman" w:cs="Times New Roman"/>
          <w:lang w:eastAsia="en-IE"/>
        </w:rPr>
        <w:t>Niamh Fennell (Sinn Fein</w:t>
      </w:r>
      <w:r w:rsidR="00273068">
        <w:rPr>
          <w:rFonts w:eastAsia="Times New Roman" w:cs="Times New Roman"/>
          <w:lang w:eastAsia="en-IE"/>
        </w:rPr>
        <w:t>)</w:t>
      </w:r>
    </w:p>
    <w:p w14:paraId="25C30491" w14:textId="64D27FD4" w:rsidR="008654C7" w:rsidRDefault="008654C7" w:rsidP="003A3352">
      <w:pPr>
        <w:rPr>
          <w:rFonts w:eastAsia="Times New Roman" w:cs="Times New Roman"/>
          <w:lang w:eastAsia="en-IE"/>
        </w:rPr>
      </w:pPr>
      <w:r>
        <w:rPr>
          <w:rFonts w:eastAsia="Times New Roman" w:cs="Times New Roman"/>
          <w:lang w:eastAsia="en-IE"/>
        </w:rPr>
        <w:t>Paul Gogarty (Independent)</w:t>
      </w:r>
      <w:r w:rsidR="00273068">
        <w:rPr>
          <w:rFonts w:eastAsia="Times New Roman" w:cs="Times New Roman"/>
          <w:lang w:eastAsia="en-IE"/>
        </w:rPr>
        <w:t xml:space="preserve"> – Elected to the 34</w:t>
      </w:r>
      <w:r w:rsidR="00273068" w:rsidRPr="00273068">
        <w:rPr>
          <w:rFonts w:eastAsia="Times New Roman" w:cs="Times New Roman"/>
          <w:vertAlign w:val="superscript"/>
          <w:lang w:eastAsia="en-IE"/>
        </w:rPr>
        <w:t>th</w:t>
      </w:r>
      <w:r w:rsidR="00273068">
        <w:rPr>
          <w:rFonts w:eastAsia="Times New Roman" w:cs="Times New Roman"/>
          <w:lang w:eastAsia="en-IE"/>
        </w:rPr>
        <w:t xml:space="preserve"> Dáil on 29</w:t>
      </w:r>
      <w:r w:rsidR="00273068" w:rsidRPr="00273068">
        <w:rPr>
          <w:rFonts w:eastAsia="Times New Roman" w:cs="Times New Roman"/>
          <w:vertAlign w:val="superscript"/>
          <w:lang w:eastAsia="en-IE"/>
        </w:rPr>
        <w:t>th</w:t>
      </w:r>
      <w:r w:rsidR="00273068">
        <w:rPr>
          <w:rFonts w:eastAsia="Times New Roman" w:cs="Times New Roman"/>
          <w:lang w:eastAsia="en-IE"/>
        </w:rPr>
        <w:t xml:space="preserve"> November</w:t>
      </w:r>
    </w:p>
    <w:p w14:paraId="4592EFDD" w14:textId="77777777" w:rsidR="008654C7" w:rsidRPr="00AE7A67" w:rsidRDefault="008654C7" w:rsidP="003A3352">
      <w:pPr>
        <w:rPr>
          <w:rFonts w:eastAsia="Times New Roman" w:cs="Times New Roman"/>
          <w:lang w:eastAsia="en-IE"/>
        </w:rPr>
      </w:pPr>
      <w:r>
        <w:rPr>
          <w:rFonts w:eastAsia="Times New Roman" w:cs="Times New Roman"/>
          <w:lang w:eastAsia="en-IE"/>
        </w:rPr>
        <w:t>Jess Spear (People Before Profit)</w:t>
      </w:r>
    </w:p>
    <w:p w14:paraId="43969610" w14:textId="2F6FAB19" w:rsidR="008654C7" w:rsidRPr="003A3352" w:rsidRDefault="008654C7" w:rsidP="003A3352">
      <w:pPr>
        <w:rPr>
          <w:rFonts w:eastAsia="Times New Roman" w:cs="Times New Roman"/>
          <w:b/>
          <w:bCs/>
          <w:lang w:eastAsia="en-IE"/>
        </w:rPr>
      </w:pPr>
      <w:r w:rsidRPr="003A3352">
        <w:rPr>
          <w:rFonts w:eastAsia="Times New Roman" w:cs="Times New Roman"/>
          <w:b/>
          <w:bCs/>
          <w:lang w:eastAsia="en-IE"/>
        </w:rPr>
        <w:t>Sectoral Members</w:t>
      </w:r>
    </w:p>
    <w:p w14:paraId="0307CAFE" w14:textId="77777777" w:rsidR="008654C7" w:rsidRPr="00AE7A67" w:rsidRDefault="008654C7" w:rsidP="003A3352">
      <w:pPr>
        <w:rPr>
          <w:rFonts w:eastAsia="Times New Roman" w:cs="Times New Roman"/>
          <w:lang w:eastAsia="en-IE"/>
        </w:rPr>
      </w:pPr>
      <w:r w:rsidRPr="00AE7A67">
        <w:rPr>
          <w:rFonts w:eastAsia="Times New Roman" w:cs="Times New Roman"/>
          <w:lang w:eastAsia="en-IE"/>
        </w:rPr>
        <w:t>Fergus Sharp – Business Commercial</w:t>
      </w:r>
    </w:p>
    <w:p w14:paraId="5D032A51" w14:textId="77777777" w:rsidR="008654C7" w:rsidRPr="00AE7A67" w:rsidRDefault="008654C7" w:rsidP="003A3352">
      <w:pPr>
        <w:rPr>
          <w:rFonts w:eastAsia="Times New Roman" w:cs="Times New Roman"/>
          <w:lang w:eastAsia="en-IE"/>
        </w:rPr>
      </w:pPr>
      <w:r w:rsidRPr="00AE7A67">
        <w:rPr>
          <w:rFonts w:eastAsia="Times New Roman" w:cs="Times New Roman"/>
          <w:lang w:eastAsia="en-IE"/>
        </w:rPr>
        <w:t>Sean O’Neill – Development Construction</w:t>
      </w:r>
    </w:p>
    <w:p w14:paraId="5D7B6089" w14:textId="77777777" w:rsidR="008654C7" w:rsidRPr="00AE7A67" w:rsidRDefault="008654C7" w:rsidP="003A3352">
      <w:pPr>
        <w:rPr>
          <w:rFonts w:eastAsia="Times New Roman" w:cs="Times New Roman"/>
          <w:lang w:eastAsia="en-IE"/>
        </w:rPr>
      </w:pPr>
      <w:r w:rsidRPr="00AE7A67">
        <w:rPr>
          <w:rFonts w:eastAsia="Times New Roman" w:cs="Times New Roman"/>
          <w:lang w:eastAsia="en-IE"/>
        </w:rPr>
        <w:t>Eoin Ahern – Public Participation Network (PPN)</w:t>
      </w:r>
    </w:p>
    <w:p w14:paraId="613342F5" w14:textId="77777777" w:rsidR="008654C7" w:rsidRPr="00AE7A67" w:rsidRDefault="008654C7" w:rsidP="003A3352">
      <w:pPr>
        <w:rPr>
          <w:rFonts w:eastAsia="Times New Roman" w:cs="Times New Roman"/>
          <w:lang w:eastAsia="en-IE"/>
        </w:rPr>
      </w:pPr>
      <w:r w:rsidRPr="00AE7A67">
        <w:rPr>
          <w:rFonts w:eastAsia="Times New Roman" w:cs="Times New Roman"/>
          <w:lang w:eastAsia="en-IE"/>
        </w:rPr>
        <w:t>Declan Hanley - Public Participation Network (PPN)</w:t>
      </w:r>
    </w:p>
    <w:p w14:paraId="05F2BE1C" w14:textId="77777777" w:rsidR="008654C7" w:rsidRDefault="008654C7" w:rsidP="003A3352">
      <w:pPr>
        <w:rPr>
          <w:rFonts w:cstheme="minorHAnsi"/>
        </w:rPr>
      </w:pPr>
    </w:p>
    <w:p w14:paraId="6381DF2B" w14:textId="77777777" w:rsidR="009C4CE2" w:rsidRPr="003A3352" w:rsidRDefault="009C4CE2" w:rsidP="009C4CE2">
      <w:pPr>
        <w:rPr>
          <w:rFonts w:cstheme="minorHAnsi"/>
          <w:b/>
          <w:bCs/>
        </w:rPr>
      </w:pPr>
      <w:r>
        <w:rPr>
          <w:rFonts w:cstheme="minorHAnsi"/>
          <w:b/>
          <w:bCs/>
        </w:rPr>
        <w:t xml:space="preserve">2024 </w:t>
      </w:r>
      <w:r w:rsidRPr="003A3352">
        <w:rPr>
          <w:rFonts w:cstheme="minorHAnsi"/>
          <w:b/>
          <w:bCs/>
        </w:rPr>
        <w:t>P</w:t>
      </w:r>
      <w:r>
        <w:rPr>
          <w:rFonts w:cstheme="minorHAnsi"/>
          <w:b/>
          <w:bCs/>
        </w:rPr>
        <w:t>ROGAMME OF WORK</w:t>
      </w:r>
    </w:p>
    <w:p w14:paraId="518C71AF" w14:textId="77777777" w:rsidR="00871415" w:rsidRPr="0067762E" w:rsidRDefault="00871415" w:rsidP="006B1FA9">
      <w:pPr>
        <w:pStyle w:val="ListParagraph"/>
        <w:numPr>
          <w:ilvl w:val="0"/>
          <w:numId w:val="22"/>
        </w:numPr>
        <w:rPr>
          <w:rFonts w:eastAsia="Times New Roman"/>
        </w:rPr>
      </w:pPr>
      <w:r w:rsidRPr="0067762E">
        <w:rPr>
          <w:rFonts w:eastAsia="Times New Roman"/>
        </w:rPr>
        <w:t>County Development Plan – Update on City Edge Variation  </w:t>
      </w:r>
    </w:p>
    <w:p w14:paraId="13F2236A" w14:textId="77777777" w:rsidR="00871415" w:rsidRPr="006B1FA9" w:rsidRDefault="00871415" w:rsidP="006B1FA9">
      <w:pPr>
        <w:pStyle w:val="ListParagraph"/>
        <w:numPr>
          <w:ilvl w:val="0"/>
          <w:numId w:val="22"/>
        </w:numPr>
        <w:rPr>
          <w:rFonts w:eastAsia="Times New Roman"/>
        </w:rPr>
      </w:pPr>
      <w:r w:rsidRPr="006B1FA9">
        <w:rPr>
          <w:rFonts w:eastAsia="Times New Roman"/>
        </w:rPr>
        <w:t>County Development Plan – Update on monitoring of the adopted County Development Plan and Strategic Environmental Assessment  </w:t>
      </w:r>
    </w:p>
    <w:p w14:paraId="4B454F02" w14:textId="77777777" w:rsidR="00871415" w:rsidRPr="006B1FA9" w:rsidRDefault="00871415" w:rsidP="006B1FA9">
      <w:pPr>
        <w:pStyle w:val="ListParagraph"/>
        <w:numPr>
          <w:ilvl w:val="0"/>
          <w:numId w:val="22"/>
        </w:numPr>
        <w:rPr>
          <w:rFonts w:eastAsia="Times New Roman"/>
        </w:rPr>
      </w:pPr>
      <w:r w:rsidRPr="006B1FA9">
        <w:rPr>
          <w:rFonts w:eastAsia="Times New Roman"/>
        </w:rPr>
        <w:t xml:space="preserve">‘Rights to Light’ explained </w:t>
      </w:r>
    </w:p>
    <w:p w14:paraId="3CF4CDBA" w14:textId="77777777" w:rsidR="00871415" w:rsidRPr="006B1FA9" w:rsidRDefault="00871415" w:rsidP="006B1FA9">
      <w:pPr>
        <w:pStyle w:val="ListParagraph"/>
        <w:numPr>
          <w:ilvl w:val="0"/>
          <w:numId w:val="22"/>
        </w:numPr>
        <w:rPr>
          <w:rFonts w:eastAsia="Times New Roman"/>
        </w:rPr>
      </w:pPr>
      <w:r w:rsidRPr="006B1FA9">
        <w:rPr>
          <w:rFonts w:eastAsia="Times New Roman"/>
        </w:rPr>
        <w:t xml:space="preserve">Public Right of Way (discussion on identifying new rights of way) </w:t>
      </w:r>
    </w:p>
    <w:p w14:paraId="168535C9" w14:textId="77777777" w:rsidR="00871415" w:rsidRPr="006B1FA9" w:rsidRDefault="00871415" w:rsidP="006B1FA9">
      <w:pPr>
        <w:pStyle w:val="ListParagraph"/>
        <w:numPr>
          <w:ilvl w:val="0"/>
          <w:numId w:val="22"/>
        </w:numPr>
        <w:rPr>
          <w:rFonts w:eastAsia="Times New Roman"/>
        </w:rPr>
      </w:pPr>
      <w:r w:rsidRPr="006B1FA9">
        <w:rPr>
          <w:rFonts w:eastAsia="Times New Roman"/>
        </w:rPr>
        <w:t xml:space="preserve">Clondalkin Local Area Plan update </w:t>
      </w:r>
    </w:p>
    <w:p w14:paraId="0F6D1200" w14:textId="77777777" w:rsidR="00871415" w:rsidRPr="006B1FA9" w:rsidRDefault="00871415" w:rsidP="006B1FA9">
      <w:pPr>
        <w:pStyle w:val="ListParagraph"/>
        <w:numPr>
          <w:ilvl w:val="0"/>
          <w:numId w:val="22"/>
        </w:numPr>
        <w:rPr>
          <w:rFonts w:eastAsia="Times New Roman"/>
        </w:rPr>
      </w:pPr>
      <w:r w:rsidRPr="006B1FA9">
        <w:rPr>
          <w:rFonts w:eastAsia="Times New Roman"/>
        </w:rPr>
        <w:t>Development Contribution Scheme update</w:t>
      </w:r>
    </w:p>
    <w:p w14:paraId="66584365" w14:textId="77777777" w:rsidR="00871415" w:rsidRPr="006B1FA9" w:rsidRDefault="00871415" w:rsidP="006B1FA9">
      <w:pPr>
        <w:pStyle w:val="ListParagraph"/>
        <w:numPr>
          <w:ilvl w:val="0"/>
          <w:numId w:val="22"/>
        </w:numPr>
        <w:rPr>
          <w:rFonts w:eastAsia="Times New Roman"/>
        </w:rPr>
      </w:pPr>
      <w:r w:rsidRPr="006B1FA9">
        <w:rPr>
          <w:rFonts w:eastAsia="Times New Roman"/>
        </w:rPr>
        <w:t>Heritage Plan review</w:t>
      </w:r>
    </w:p>
    <w:p w14:paraId="631E58C6" w14:textId="77777777" w:rsidR="00871415" w:rsidRPr="006B1FA9" w:rsidRDefault="00871415" w:rsidP="006B1FA9">
      <w:pPr>
        <w:pStyle w:val="ListParagraph"/>
        <w:numPr>
          <w:ilvl w:val="0"/>
          <w:numId w:val="22"/>
        </w:numPr>
        <w:rPr>
          <w:rFonts w:eastAsia="Times New Roman"/>
        </w:rPr>
      </w:pPr>
      <w:r w:rsidRPr="006B1FA9">
        <w:rPr>
          <w:rFonts w:eastAsia="Times New Roman"/>
        </w:rPr>
        <w:t>Biodiversity Action Plan update  </w:t>
      </w:r>
    </w:p>
    <w:p w14:paraId="1E409107" w14:textId="77777777" w:rsidR="00871415" w:rsidRPr="006B1FA9" w:rsidRDefault="00871415" w:rsidP="006B1FA9">
      <w:pPr>
        <w:pStyle w:val="ListParagraph"/>
        <w:numPr>
          <w:ilvl w:val="0"/>
          <w:numId w:val="22"/>
        </w:numPr>
        <w:rPr>
          <w:rFonts w:eastAsia="Times New Roman"/>
        </w:rPr>
      </w:pPr>
      <w:r w:rsidRPr="006B1FA9">
        <w:rPr>
          <w:rFonts w:eastAsia="Times New Roman"/>
        </w:rPr>
        <w:t xml:space="preserve">Planning and Development Act 2024 update </w:t>
      </w:r>
    </w:p>
    <w:p w14:paraId="04AD1C90" w14:textId="77777777" w:rsidR="00871415" w:rsidRPr="0067762E" w:rsidRDefault="00871415" w:rsidP="003A3352">
      <w:pPr>
        <w:rPr>
          <w:rFonts w:eastAsia="Times New Roman"/>
        </w:rPr>
      </w:pPr>
    </w:p>
    <w:p w14:paraId="002D755E" w14:textId="50A229D5" w:rsidR="00871415" w:rsidRPr="004C3E99" w:rsidRDefault="00A757BF" w:rsidP="003A3352">
      <w:pPr>
        <w:pStyle w:val="Heading2"/>
      </w:pPr>
      <w:bookmarkStart w:id="35" w:name="_Toc195533613"/>
      <w:bookmarkStart w:id="36" w:name="_Toc195533685"/>
      <w:bookmarkStart w:id="37" w:name="_Toc195533962"/>
      <w:bookmarkStart w:id="38" w:name="_Toc195534037"/>
      <w:bookmarkStart w:id="39" w:name="_Toc195534400"/>
      <w:bookmarkStart w:id="40" w:name="_Toc195534601"/>
      <w:bookmarkStart w:id="41" w:name="_Toc199244557"/>
      <w:r w:rsidRPr="004C3E99">
        <w:t xml:space="preserve">Environment, Public Realm </w:t>
      </w:r>
      <w:r>
        <w:t>a</w:t>
      </w:r>
      <w:r w:rsidRPr="004C3E99">
        <w:t xml:space="preserve">nd Climate Change </w:t>
      </w:r>
      <w:proofErr w:type="spellStart"/>
      <w:r w:rsidRPr="004C3E99">
        <w:t>Spc</w:t>
      </w:r>
      <w:bookmarkEnd w:id="35"/>
      <w:bookmarkEnd w:id="36"/>
      <w:bookmarkEnd w:id="37"/>
      <w:bookmarkEnd w:id="38"/>
      <w:bookmarkEnd w:id="39"/>
      <w:bookmarkEnd w:id="40"/>
      <w:bookmarkEnd w:id="41"/>
      <w:proofErr w:type="spellEnd"/>
    </w:p>
    <w:p w14:paraId="6AFC3B56" w14:textId="77777777" w:rsidR="00871415" w:rsidRDefault="00871415" w:rsidP="003A3352">
      <w:pPr>
        <w:rPr>
          <w:rFonts w:cstheme="minorHAnsi"/>
        </w:rPr>
      </w:pPr>
      <w:r>
        <w:rPr>
          <w:rFonts w:cstheme="minorHAnsi"/>
        </w:rPr>
        <w:t xml:space="preserve">Pre 2024 Local Election </w:t>
      </w:r>
      <w:r w:rsidRPr="00D457CE">
        <w:rPr>
          <w:rFonts w:cstheme="minorHAnsi"/>
        </w:rPr>
        <w:t>Chair:</w:t>
      </w:r>
      <w:r w:rsidRPr="004C3E99">
        <w:rPr>
          <w:rFonts w:cstheme="minorHAnsi"/>
        </w:rPr>
        <w:t xml:space="preserve"> Cllr </w:t>
      </w:r>
      <w:r>
        <w:rPr>
          <w:rFonts w:cstheme="minorHAnsi"/>
        </w:rPr>
        <w:t>David Manus</w:t>
      </w:r>
    </w:p>
    <w:p w14:paraId="697D482E" w14:textId="77777777" w:rsidR="00871415" w:rsidRPr="00D457CE" w:rsidRDefault="00871415" w:rsidP="003A3352">
      <w:pPr>
        <w:rPr>
          <w:rFonts w:cstheme="minorHAnsi"/>
        </w:rPr>
      </w:pPr>
      <w:r>
        <w:rPr>
          <w:rFonts w:cstheme="minorHAnsi"/>
        </w:rPr>
        <w:t xml:space="preserve">Post 2024 Local Election </w:t>
      </w:r>
      <w:r w:rsidRPr="00D457CE">
        <w:rPr>
          <w:rFonts w:cstheme="minorHAnsi"/>
        </w:rPr>
        <w:t>Chair:</w:t>
      </w:r>
      <w:r>
        <w:rPr>
          <w:rFonts w:cstheme="minorHAnsi"/>
        </w:rPr>
        <w:t xml:space="preserve"> Brian Lawlor</w:t>
      </w:r>
    </w:p>
    <w:p w14:paraId="0646F132" w14:textId="77777777" w:rsidR="00871415" w:rsidRDefault="00871415" w:rsidP="003A3352">
      <w:pPr>
        <w:rPr>
          <w:rFonts w:cstheme="minorHAnsi"/>
        </w:rPr>
      </w:pPr>
      <w:r w:rsidRPr="004C3E99">
        <w:rPr>
          <w:rFonts w:cstheme="minorHAnsi"/>
        </w:rPr>
        <w:lastRenderedPageBreak/>
        <w:t xml:space="preserve">Director: Teresa Walsh </w:t>
      </w:r>
    </w:p>
    <w:p w14:paraId="4556741F" w14:textId="3C3B1F01" w:rsidR="008654C7" w:rsidRDefault="008654C7" w:rsidP="003A3352">
      <w:pPr>
        <w:rPr>
          <w:rFonts w:cstheme="minorHAnsi"/>
        </w:rPr>
      </w:pPr>
    </w:p>
    <w:p w14:paraId="241085F0" w14:textId="77777777" w:rsidR="005B296A" w:rsidRPr="005A1628" w:rsidRDefault="005B296A" w:rsidP="005B296A">
      <w:pPr>
        <w:rPr>
          <w:rFonts w:cstheme="minorHAnsi"/>
          <w:b/>
          <w:bCs/>
        </w:rPr>
      </w:pPr>
      <w:r w:rsidRPr="003A3352">
        <w:rPr>
          <w:rFonts w:cstheme="minorHAnsi"/>
          <w:b/>
          <w:bCs/>
        </w:rPr>
        <w:t>Membership</w:t>
      </w:r>
      <w:r>
        <w:rPr>
          <w:rFonts w:cstheme="minorHAnsi"/>
          <w:b/>
          <w:bCs/>
        </w:rPr>
        <w:t xml:space="preserve"> </w:t>
      </w:r>
      <w:r w:rsidRPr="005B296A">
        <w:rPr>
          <w:rFonts w:cstheme="minorHAnsi"/>
          <w:b/>
          <w:bCs/>
        </w:rPr>
        <w:t>J</w:t>
      </w:r>
      <w:r w:rsidRPr="005A1628">
        <w:rPr>
          <w:rFonts w:cstheme="minorHAnsi"/>
          <w:b/>
          <w:bCs/>
        </w:rPr>
        <w:t>anuary – May 2024</w:t>
      </w:r>
    </w:p>
    <w:p w14:paraId="74F481B7" w14:textId="15927A6F" w:rsidR="008654C7" w:rsidRPr="003A3352" w:rsidRDefault="008654C7" w:rsidP="003A3352">
      <w:pPr>
        <w:rPr>
          <w:rFonts w:eastAsia="Times New Roman" w:cs="Times New Roman"/>
          <w:b/>
          <w:bCs/>
          <w:lang w:eastAsia="en-IE"/>
        </w:rPr>
      </w:pPr>
      <w:r w:rsidRPr="003A3352">
        <w:rPr>
          <w:rFonts w:eastAsia="Times New Roman" w:cs="Times New Roman"/>
          <w:b/>
          <w:bCs/>
          <w:lang w:eastAsia="en-IE"/>
        </w:rPr>
        <w:t xml:space="preserve">Council Members </w:t>
      </w:r>
    </w:p>
    <w:p w14:paraId="63212EDB" w14:textId="77777777" w:rsidR="008654C7" w:rsidRPr="00677919" w:rsidRDefault="008654C7" w:rsidP="003A3352">
      <w:pPr>
        <w:rPr>
          <w:rFonts w:eastAsia="Times New Roman" w:cs="Times New Roman"/>
          <w:lang w:eastAsia="en-IE"/>
        </w:rPr>
      </w:pPr>
      <w:r w:rsidRPr="00677919">
        <w:rPr>
          <w:rFonts w:eastAsia="Times New Roman" w:cs="Times New Roman"/>
          <w:lang w:eastAsia="en-IE"/>
        </w:rPr>
        <w:t>David McManus (Fine Gael) - Chair</w:t>
      </w:r>
    </w:p>
    <w:p w14:paraId="0B0F7EA0" w14:textId="77777777" w:rsidR="008654C7" w:rsidRPr="00677919" w:rsidRDefault="008654C7" w:rsidP="003A3352">
      <w:pPr>
        <w:rPr>
          <w:rFonts w:eastAsia="Times New Roman" w:cs="Times New Roman"/>
          <w:lang w:eastAsia="en-IE"/>
        </w:rPr>
      </w:pPr>
      <w:r w:rsidRPr="00677919">
        <w:rPr>
          <w:rFonts w:eastAsia="Times New Roman" w:cs="Times New Roman"/>
          <w:lang w:eastAsia="en-IE"/>
        </w:rPr>
        <w:t xml:space="preserve">Emma Murphy (Fianna </w:t>
      </w:r>
      <w:proofErr w:type="spellStart"/>
      <w:r w:rsidRPr="00677919">
        <w:rPr>
          <w:rFonts w:eastAsia="Times New Roman" w:cs="Times New Roman"/>
          <w:lang w:eastAsia="en-IE"/>
        </w:rPr>
        <w:t>Fáil</w:t>
      </w:r>
      <w:proofErr w:type="spellEnd"/>
      <w:r w:rsidRPr="00677919">
        <w:rPr>
          <w:rFonts w:eastAsia="Times New Roman" w:cs="Times New Roman"/>
          <w:lang w:eastAsia="en-IE"/>
        </w:rPr>
        <w:t>)</w:t>
      </w:r>
    </w:p>
    <w:p w14:paraId="6C796549" w14:textId="77777777" w:rsidR="008654C7" w:rsidRPr="00677919" w:rsidRDefault="008654C7" w:rsidP="003A3352">
      <w:pPr>
        <w:rPr>
          <w:rFonts w:eastAsia="Times New Roman" w:cs="Times New Roman"/>
          <w:lang w:eastAsia="en-IE"/>
        </w:rPr>
      </w:pPr>
      <w:r w:rsidRPr="00677919">
        <w:rPr>
          <w:rFonts w:eastAsia="Times New Roman" w:cs="Times New Roman"/>
          <w:lang w:eastAsia="en-IE"/>
        </w:rPr>
        <w:t>Dermot Richardson (Sinn Féin)</w:t>
      </w:r>
    </w:p>
    <w:p w14:paraId="082FA552" w14:textId="77777777" w:rsidR="008654C7" w:rsidRPr="00677919" w:rsidRDefault="008654C7" w:rsidP="003A3352">
      <w:pPr>
        <w:rPr>
          <w:rFonts w:eastAsia="Times New Roman" w:cs="Times New Roman"/>
          <w:lang w:eastAsia="en-IE"/>
        </w:rPr>
      </w:pPr>
      <w:r w:rsidRPr="00677919">
        <w:rPr>
          <w:rFonts w:eastAsia="Times New Roman" w:cs="Times New Roman"/>
          <w:lang w:eastAsia="en-IE"/>
        </w:rPr>
        <w:t>Madeleine Johansson (Solidarity)</w:t>
      </w:r>
    </w:p>
    <w:p w14:paraId="26E601BF" w14:textId="77777777" w:rsidR="008654C7" w:rsidRPr="00677919" w:rsidRDefault="008654C7" w:rsidP="003A3352">
      <w:pPr>
        <w:rPr>
          <w:rFonts w:eastAsia="Times New Roman" w:cs="Times New Roman"/>
          <w:lang w:eastAsia="en-IE"/>
        </w:rPr>
      </w:pPr>
      <w:r w:rsidRPr="00677919">
        <w:rPr>
          <w:rFonts w:eastAsia="Times New Roman" w:cs="Times New Roman"/>
          <w:lang w:eastAsia="en-IE"/>
        </w:rPr>
        <w:t>Francis Timmons (Independent)</w:t>
      </w:r>
    </w:p>
    <w:p w14:paraId="60DDD6C0" w14:textId="77777777" w:rsidR="008654C7" w:rsidRPr="00677919" w:rsidRDefault="008654C7" w:rsidP="003A3352">
      <w:pPr>
        <w:rPr>
          <w:rFonts w:eastAsia="Times New Roman" w:cs="Times New Roman"/>
          <w:lang w:eastAsia="en-IE"/>
        </w:rPr>
      </w:pPr>
      <w:r w:rsidRPr="00677919">
        <w:rPr>
          <w:rFonts w:eastAsia="Times New Roman" w:cs="Times New Roman"/>
          <w:lang w:eastAsia="en-IE"/>
        </w:rPr>
        <w:t>Alan Edge (Independent)</w:t>
      </w:r>
    </w:p>
    <w:p w14:paraId="39845FD6" w14:textId="77777777" w:rsidR="008654C7" w:rsidRDefault="008654C7" w:rsidP="003A3352">
      <w:pPr>
        <w:rPr>
          <w:rFonts w:eastAsia="Times New Roman" w:cs="Times New Roman"/>
          <w:lang w:eastAsia="en-IE"/>
        </w:rPr>
      </w:pPr>
      <w:r w:rsidRPr="00677919">
        <w:rPr>
          <w:rFonts w:eastAsia="Times New Roman" w:cs="Times New Roman"/>
          <w:lang w:eastAsia="en-IE"/>
        </w:rPr>
        <w:t>Vanessa Mulhall (Green Party)</w:t>
      </w:r>
    </w:p>
    <w:p w14:paraId="79476DA1" w14:textId="3B4D0A57" w:rsidR="008654C7" w:rsidRPr="003A3352" w:rsidRDefault="008654C7" w:rsidP="003A3352">
      <w:pPr>
        <w:rPr>
          <w:rFonts w:eastAsia="Times New Roman" w:cs="Times New Roman"/>
          <w:b/>
          <w:bCs/>
          <w:lang w:eastAsia="en-IE"/>
        </w:rPr>
      </w:pPr>
      <w:r w:rsidRPr="003A3352">
        <w:rPr>
          <w:rFonts w:eastAsia="Times New Roman" w:cs="Times New Roman"/>
          <w:b/>
          <w:bCs/>
          <w:lang w:eastAsia="en-IE"/>
        </w:rPr>
        <w:t>Sectoral Members</w:t>
      </w:r>
    </w:p>
    <w:p w14:paraId="4445B50C" w14:textId="77777777" w:rsidR="008654C7" w:rsidRPr="00677919" w:rsidRDefault="008654C7" w:rsidP="003A3352">
      <w:pPr>
        <w:rPr>
          <w:rFonts w:eastAsia="Times New Roman" w:cs="Times New Roman"/>
          <w:lang w:eastAsia="en-IE"/>
        </w:rPr>
      </w:pPr>
      <w:r>
        <w:rPr>
          <w:rFonts w:eastAsia="Times New Roman" w:cs="Times New Roman"/>
          <w:lang w:eastAsia="en-IE"/>
        </w:rPr>
        <w:t xml:space="preserve">John </w:t>
      </w:r>
      <w:proofErr w:type="spellStart"/>
      <w:r>
        <w:rPr>
          <w:rFonts w:eastAsia="Times New Roman" w:cs="Times New Roman"/>
          <w:lang w:eastAsia="en-IE"/>
        </w:rPr>
        <w:t>Kiberd</w:t>
      </w:r>
      <w:proofErr w:type="spellEnd"/>
      <w:r w:rsidRPr="00677919">
        <w:rPr>
          <w:rFonts w:eastAsia="Times New Roman" w:cs="Times New Roman"/>
          <w:lang w:eastAsia="en-IE"/>
        </w:rPr>
        <w:t xml:space="preserve"> -</w:t>
      </w:r>
      <w:r>
        <w:rPr>
          <w:rFonts w:eastAsia="Times New Roman" w:cs="Times New Roman"/>
          <w:lang w:eastAsia="en-IE"/>
        </w:rPr>
        <w:t xml:space="preserve"> </w:t>
      </w:r>
      <w:r w:rsidRPr="00677919">
        <w:rPr>
          <w:rFonts w:eastAsia="Times New Roman" w:cs="Times New Roman"/>
          <w:lang w:eastAsia="en-IE"/>
        </w:rPr>
        <w:t>Public Participation Network (PPN) </w:t>
      </w:r>
    </w:p>
    <w:p w14:paraId="413F5511" w14:textId="77777777" w:rsidR="008654C7" w:rsidRPr="00677919" w:rsidRDefault="008654C7" w:rsidP="003A3352">
      <w:pPr>
        <w:rPr>
          <w:rFonts w:eastAsia="Times New Roman" w:cs="Times New Roman"/>
          <w:lang w:eastAsia="en-IE"/>
        </w:rPr>
      </w:pPr>
      <w:r w:rsidRPr="00677919">
        <w:rPr>
          <w:rFonts w:eastAsia="Times New Roman" w:cs="Times New Roman"/>
          <w:lang w:eastAsia="en-IE"/>
        </w:rPr>
        <w:t xml:space="preserve">Deirdre Mooney - Business </w:t>
      </w:r>
      <w:r>
        <w:rPr>
          <w:rFonts w:eastAsia="Times New Roman" w:cs="Times New Roman"/>
          <w:lang w:eastAsia="en-IE"/>
        </w:rPr>
        <w:t>Commercial</w:t>
      </w:r>
    </w:p>
    <w:p w14:paraId="1F4A2161" w14:textId="4DF125CB" w:rsidR="008654C7" w:rsidRPr="00677919" w:rsidRDefault="008654C7" w:rsidP="003A3352">
      <w:pPr>
        <w:rPr>
          <w:rFonts w:eastAsia="Times New Roman" w:cs="Times New Roman"/>
          <w:lang w:eastAsia="en-IE"/>
        </w:rPr>
      </w:pPr>
      <w:r w:rsidRPr="00677919">
        <w:rPr>
          <w:rFonts w:eastAsia="Times New Roman" w:cs="Times New Roman"/>
          <w:lang w:eastAsia="en-IE"/>
        </w:rPr>
        <w:t>Donnie Andersen - Agricultural and Farming</w:t>
      </w:r>
    </w:p>
    <w:p w14:paraId="79EF4686" w14:textId="77777777" w:rsidR="008654C7" w:rsidRPr="00677919" w:rsidRDefault="008654C7" w:rsidP="003A3352">
      <w:pPr>
        <w:rPr>
          <w:rFonts w:eastAsia="Times New Roman" w:cs="Times New Roman"/>
          <w:lang w:eastAsia="en-IE"/>
        </w:rPr>
      </w:pPr>
    </w:p>
    <w:p w14:paraId="0FD67860" w14:textId="49D7E5D9" w:rsidR="005B296A" w:rsidRPr="005A1628" w:rsidRDefault="008654C7" w:rsidP="005B296A">
      <w:pPr>
        <w:rPr>
          <w:rFonts w:cstheme="minorHAnsi"/>
          <w:b/>
          <w:bCs/>
        </w:rPr>
      </w:pPr>
      <w:r w:rsidRPr="00403213">
        <w:rPr>
          <w:u w:val="single"/>
        </w:rPr>
        <w:t>J</w:t>
      </w:r>
      <w:r w:rsidR="005B296A" w:rsidRPr="005B296A">
        <w:rPr>
          <w:rFonts w:cstheme="minorHAnsi"/>
          <w:b/>
          <w:bCs/>
        </w:rPr>
        <w:t xml:space="preserve"> </w:t>
      </w:r>
      <w:r w:rsidR="005B296A" w:rsidRPr="003A3352">
        <w:rPr>
          <w:rFonts w:cstheme="minorHAnsi"/>
          <w:b/>
          <w:bCs/>
        </w:rPr>
        <w:t>Membership</w:t>
      </w:r>
      <w:r w:rsidR="005B296A" w:rsidRPr="00403213">
        <w:rPr>
          <w:u w:val="single"/>
        </w:rPr>
        <w:t xml:space="preserve"> </w:t>
      </w:r>
      <w:r w:rsidR="005B296A" w:rsidRPr="005A1628">
        <w:rPr>
          <w:rFonts w:cstheme="minorHAnsi"/>
          <w:b/>
          <w:bCs/>
        </w:rPr>
        <w:t>June 2024 – December 2024</w:t>
      </w:r>
    </w:p>
    <w:p w14:paraId="02F4340A" w14:textId="2F932707" w:rsidR="008654C7" w:rsidRPr="003A3352" w:rsidRDefault="008654C7" w:rsidP="003A3352">
      <w:pPr>
        <w:rPr>
          <w:rFonts w:eastAsia="Times New Roman" w:cs="Times New Roman"/>
          <w:b/>
          <w:bCs/>
          <w:lang w:eastAsia="en-IE"/>
        </w:rPr>
      </w:pPr>
      <w:r w:rsidRPr="003A3352">
        <w:rPr>
          <w:rFonts w:eastAsia="Times New Roman" w:cs="Times New Roman"/>
          <w:b/>
          <w:bCs/>
          <w:lang w:eastAsia="en-IE"/>
        </w:rPr>
        <w:t xml:space="preserve">Council Members </w:t>
      </w:r>
    </w:p>
    <w:p w14:paraId="6D7D1276" w14:textId="77777777" w:rsidR="008654C7" w:rsidRDefault="008654C7" w:rsidP="003A3352">
      <w:pPr>
        <w:rPr>
          <w:rFonts w:eastAsia="Times New Roman" w:cs="Times New Roman"/>
          <w:lang w:eastAsia="en-IE"/>
        </w:rPr>
      </w:pPr>
      <w:r>
        <w:rPr>
          <w:rFonts w:eastAsia="Times New Roman" w:cs="Times New Roman"/>
          <w:lang w:eastAsia="en-IE"/>
        </w:rPr>
        <w:t>Brian Lawlor (Fine Gael) (Chair)</w:t>
      </w:r>
    </w:p>
    <w:p w14:paraId="723A26DD" w14:textId="77777777" w:rsidR="008654C7" w:rsidRDefault="008654C7" w:rsidP="003A3352">
      <w:pPr>
        <w:rPr>
          <w:rFonts w:eastAsia="Times New Roman" w:cs="Times New Roman"/>
          <w:lang w:eastAsia="en-IE"/>
        </w:rPr>
      </w:pPr>
      <w:r>
        <w:rPr>
          <w:rFonts w:eastAsia="Times New Roman" w:cs="Times New Roman"/>
          <w:lang w:eastAsia="en-IE"/>
        </w:rPr>
        <w:t>Linda de Courcy (Independent Ireland)</w:t>
      </w:r>
    </w:p>
    <w:p w14:paraId="3BF1CFB7" w14:textId="77777777" w:rsidR="008654C7" w:rsidRDefault="008654C7" w:rsidP="003A3352">
      <w:pPr>
        <w:rPr>
          <w:rFonts w:eastAsia="Times New Roman" w:cs="Times New Roman"/>
          <w:lang w:eastAsia="en-IE"/>
        </w:rPr>
      </w:pPr>
      <w:r>
        <w:rPr>
          <w:rFonts w:eastAsia="Times New Roman" w:cs="Times New Roman"/>
          <w:lang w:eastAsia="en-IE"/>
        </w:rPr>
        <w:t>Trevor Gilligan (Fianna Fail)</w:t>
      </w:r>
    </w:p>
    <w:p w14:paraId="46BA7AD1" w14:textId="77777777" w:rsidR="008654C7" w:rsidRDefault="008654C7" w:rsidP="003A3352">
      <w:pPr>
        <w:rPr>
          <w:rFonts w:eastAsia="Times New Roman" w:cs="Times New Roman"/>
          <w:lang w:eastAsia="en-IE"/>
        </w:rPr>
      </w:pPr>
      <w:r>
        <w:rPr>
          <w:rFonts w:eastAsia="Times New Roman" w:cs="Times New Roman"/>
          <w:lang w:eastAsia="en-IE"/>
        </w:rPr>
        <w:t>Roisin Mannion (Sinn Fein)</w:t>
      </w:r>
    </w:p>
    <w:p w14:paraId="7B068DDF" w14:textId="77777777" w:rsidR="008654C7" w:rsidRDefault="008654C7" w:rsidP="003A3352">
      <w:pPr>
        <w:rPr>
          <w:rFonts w:eastAsia="Times New Roman" w:cs="Times New Roman"/>
          <w:lang w:eastAsia="en-IE"/>
        </w:rPr>
      </w:pPr>
      <w:r>
        <w:rPr>
          <w:rFonts w:eastAsia="Times New Roman" w:cs="Times New Roman"/>
          <w:lang w:eastAsia="en-IE"/>
        </w:rPr>
        <w:t>Lynn McCrave (Fine Gael)</w:t>
      </w:r>
    </w:p>
    <w:p w14:paraId="457D9E12" w14:textId="77777777" w:rsidR="008654C7" w:rsidRDefault="008654C7" w:rsidP="003A3352">
      <w:pPr>
        <w:rPr>
          <w:rFonts w:eastAsia="Times New Roman" w:cs="Times New Roman"/>
          <w:lang w:eastAsia="en-IE"/>
        </w:rPr>
      </w:pPr>
      <w:r>
        <w:rPr>
          <w:rFonts w:eastAsia="Times New Roman" w:cs="Times New Roman"/>
          <w:lang w:eastAsia="en-IE"/>
        </w:rPr>
        <w:t>Dermot Richardson (Independent)</w:t>
      </w:r>
    </w:p>
    <w:p w14:paraId="271621F1" w14:textId="5D68940F" w:rsidR="008654C7" w:rsidRDefault="008654C7" w:rsidP="003A3352">
      <w:pPr>
        <w:rPr>
          <w:rFonts w:eastAsia="Times New Roman" w:cs="Times New Roman"/>
          <w:lang w:eastAsia="en-IE"/>
        </w:rPr>
      </w:pPr>
      <w:r>
        <w:rPr>
          <w:rFonts w:eastAsia="Times New Roman" w:cs="Times New Roman"/>
          <w:lang w:eastAsia="en-IE"/>
        </w:rPr>
        <w:t>Francis Timmons (Independent)</w:t>
      </w:r>
    </w:p>
    <w:p w14:paraId="6189A8D5" w14:textId="0BCF6CF2" w:rsidR="008654C7" w:rsidRPr="003A3352" w:rsidRDefault="008654C7" w:rsidP="003A3352">
      <w:pPr>
        <w:rPr>
          <w:rFonts w:eastAsia="Times New Roman" w:cs="Times New Roman"/>
          <w:b/>
          <w:bCs/>
          <w:lang w:eastAsia="en-IE"/>
        </w:rPr>
      </w:pPr>
      <w:r w:rsidRPr="003A3352">
        <w:rPr>
          <w:rFonts w:eastAsia="Times New Roman" w:cs="Times New Roman"/>
          <w:b/>
          <w:bCs/>
          <w:lang w:eastAsia="en-IE"/>
        </w:rPr>
        <w:t>Sectoral Members</w:t>
      </w:r>
    </w:p>
    <w:p w14:paraId="791EE1BF" w14:textId="77777777" w:rsidR="008654C7" w:rsidRDefault="008654C7" w:rsidP="003A3352">
      <w:pPr>
        <w:rPr>
          <w:rFonts w:eastAsia="Times New Roman" w:cs="Times New Roman"/>
          <w:lang w:eastAsia="en-IE"/>
        </w:rPr>
      </w:pPr>
      <w:r w:rsidRPr="00071023">
        <w:rPr>
          <w:rFonts w:eastAsia="Times New Roman" w:cs="Times New Roman"/>
          <w:lang w:eastAsia="en-IE"/>
        </w:rPr>
        <w:t>Peter Lantry – Business Commercial</w:t>
      </w:r>
    </w:p>
    <w:p w14:paraId="30C74B95" w14:textId="77777777" w:rsidR="008654C7" w:rsidRPr="007B5604" w:rsidRDefault="008654C7" w:rsidP="003A3352">
      <w:pPr>
        <w:rPr>
          <w:rFonts w:eastAsia="Times New Roman" w:cs="Times New Roman"/>
          <w:color w:val="000000"/>
          <w:lang w:eastAsia="en-IE"/>
        </w:rPr>
      </w:pPr>
      <w:r w:rsidRPr="007B5604">
        <w:rPr>
          <w:rFonts w:eastAsia="Times New Roman" w:cs="Times New Roman"/>
          <w:color w:val="000000"/>
          <w:lang w:eastAsia="en-IE"/>
        </w:rPr>
        <w:t>Benedict Chukwurah</w:t>
      </w:r>
      <w:r>
        <w:rPr>
          <w:rFonts w:eastAsia="Times New Roman" w:cs="Times New Roman"/>
          <w:color w:val="000000"/>
          <w:lang w:eastAsia="en-IE"/>
        </w:rPr>
        <w:t xml:space="preserve"> </w:t>
      </w:r>
      <w:r w:rsidRPr="00677919">
        <w:rPr>
          <w:rFonts w:eastAsia="Times New Roman" w:cs="Times New Roman"/>
          <w:lang w:eastAsia="en-IE"/>
        </w:rPr>
        <w:t>-</w:t>
      </w:r>
      <w:r>
        <w:rPr>
          <w:rFonts w:eastAsia="Times New Roman" w:cs="Times New Roman"/>
          <w:lang w:eastAsia="en-IE"/>
        </w:rPr>
        <w:t xml:space="preserve"> </w:t>
      </w:r>
      <w:r w:rsidRPr="00677919">
        <w:rPr>
          <w:rFonts w:eastAsia="Times New Roman" w:cs="Times New Roman"/>
          <w:lang w:eastAsia="en-IE"/>
        </w:rPr>
        <w:t>Public Participation Network (PPN) </w:t>
      </w:r>
    </w:p>
    <w:p w14:paraId="2CBE47AE" w14:textId="77777777" w:rsidR="008654C7" w:rsidRDefault="008654C7" w:rsidP="003A3352">
      <w:pPr>
        <w:rPr>
          <w:rFonts w:cstheme="minorHAnsi"/>
        </w:rPr>
      </w:pPr>
    </w:p>
    <w:p w14:paraId="281B935D" w14:textId="77777777" w:rsidR="009C4CE2" w:rsidRPr="003A3352" w:rsidRDefault="009C4CE2" w:rsidP="009C4CE2">
      <w:pPr>
        <w:rPr>
          <w:rFonts w:cstheme="minorHAnsi"/>
          <w:b/>
          <w:bCs/>
        </w:rPr>
      </w:pPr>
      <w:r>
        <w:rPr>
          <w:rFonts w:cstheme="minorHAnsi"/>
          <w:b/>
          <w:bCs/>
        </w:rPr>
        <w:t xml:space="preserve">2024 </w:t>
      </w:r>
      <w:r w:rsidRPr="003A3352">
        <w:rPr>
          <w:rFonts w:cstheme="minorHAnsi"/>
          <w:b/>
          <w:bCs/>
        </w:rPr>
        <w:t>P</w:t>
      </w:r>
      <w:r>
        <w:rPr>
          <w:rFonts w:cstheme="minorHAnsi"/>
          <w:b/>
          <w:bCs/>
        </w:rPr>
        <w:t>ROGAMME OF WORK</w:t>
      </w:r>
    </w:p>
    <w:p w14:paraId="6A9FAE87" w14:textId="77777777" w:rsidR="00871415" w:rsidRPr="00A53CAB" w:rsidRDefault="00871415" w:rsidP="006B1FA9">
      <w:pPr>
        <w:pStyle w:val="ListParagraph"/>
        <w:numPr>
          <w:ilvl w:val="0"/>
          <w:numId w:val="23"/>
        </w:numPr>
        <w:rPr>
          <w:rFonts w:eastAsia="Times New Roman"/>
        </w:rPr>
      </w:pPr>
      <w:r w:rsidRPr="00A53CAB">
        <w:rPr>
          <w:rFonts w:eastAsia="Times New Roman"/>
        </w:rPr>
        <w:t>Sports Pitch Strategy Implementation (Pavilion Programme)</w:t>
      </w:r>
    </w:p>
    <w:p w14:paraId="0AF7670F" w14:textId="77777777" w:rsidR="00871415" w:rsidRPr="006B1FA9" w:rsidRDefault="00871415" w:rsidP="006B1FA9">
      <w:pPr>
        <w:pStyle w:val="ListParagraph"/>
        <w:numPr>
          <w:ilvl w:val="0"/>
          <w:numId w:val="23"/>
        </w:numPr>
        <w:rPr>
          <w:rFonts w:eastAsia="Times New Roman"/>
        </w:rPr>
      </w:pPr>
      <w:r w:rsidRPr="006B1FA9">
        <w:rPr>
          <w:rFonts w:eastAsia="Times New Roman"/>
        </w:rPr>
        <w:t>Waste Enforcement programme of works including WERLA Priorities</w:t>
      </w:r>
    </w:p>
    <w:p w14:paraId="50396125" w14:textId="77777777" w:rsidR="00871415" w:rsidRPr="006B1FA9" w:rsidRDefault="00871415" w:rsidP="006B1FA9">
      <w:pPr>
        <w:pStyle w:val="ListParagraph"/>
        <w:numPr>
          <w:ilvl w:val="0"/>
          <w:numId w:val="23"/>
        </w:numPr>
        <w:rPr>
          <w:rFonts w:eastAsia="Times New Roman"/>
        </w:rPr>
      </w:pPr>
      <w:r w:rsidRPr="006B1FA9">
        <w:rPr>
          <w:rFonts w:eastAsia="Times New Roman"/>
        </w:rPr>
        <w:t>New Waste Management Action Plan for a Circular Economy</w:t>
      </w:r>
    </w:p>
    <w:p w14:paraId="4450B935" w14:textId="77777777" w:rsidR="00871415" w:rsidRPr="006B1FA9" w:rsidRDefault="00871415" w:rsidP="006B1FA9">
      <w:pPr>
        <w:pStyle w:val="ListParagraph"/>
        <w:numPr>
          <w:ilvl w:val="0"/>
          <w:numId w:val="23"/>
        </w:numPr>
        <w:rPr>
          <w:rFonts w:eastAsia="Times New Roman"/>
        </w:rPr>
      </w:pPr>
      <w:r w:rsidRPr="006B1FA9">
        <w:rPr>
          <w:rFonts w:eastAsia="Times New Roman"/>
        </w:rPr>
        <w:t>Regional Waste Management Office Report</w:t>
      </w:r>
    </w:p>
    <w:p w14:paraId="67DE0E41" w14:textId="08F4F606" w:rsidR="00871415" w:rsidRPr="006B1FA9" w:rsidRDefault="00871415" w:rsidP="006B1FA9">
      <w:pPr>
        <w:pStyle w:val="ListParagraph"/>
        <w:numPr>
          <w:ilvl w:val="0"/>
          <w:numId w:val="23"/>
        </w:numPr>
        <w:rPr>
          <w:rFonts w:eastAsia="Times New Roman"/>
        </w:rPr>
      </w:pPr>
      <w:r w:rsidRPr="006B1FA9">
        <w:rPr>
          <w:rFonts w:eastAsia="Times New Roman"/>
        </w:rPr>
        <w:t xml:space="preserve">Circular Economy </w:t>
      </w:r>
      <w:r w:rsidR="0037035F">
        <w:rPr>
          <w:rFonts w:eastAsia="Times New Roman"/>
        </w:rPr>
        <w:t>and</w:t>
      </w:r>
      <w:r w:rsidRPr="006B1FA9">
        <w:rPr>
          <w:rFonts w:eastAsia="Times New Roman"/>
        </w:rPr>
        <w:t xml:space="preserve"> Environmental Awareness Activities</w:t>
      </w:r>
    </w:p>
    <w:p w14:paraId="4CD5B1F3" w14:textId="77777777" w:rsidR="00871415" w:rsidRPr="006B1FA9" w:rsidRDefault="00871415" w:rsidP="006B1FA9">
      <w:pPr>
        <w:pStyle w:val="ListParagraph"/>
        <w:numPr>
          <w:ilvl w:val="0"/>
          <w:numId w:val="23"/>
        </w:numPr>
        <w:rPr>
          <w:rFonts w:eastAsia="Times New Roman"/>
        </w:rPr>
      </w:pPr>
      <w:r w:rsidRPr="006B1FA9">
        <w:rPr>
          <w:rFonts w:eastAsia="Times New Roman"/>
        </w:rPr>
        <w:t>Revised Draft of Casual Trading Byelaws</w:t>
      </w:r>
    </w:p>
    <w:p w14:paraId="3D18850E" w14:textId="77777777" w:rsidR="00871415" w:rsidRPr="006B1FA9" w:rsidRDefault="00871415" w:rsidP="006B1FA9">
      <w:pPr>
        <w:pStyle w:val="ListParagraph"/>
        <w:numPr>
          <w:ilvl w:val="0"/>
          <w:numId w:val="23"/>
        </w:numPr>
        <w:rPr>
          <w:rFonts w:eastAsia="Times New Roman"/>
        </w:rPr>
      </w:pPr>
      <w:r w:rsidRPr="006B1FA9">
        <w:rPr>
          <w:rFonts w:eastAsia="Times New Roman"/>
        </w:rPr>
        <w:t>Climate Action Plan 2024-2029 – Implementation Plan</w:t>
      </w:r>
    </w:p>
    <w:p w14:paraId="70B53264" w14:textId="77777777" w:rsidR="00871415" w:rsidRPr="006B1FA9" w:rsidRDefault="00871415" w:rsidP="006B1FA9">
      <w:pPr>
        <w:pStyle w:val="ListParagraph"/>
        <w:numPr>
          <w:ilvl w:val="0"/>
          <w:numId w:val="23"/>
        </w:numPr>
        <w:rPr>
          <w:rFonts w:eastAsia="Times New Roman"/>
        </w:rPr>
      </w:pPr>
      <w:r w:rsidRPr="006B1FA9">
        <w:rPr>
          <w:rFonts w:eastAsia="Times New Roman"/>
        </w:rPr>
        <w:t>Dublin Urban Rivers LIFE Project</w:t>
      </w:r>
    </w:p>
    <w:p w14:paraId="725B0B07" w14:textId="77777777" w:rsidR="00871415" w:rsidRPr="006B1FA9" w:rsidRDefault="00871415" w:rsidP="006B1FA9">
      <w:pPr>
        <w:pStyle w:val="ListParagraph"/>
        <w:numPr>
          <w:ilvl w:val="0"/>
          <w:numId w:val="23"/>
        </w:numPr>
        <w:rPr>
          <w:rFonts w:eastAsia="Times New Roman"/>
        </w:rPr>
      </w:pPr>
      <w:r w:rsidRPr="006B1FA9">
        <w:rPr>
          <w:rFonts w:eastAsia="Times New Roman"/>
        </w:rPr>
        <w:t>Community Climate Action Fund (CCAF)</w:t>
      </w:r>
    </w:p>
    <w:p w14:paraId="29C3108B" w14:textId="77777777" w:rsidR="00871415" w:rsidRPr="006B1FA9" w:rsidRDefault="00871415" w:rsidP="006B1FA9">
      <w:pPr>
        <w:pStyle w:val="ListParagraph"/>
        <w:numPr>
          <w:ilvl w:val="0"/>
          <w:numId w:val="23"/>
        </w:numPr>
        <w:rPr>
          <w:rFonts w:eastAsia="Times New Roman"/>
        </w:rPr>
      </w:pPr>
      <w:r w:rsidRPr="006B1FA9">
        <w:rPr>
          <w:rFonts w:eastAsia="Times New Roman"/>
        </w:rPr>
        <w:t>Local Authority EV Charging Strategy</w:t>
      </w:r>
    </w:p>
    <w:p w14:paraId="3B5E67DB" w14:textId="77777777" w:rsidR="00871415" w:rsidRPr="006B1FA9" w:rsidRDefault="00871415" w:rsidP="006B1FA9">
      <w:pPr>
        <w:pStyle w:val="ListParagraph"/>
        <w:numPr>
          <w:ilvl w:val="0"/>
          <w:numId w:val="23"/>
        </w:numPr>
        <w:rPr>
          <w:rFonts w:eastAsia="Times New Roman"/>
        </w:rPr>
      </w:pPr>
      <w:r w:rsidRPr="006B1FA9">
        <w:rPr>
          <w:rFonts w:eastAsia="Times New Roman"/>
        </w:rPr>
        <w:t>Burial Ground Strategy</w:t>
      </w:r>
    </w:p>
    <w:p w14:paraId="2FC321B7" w14:textId="77777777" w:rsidR="00871415" w:rsidRPr="006B1FA9" w:rsidRDefault="00871415" w:rsidP="006B1FA9">
      <w:pPr>
        <w:pStyle w:val="ListParagraph"/>
        <w:numPr>
          <w:ilvl w:val="0"/>
          <w:numId w:val="23"/>
        </w:numPr>
        <w:rPr>
          <w:rFonts w:eastAsia="Times New Roman"/>
        </w:rPr>
      </w:pPr>
      <w:r w:rsidRPr="006B1FA9">
        <w:rPr>
          <w:rFonts w:eastAsia="Times New Roman"/>
        </w:rPr>
        <w:t xml:space="preserve">Decarbonisation zone (Clondalkin) </w:t>
      </w:r>
    </w:p>
    <w:p w14:paraId="6BF12532" w14:textId="77777777" w:rsidR="00871415" w:rsidRPr="006B1FA9" w:rsidRDefault="00871415" w:rsidP="006B1FA9">
      <w:pPr>
        <w:pStyle w:val="ListParagraph"/>
        <w:numPr>
          <w:ilvl w:val="0"/>
          <w:numId w:val="23"/>
        </w:numPr>
        <w:rPr>
          <w:rFonts w:eastAsia="Times New Roman"/>
        </w:rPr>
      </w:pPr>
      <w:proofErr w:type="spellStart"/>
      <w:r w:rsidRPr="006B1FA9">
        <w:rPr>
          <w:rFonts w:eastAsia="Times New Roman"/>
        </w:rPr>
        <w:t>DeliveREE</w:t>
      </w:r>
      <w:proofErr w:type="spellEnd"/>
      <w:r w:rsidRPr="006B1FA9">
        <w:rPr>
          <w:rFonts w:eastAsia="Times New Roman"/>
        </w:rPr>
        <w:t xml:space="preserve"> Project update</w:t>
      </w:r>
    </w:p>
    <w:p w14:paraId="1D2CE674" w14:textId="77777777" w:rsidR="00871415" w:rsidRPr="006B1FA9" w:rsidRDefault="00871415" w:rsidP="006B1FA9">
      <w:pPr>
        <w:pStyle w:val="ListParagraph"/>
        <w:numPr>
          <w:ilvl w:val="0"/>
          <w:numId w:val="23"/>
        </w:numPr>
        <w:rPr>
          <w:rFonts w:eastAsia="Times New Roman"/>
        </w:rPr>
      </w:pPr>
      <w:r w:rsidRPr="006B1FA9">
        <w:rPr>
          <w:rFonts w:eastAsia="Times New Roman"/>
        </w:rPr>
        <w:t>Environmental Noise Action Plan 2023 – 2027</w:t>
      </w:r>
    </w:p>
    <w:p w14:paraId="12D4E30D" w14:textId="77777777" w:rsidR="008654C7" w:rsidRDefault="008654C7" w:rsidP="003A3352">
      <w:pPr>
        <w:rPr>
          <w:rFonts w:eastAsia="Times New Roman" w:cstheme="minorHAnsi"/>
        </w:rPr>
      </w:pPr>
    </w:p>
    <w:p w14:paraId="5C4E6F87" w14:textId="2430B551" w:rsidR="00871415" w:rsidRPr="004C3E99" w:rsidRDefault="00A757BF" w:rsidP="003A3352">
      <w:pPr>
        <w:pStyle w:val="Heading2"/>
      </w:pPr>
      <w:bookmarkStart w:id="42" w:name="_Toc195533614"/>
      <w:bookmarkStart w:id="43" w:name="_Toc195533686"/>
      <w:bookmarkStart w:id="44" w:name="_Toc195533963"/>
      <w:bookmarkStart w:id="45" w:name="_Toc195534038"/>
      <w:bookmarkStart w:id="46" w:name="_Toc195534401"/>
      <w:bookmarkStart w:id="47" w:name="_Toc195534602"/>
      <w:bookmarkStart w:id="48" w:name="_Toc199244558"/>
      <w:r>
        <w:t>Housing</w:t>
      </w:r>
      <w:r w:rsidRPr="004C3E99">
        <w:t xml:space="preserve"> </w:t>
      </w:r>
      <w:r w:rsidR="00871415" w:rsidRPr="004C3E99">
        <w:t>SPC</w:t>
      </w:r>
      <w:bookmarkEnd w:id="42"/>
      <w:bookmarkEnd w:id="43"/>
      <w:bookmarkEnd w:id="44"/>
      <w:bookmarkEnd w:id="45"/>
      <w:bookmarkEnd w:id="46"/>
      <w:bookmarkEnd w:id="47"/>
      <w:bookmarkEnd w:id="48"/>
    </w:p>
    <w:p w14:paraId="48197D29" w14:textId="77777777" w:rsidR="00871415" w:rsidRDefault="00871415" w:rsidP="003A3352">
      <w:pPr>
        <w:rPr>
          <w:rFonts w:cstheme="minorHAnsi"/>
        </w:rPr>
      </w:pPr>
      <w:r>
        <w:rPr>
          <w:rFonts w:cstheme="minorHAnsi"/>
        </w:rPr>
        <w:t xml:space="preserve">Pre 2024 Local Election </w:t>
      </w:r>
      <w:r w:rsidRPr="00D457CE">
        <w:rPr>
          <w:rFonts w:cstheme="minorHAnsi"/>
        </w:rPr>
        <w:t>Chair:</w:t>
      </w:r>
      <w:r w:rsidRPr="004C3E99">
        <w:rPr>
          <w:rFonts w:cstheme="minorHAnsi"/>
        </w:rPr>
        <w:t xml:space="preserve"> Cllr Charlie O’ Connor</w:t>
      </w:r>
    </w:p>
    <w:p w14:paraId="14E3760C" w14:textId="77777777" w:rsidR="00871415" w:rsidRPr="00D457CE" w:rsidRDefault="00871415" w:rsidP="003A3352">
      <w:pPr>
        <w:rPr>
          <w:rFonts w:cstheme="minorHAnsi"/>
        </w:rPr>
      </w:pPr>
      <w:r>
        <w:rPr>
          <w:rFonts w:cstheme="minorHAnsi"/>
        </w:rPr>
        <w:t xml:space="preserve">Post 2024 Local Election </w:t>
      </w:r>
      <w:r w:rsidRPr="00D457CE">
        <w:rPr>
          <w:rFonts w:cstheme="minorHAnsi"/>
        </w:rPr>
        <w:t>Chair:</w:t>
      </w:r>
      <w:r>
        <w:rPr>
          <w:rFonts w:cstheme="minorHAnsi"/>
        </w:rPr>
        <w:t xml:space="preserve"> Cllr Mick Duff</w:t>
      </w:r>
    </w:p>
    <w:p w14:paraId="75347044" w14:textId="5C8063B2" w:rsidR="00871415" w:rsidRPr="004C3E99" w:rsidRDefault="00871415" w:rsidP="003A3352">
      <w:pPr>
        <w:rPr>
          <w:rFonts w:cstheme="minorHAnsi"/>
        </w:rPr>
      </w:pPr>
      <w:r w:rsidRPr="004C3E99">
        <w:rPr>
          <w:rFonts w:cstheme="minorHAnsi"/>
        </w:rPr>
        <w:t>Director: Elaine Leech</w:t>
      </w:r>
    </w:p>
    <w:p w14:paraId="77C3CC99" w14:textId="77777777" w:rsidR="00871415" w:rsidRDefault="00871415" w:rsidP="003A3352">
      <w:pPr>
        <w:rPr>
          <w:rFonts w:ascii="Verdana" w:hAnsi="Verdana"/>
        </w:rPr>
      </w:pPr>
    </w:p>
    <w:p w14:paraId="112A3EF7" w14:textId="77777777" w:rsidR="005B296A" w:rsidRPr="005A1628" w:rsidRDefault="005B296A" w:rsidP="005B296A">
      <w:pPr>
        <w:rPr>
          <w:rFonts w:cstheme="minorHAnsi"/>
          <w:b/>
          <w:bCs/>
        </w:rPr>
      </w:pPr>
      <w:r w:rsidRPr="003A3352">
        <w:rPr>
          <w:rFonts w:cstheme="minorHAnsi"/>
          <w:b/>
          <w:bCs/>
        </w:rPr>
        <w:t>Membership</w:t>
      </w:r>
      <w:r>
        <w:rPr>
          <w:rFonts w:cstheme="minorHAnsi"/>
          <w:b/>
          <w:bCs/>
        </w:rPr>
        <w:t xml:space="preserve"> </w:t>
      </w:r>
      <w:r w:rsidRPr="005B296A">
        <w:rPr>
          <w:rFonts w:cstheme="minorHAnsi"/>
          <w:b/>
          <w:bCs/>
        </w:rPr>
        <w:t>J</w:t>
      </w:r>
      <w:r w:rsidRPr="005A1628">
        <w:rPr>
          <w:rFonts w:cstheme="minorHAnsi"/>
          <w:b/>
          <w:bCs/>
        </w:rPr>
        <w:t>anuary – May 2024</w:t>
      </w:r>
    </w:p>
    <w:p w14:paraId="5981A17F" w14:textId="759F6458" w:rsidR="008654C7" w:rsidRPr="003A3352" w:rsidRDefault="008654C7" w:rsidP="003A3352">
      <w:pPr>
        <w:rPr>
          <w:rFonts w:eastAsia="Times New Roman" w:cs="Times New Roman"/>
          <w:b/>
          <w:bCs/>
          <w:lang w:eastAsia="en-IE"/>
        </w:rPr>
      </w:pPr>
      <w:r w:rsidRPr="003A3352">
        <w:rPr>
          <w:rFonts w:eastAsia="Times New Roman" w:cs="Times New Roman"/>
          <w:b/>
          <w:bCs/>
          <w:lang w:eastAsia="en-IE"/>
        </w:rPr>
        <w:t>Council Members</w:t>
      </w:r>
    </w:p>
    <w:p w14:paraId="5D1D62CC" w14:textId="7A7EDF26" w:rsidR="008654C7" w:rsidRPr="00BB4E49" w:rsidRDefault="008654C7" w:rsidP="003A3352">
      <w:pPr>
        <w:rPr>
          <w:rFonts w:eastAsia="Times New Roman" w:cs="Times New Roman"/>
          <w:lang w:eastAsia="en-IE"/>
        </w:rPr>
      </w:pPr>
      <w:r w:rsidRPr="00BB4E49">
        <w:rPr>
          <w:rFonts w:eastAsia="Times New Roman" w:cs="Times New Roman"/>
          <w:lang w:eastAsia="en-IE"/>
        </w:rPr>
        <w:t>Charlie O’Connor</w:t>
      </w:r>
      <w:r w:rsidR="00273068">
        <w:rPr>
          <w:rFonts w:eastAsia="Times New Roman" w:cs="Times New Roman"/>
          <w:lang w:eastAsia="en-IE"/>
        </w:rPr>
        <w:t xml:space="preserve"> </w:t>
      </w:r>
      <w:r w:rsidRPr="00BB4E49">
        <w:rPr>
          <w:rFonts w:eastAsia="Times New Roman" w:cs="Times New Roman"/>
          <w:lang w:eastAsia="en-IE"/>
        </w:rPr>
        <w:t xml:space="preserve">(Fianna </w:t>
      </w:r>
      <w:proofErr w:type="spellStart"/>
      <w:r w:rsidRPr="00BB4E49">
        <w:rPr>
          <w:rFonts w:eastAsia="Times New Roman" w:cs="Times New Roman"/>
          <w:lang w:eastAsia="en-IE"/>
        </w:rPr>
        <w:t>Fáil</w:t>
      </w:r>
      <w:proofErr w:type="spellEnd"/>
      <w:r w:rsidRPr="00BB4E49">
        <w:rPr>
          <w:rFonts w:eastAsia="Times New Roman" w:cs="Times New Roman"/>
          <w:lang w:eastAsia="en-IE"/>
        </w:rPr>
        <w:t>) - Chair</w:t>
      </w:r>
    </w:p>
    <w:p w14:paraId="4B641EE6" w14:textId="77777777" w:rsidR="008654C7" w:rsidRPr="00BB4E49" w:rsidRDefault="008654C7" w:rsidP="003A3352">
      <w:pPr>
        <w:rPr>
          <w:rFonts w:eastAsia="Times New Roman" w:cs="Times New Roman"/>
          <w:lang w:eastAsia="en-IE"/>
        </w:rPr>
      </w:pPr>
      <w:r w:rsidRPr="00BB4E49">
        <w:rPr>
          <w:rFonts w:eastAsia="Times New Roman" w:cs="Times New Roman"/>
          <w:lang w:eastAsia="en-IE"/>
        </w:rPr>
        <w:t>Laura Donaghy (Green Party)</w:t>
      </w:r>
    </w:p>
    <w:p w14:paraId="5B0241E2" w14:textId="77777777" w:rsidR="008654C7" w:rsidRPr="00BB4E49" w:rsidRDefault="008654C7" w:rsidP="003A3352">
      <w:pPr>
        <w:rPr>
          <w:rFonts w:eastAsia="Times New Roman" w:cs="Times New Roman"/>
          <w:lang w:eastAsia="en-IE"/>
        </w:rPr>
      </w:pPr>
      <w:r w:rsidRPr="00BB4E49">
        <w:rPr>
          <w:rFonts w:eastAsia="Times New Roman" w:cs="Times New Roman"/>
          <w:lang w:eastAsia="en-IE"/>
        </w:rPr>
        <w:t>Kieran Mahon (Solidarity)</w:t>
      </w:r>
    </w:p>
    <w:p w14:paraId="00A65D43" w14:textId="77777777" w:rsidR="008654C7" w:rsidRPr="00BB4E49" w:rsidRDefault="008654C7" w:rsidP="003A3352">
      <w:pPr>
        <w:rPr>
          <w:rFonts w:eastAsia="Times New Roman" w:cs="Times New Roman"/>
          <w:lang w:eastAsia="en-IE"/>
        </w:rPr>
      </w:pPr>
      <w:r w:rsidRPr="00BB4E49">
        <w:rPr>
          <w:rFonts w:eastAsia="Times New Roman" w:cs="Times New Roman"/>
          <w:lang w:eastAsia="en-IE"/>
        </w:rPr>
        <w:t>Joanna Tuffy (Labour)</w:t>
      </w:r>
    </w:p>
    <w:p w14:paraId="095484DF" w14:textId="77777777" w:rsidR="008654C7" w:rsidRPr="00BB4E49" w:rsidRDefault="008654C7" w:rsidP="003A3352">
      <w:pPr>
        <w:rPr>
          <w:rFonts w:eastAsia="Times New Roman" w:cs="Times New Roman"/>
          <w:lang w:eastAsia="en-IE"/>
        </w:rPr>
      </w:pPr>
      <w:r w:rsidRPr="00BB4E49">
        <w:rPr>
          <w:rFonts w:eastAsia="Times New Roman" w:cs="Times New Roman"/>
          <w:lang w:eastAsia="en-IE"/>
        </w:rPr>
        <w:t xml:space="preserve">Shane Moynihan (Fianna </w:t>
      </w:r>
      <w:proofErr w:type="spellStart"/>
      <w:r w:rsidRPr="00BB4E49">
        <w:rPr>
          <w:rFonts w:eastAsia="Times New Roman" w:cs="Times New Roman"/>
          <w:lang w:eastAsia="en-IE"/>
        </w:rPr>
        <w:t>Fáil</w:t>
      </w:r>
      <w:proofErr w:type="spellEnd"/>
      <w:r w:rsidRPr="00BB4E49">
        <w:rPr>
          <w:rFonts w:eastAsia="Times New Roman" w:cs="Times New Roman"/>
          <w:lang w:eastAsia="en-IE"/>
        </w:rPr>
        <w:t>)</w:t>
      </w:r>
    </w:p>
    <w:p w14:paraId="0A7A14F7" w14:textId="77777777" w:rsidR="008654C7" w:rsidRPr="00BB4E49" w:rsidRDefault="008654C7" w:rsidP="003A3352">
      <w:pPr>
        <w:rPr>
          <w:rFonts w:eastAsia="Times New Roman" w:cs="Times New Roman"/>
          <w:lang w:eastAsia="en-IE"/>
        </w:rPr>
      </w:pPr>
      <w:r w:rsidRPr="00BB4E49">
        <w:rPr>
          <w:rFonts w:eastAsia="Times New Roman" w:cs="Times New Roman"/>
          <w:lang w:eastAsia="en-IE"/>
        </w:rPr>
        <w:t>William Carey (Sinn Féin)</w:t>
      </w:r>
    </w:p>
    <w:p w14:paraId="0882FE52" w14:textId="77777777" w:rsidR="008654C7" w:rsidRPr="00BB4E49" w:rsidRDefault="008654C7" w:rsidP="003A3352">
      <w:pPr>
        <w:rPr>
          <w:rFonts w:eastAsia="Times New Roman" w:cs="Times New Roman"/>
          <w:lang w:eastAsia="en-IE"/>
        </w:rPr>
      </w:pPr>
      <w:r w:rsidRPr="00BB4E49">
        <w:rPr>
          <w:rFonts w:eastAsia="Times New Roman" w:cs="Times New Roman"/>
          <w:lang w:eastAsia="en-IE"/>
        </w:rPr>
        <w:t>Brian Lawlor (Fine Gael) </w:t>
      </w:r>
    </w:p>
    <w:p w14:paraId="5288A1C8" w14:textId="7ED98118" w:rsidR="008654C7" w:rsidRPr="003A3352" w:rsidRDefault="008654C7" w:rsidP="003A3352">
      <w:pPr>
        <w:rPr>
          <w:rFonts w:eastAsia="Times New Roman" w:cs="Times New Roman"/>
          <w:b/>
          <w:bCs/>
          <w:lang w:eastAsia="en-IE"/>
        </w:rPr>
      </w:pPr>
      <w:r w:rsidRPr="003A3352">
        <w:rPr>
          <w:rFonts w:eastAsia="Times New Roman" w:cs="Times New Roman"/>
          <w:b/>
          <w:bCs/>
          <w:lang w:eastAsia="en-IE"/>
        </w:rPr>
        <w:t>Sectoral Members</w:t>
      </w:r>
    </w:p>
    <w:p w14:paraId="5EB349B0" w14:textId="77777777" w:rsidR="008654C7" w:rsidRPr="00BB4E49" w:rsidRDefault="008654C7" w:rsidP="003A3352">
      <w:pPr>
        <w:rPr>
          <w:rFonts w:eastAsia="Times New Roman" w:cs="Times New Roman"/>
          <w:lang w:eastAsia="en-IE"/>
        </w:rPr>
      </w:pPr>
      <w:r w:rsidRPr="00BB4E49">
        <w:rPr>
          <w:rFonts w:eastAsia="Times New Roman" w:cs="Times New Roman"/>
          <w:lang w:eastAsia="en-IE"/>
        </w:rPr>
        <w:lastRenderedPageBreak/>
        <w:t>Betty Tyrrell-Collard - Trade Union</w:t>
      </w:r>
    </w:p>
    <w:p w14:paraId="1F1EC6CC" w14:textId="77777777" w:rsidR="008654C7" w:rsidRPr="00BB4E49" w:rsidRDefault="008654C7" w:rsidP="003A3352">
      <w:pPr>
        <w:rPr>
          <w:rFonts w:eastAsia="Times New Roman" w:cs="Times New Roman"/>
          <w:lang w:eastAsia="en-IE"/>
        </w:rPr>
      </w:pPr>
      <w:r w:rsidRPr="00BB4E49">
        <w:rPr>
          <w:rFonts w:eastAsia="Times New Roman" w:cs="Times New Roman"/>
          <w:lang w:eastAsia="en-IE"/>
        </w:rPr>
        <w:t>Sharon Harty - Public Participation Network (PPN)</w:t>
      </w:r>
      <w:r w:rsidRPr="00677919">
        <w:rPr>
          <w:rFonts w:eastAsia="Times New Roman" w:cs="Times New Roman"/>
          <w:lang w:eastAsia="en-IE"/>
        </w:rPr>
        <w:t> </w:t>
      </w:r>
      <w:r w:rsidRPr="00BB4E49">
        <w:rPr>
          <w:rFonts w:eastAsia="Times New Roman" w:cs="Times New Roman"/>
          <w:lang w:eastAsia="en-IE"/>
        </w:rPr>
        <w:t xml:space="preserve"> </w:t>
      </w:r>
    </w:p>
    <w:p w14:paraId="7ABD3C20" w14:textId="77777777" w:rsidR="008654C7" w:rsidRPr="00BB4E49" w:rsidRDefault="008654C7" w:rsidP="003A3352">
      <w:pPr>
        <w:rPr>
          <w:rFonts w:eastAsia="Times New Roman" w:cs="Times New Roman"/>
          <w:lang w:eastAsia="en-IE"/>
        </w:rPr>
      </w:pPr>
      <w:r w:rsidRPr="00BB4E49">
        <w:rPr>
          <w:rFonts w:eastAsia="Times New Roman" w:cs="Times New Roman"/>
          <w:lang w:eastAsia="en-IE"/>
        </w:rPr>
        <w:t xml:space="preserve">Gerry </w:t>
      </w:r>
      <w:proofErr w:type="spellStart"/>
      <w:r w:rsidRPr="00BB4E49">
        <w:rPr>
          <w:rFonts w:eastAsia="Times New Roman" w:cs="Times New Roman"/>
          <w:lang w:eastAsia="en-IE"/>
        </w:rPr>
        <w:t>Stockil</w:t>
      </w:r>
      <w:proofErr w:type="spellEnd"/>
      <w:r w:rsidRPr="00BB4E49">
        <w:rPr>
          <w:rFonts w:eastAsia="Times New Roman" w:cs="Times New Roman"/>
          <w:lang w:eastAsia="en-IE"/>
        </w:rPr>
        <w:t xml:space="preserve"> - Public Participation Network (PPN) </w:t>
      </w:r>
    </w:p>
    <w:p w14:paraId="69BCF32E" w14:textId="77777777" w:rsidR="008654C7" w:rsidRDefault="008654C7" w:rsidP="003A3352">
      <w:pPr>
        <w:rPr>
          <w:rFonts w:eastAsia="Times New Roman" w:cs="Times New Roman"/>
          <w:lang w:eastAsia="en-IE"/>
        </w:rPr>
      </w:pPr>
    </w:p>
    <w:p w14:paraId="62C6E5B3" w14:textId="77777777" w:rsidR="005B296A" w:rsidRPr="005A1628" w:rsidRDefault="005B296A" w:rsidP="005B296A">
      <w:pPr>
        <w:rPr>
          <w:rFonts w:cstheme="minorHAnsi"/>
          <w:b/>
          <w:bCs/>
        </w:rPr>
      </w:pPr>
      <w:r w:rsidRPr="003A3352">
        <w:rPr>
          <w:rFonts w:cstheme="minorHAnsi"/>
          <w:b/>
          <w:bCs/>
        </w:rPr>
        <w:t>Membership</w:t>
      </w:r>
      <w:r w:rsidRPr="00403213">
        <w:rPr>
          <w:u w:val="single"/>
        </w:rPr>
        <w:t xml:space="preserve"> </w:t>
      </w:r>
      <w:r w:rsidRPr="005A1628">
        <w:rPr>
          <w:rFonts w:cstheme="minorHAnsi"/>
          <w:b/>
          <w:bCs/>
        </w:rPr>
        <w:t>June 2024 – December 2024</w:t>
      </w:r>
    </w:p>
    <w:p w14:paraId="06628382" w14:textId="793A831B" w:rsidR="008654C7" w:rsidRPr="003A3352" w:rsidRDefault="008654C7" w:rsidP="003A3352">
      <w:pPr>
        <w:rPr>
          <w:rFonts w:eastAsia="Times New Roman" w:cs="Times New Roman"/>
          <w:b/>
          <w:bCs/>
          <w:lang w:eastAsia="en-IE"/>
        </w:rPr>
      </w:pPr>
      <w:r w:rsidRPr="003A3352">
        <w:rPr>
          <w:rFonts w:eastAsia="Times New Roman" w:cs="Times New Roman"/>
          <w:b/>
          <w:bCs/>
          <w:lang w:eastAsia="en-IE"/>
        </w:rPr>
        <w:t xml:space="preserve">Council Members </w:t>
      </w:r>
    </w:p>
    <w:p w14:paraId="0C5BB3F3" w14:textId="77777777" w:rsidR="008654C7" w:rsidRPr="00BB4E49" w:rsidRDefault="008654C7" w:rsidP="003A3352">
      <w:pPr>
        <w:rPr>
          <w:rFonts w:eastAsia="Times New Roman" w:cs="Times New Roman"/>
          <w:lang w:eastAsia="en-IE"/>
        </w:rPr>
      </w:pPr>
      <w:r w:rsidRPr="00BB4E49">
        <w:rPr>
          <w:rFonts w:eastAsia="Times New Roman" w:cs="Times New Roman"/>
          <w:lang w:eastAsia="en-IE"/>
        </w:rPr>
        <w:t xml:space="preserve">Mick Duff (Independent) </w:t>
      </w:r>
      <w:r>
        <w:rPr>
          <w:rFonts w:eastAsia="Times New Roman" w:cs="Times New Roman"/>
          <w:lang w:eastAsia="en-IE"/>
        </w:rPr>
        <w:t>(</w:t>
      </w:r>
      <w:r w:rsidRPr="00BB4E49">
        <w:rPr>
          <w:rFonts w:eastAsia="Times New Roman" w:cs="Times New Roman"/>
          <w:lang w:eastAsia="en-IE"/>
        </w:rPr>
        <w:t>Chair</w:t>
      </w:r>
      <w:r>
        <w:rPr>
          <w:rFonts w:eastAsia="Times New Roman" w:cs="Times New Roman"/>
          <w:lang w:eastAsia="en-IE"/>
        </w:rPr>
        <w:t>)</w:t>
      </w:r>
    </w:p>
    <w:p w14:paraId="35131AB7" w14:textId="77777777" w:rsidR="008654C7" w:rsidRPr="00BB4E49" w:rsidRDefault="008654C7" w:rsidP="003A3352">
      <w:pPr>
        <w:rPr>
          <w:rFonts w:eastAsia="Times New Roman" w:cs="Times New Roman"/>
          <w:lang w:eastAsia="en-IE"/>
        </w:rPr>
      </w:pPr>
      <w:r w:rsidRPr="00BB4E49">
        <w:rPr>
          <w:rFonts w:eastAsia="Times New Roman" w:cs="Times New Roman"/>
          <w:lang w:eastAsia="en-IE"/>
        </w:rPr>
        <w:t>Caroline Brady (Fine Gael)</w:t>
      </w:r>
    </w:p>
    <w:p w14:paraId="38F4A31E" w14:textId="77777777" w:rsidR="008654C7" w:rsidRPr="00BB4E49" w:rsidRDefault="008654C7" w:rsidP="003A3352">
      <w:pPr>
        <w:rPr>
          <w:rFonts w:eastAsia="Times New Roman" w:cs="Times New Roman"/>
          <w:lang w:eastAsia="en-IE"/>
        </w:rPr>
      </w:pPr>
      <w:r w:rsidRPr="00BB4E49">
        <w:rPr>
          <w:rFonts w:eastAsia="Times New Roman" w:cs="Times New Roman"/>
          <w:lang w:eastAsia="en-IE"/>
        </w:rPr>
        <w:t>William Carey (Sinn Fein)</w:t>
      </w:r>
    </w:p>
    <w:p w14:paraId="1C227810" w14:textId="77777777" w:rsidR="008654C7" w:rsidRPr="00BB4E49" w:rsidRDefault="008654C7" w:rsidP="003A3352">
      <w:pPr>
        <w:rPr>
          <w:rFonts w:eastAsia="Times New Roman" w:cs="Times New Roman"/>
          <w:lang w:eastAsia="en-IE"/>
        </w:rPr>
      </w:pPr>
      <w:r w:rsidRPr="00BB4E49">
        <w:rPr>
          <w:rFonts w:eastAsia="Times New Roman" w:cs="Times New Roman"/>
          <w:lang w:eastAsia="en-IE"/>
        </w:rPr>
        <w:t>Yvonne Collins (Fianna Fail)</w:t>
      </w:r>
    </w:p>
    <w:p w14:paraId="7164C032" w14:textId="77777777" w:rsidR="008654C7" w:rsidRPr="00BB4E49" w:rsidRDefault="008654C7" w:rsidP="003A3352">
      <w:pPr>
        <w:rPr>
          <w:rFonts w:eastAsia="Times New Roman" w:cs="Times New Roman"/>
          <w:lang w:eastAsia="en-IE"/>
        </w:rPr>
      </w:pPr>
      <w:r w:rsidRPr="00BB4E49">
        <w:rPr>
          <w:rFonts w:eastAsia="Times New Roman" w:cs="Times New Roman"/>
          <w:lang w:eastAsia="en-IE"/>
        </w:rPr>
        <w:t>Madeline Johansson (People Before Profit)</w:t>
      </w:r>
    </w:p>
    <w:p w14:paraId="412E3BD2" w14:textId="77777777" w:rsidR="008654C7" w:rsidRPr="00BB4E49" w:rsidRDefault="008654C7" w:rsidP="003A3352">
      <w:pPr>
        <w:rPr>
          <w:rFonts w:eastAsia="Times New Roman" w:cs="Times New Roman"/>
          <w:lang w:eastAsia="en-IE"/>
        </w:rPr>
      </w:pPr>
      <w:r w:rsidRPr="00BB4E49">
        <w:rPr>
          <w:rFonts w:eastAsia="Times New Roman" w:cs="Times New Roman"/>
          <w:lang w:eastAsia="en-IE"/>
        </w:rPr>
        <w:t>Joanna Tuffy (Labour)</w:t>
      </w:r>
    </w:p>
    <w:p w14:paraId="25B9B24B" w14:textId="77777777" w:rsidR="008654C7" w:rsidRPr="00BB4E49" w:rsidRDefault="008654C7" w:rsidP="003A3352">
      <w:pPr>
        <w:rPr>
          <w:rFonts w:eastAsia="Times New Roman" w:cs="Times New Roman"/>
          <w:lang w:eastAsia="en-IE"/>
        </w:rPr>
      </w:pPr>
      <w:r w:rsidRPr="00BB4E49">
        <w:rPr>
          <w:rFonts w:eastAsia="Times New Roman" w:cs="Times New Roman"/>
          <w:lang w:eastAsia="en-IE"/>
        </w:rPr>
        <w:t>Britto Pereppadan (Fine Gael)</w:t>
      </w:r>
    </w:p>
    <w:p w14:paraId="55E8AE94" w14:textId="54C499B8" w:rsidR="008654C7" w:rsidRPr="003A3352" w:rsidRDefault="008654C7" w:rsidP="003A3352">
      <w:pPr>
        <w:rPr>
          <w:rFonts w:eastAsia="Times New Roman" w:cs="Times New Roman"/>
          <w:b/>
          <w:bCs/>
          <w:lang w:eastAsia="en-IE"/>
        </w:rPr>
      </w:pPr>
      <w:r w:rsidRPr="003A3352">
        <w:rPr>
          <w:rFonts w:eastAsia="Times New Roman" w:cs="Times New Roman"/>
          <w:b/>
          <w:bCs/>
          <w:lang w:eastAsia="en-IE"/>
        </w:rPr>
        <w:t>Sectoral Members</w:t>
      </w:r>
    </w:p>
    <w:p w14:paraId="5A7E3D14" w14:textId="77777777" w:rsidR="008654C7" w:rsidRDefault="008654C7" w:rsidP="003A3352">
      <w:pPr>
        <w:rPr>
          <w:rFonts w:eastAsia="Times New Roman" w:cs="Times New Roman"/>
          <w:lang w:eastAsia="en-IE"/>
        </w:rPr>
      </w:pPr>
      <w:r>
        <w:rPr>
          <w:rFonts w:eastAsia="Times New Roman" w:cs="Times New Roman"/>
          <w:lang w:eastAsia="en-IE"/>
        </w:rPr>
        <w:t>Betty Tyrrell-Collard – Trade Union</w:t>
      </w:r>
    </w:p>
    <w:p w14:paraId="37FA15E3" w14:textId="77777777" w:rsidR="008654C7" w:rsidRDefault="008654C7" w:rsidP="003A3352">
      <w:pPr>
        <w:rPr>
          <w:rFonts w:eastAsia="Times New Roman" w:cs="Times New Roman"/>
          <w:lang w:eastAsia="en-IE"/>
        </w:rPr>
      </w:pPr>
      <w:proofErr w:type="spellStart"/>
      <w:r>
        <w:rPr>
          <w:rFonts w:eastAsia="Times New Roman" w:cs="Times New Roman"/>
          <w:lang w:eastAsia="en-IE"/>
        </w:rPr>
        <w:t>Motuba</w:t>
      </w:r>
      <w:proofErr w:type="spellEnd"/>
      <w:r>
        <w:rPr>
          <w:rFonts w:eastAsia="Times New Roman" w:cs="Times New Roman"/>
          <w:lang w:eastAsia="en-IE"/>
        </w:rPr>
        <w:t xml:space="preserve"> </w:t>
      </w:r>
      <w:proofErr w:type="spellStart"/>
      <w:r>
        <w:rPr>
          <w:rFonts w:eastAsia="Times New Roman" w:cs="Times New Roman"/>
          <w:lang w:eastAsia="en-IE"/>
        </w:rPr>
        <w:t>Misori</w:t>
      </w:r>
      <w:proofErr w:type="spellEnd"/>
      <w:r>
        <w:rPr>
          <w:rFonts w:eastAsia="Times New Roman" w:cs="Times New Roman"/>
          <w:lang w:eastAsia="en-IE"/>
        </w:rPr>
        <w:t xml:space="preserve"> – Public Participation Network (Social Inclusion) (PPN)</w:t>
      </w:r>
    </w:p>
    <w:p w14:paraId="10267557" w14:textId="77777777" w:rsidR="008654C7" w:rsidRDefault="008654C7" w:rsidP="003A3352">
      <w:pPr>
        <w:rPr>
          <w:rFonts w:eastAsia="Times New Roman" w:cs="Times New Roman"/>
          <w:lang w:eastAsia="en-IE"/>
        </w:rPr>
      </w:pPr>
      <w:r>
        <w:rPr>
          <w:rFonts w:eastAsia="Times New Roman" w:cs="Times New Roman"/>
          <w:lang w:eastAsia="en-IE"/>
        </w:rPr>
        <w:t>Krystyna Zalewska - Public Participation Network (Community) (PPN)</w:t>
      </w:r>
    </w:p>
    <w:p w14:paraId="2E705636" w14:textId="77777777" w:rsidR="008654C7" w:rsidRDefault="008654C7" w:rsidP="003A3352">
      <w:pPr>
        <w:rPr>
          <w:rFonts w:eastAsia="Times New Roman" w:cs="Times New Roman"/>
          <w:lang w:eastAsia="en-IE"/>
        </w:rPr>
      </w:pPr>
      <w:r w:rsidRPr="00435829">
        <w:rPr>
          <w:rFonts w:eastAsia="Times New Roman" w:cs="Times New Roman"/>
          <w:lang w:eastAsia="en-IE"/>
        </w:rPr>
        <w:t>Isabelle Gallagher – Development Construction</w:t>
      </w:r>
    </w:p>
    <w:p w14:paraId="0C8B9D17" w14:textId="77777777" w:rsidR="008654C7" w:rsidRDefault="008654C7" w:rsidP="003A3352"/>
    <w:p w14:paraId="4F8A8047" w14:textId="77777777" w:rsidR="009C4CE2" w:rsidRPr="003A3352" w:rsidRDefault="009C4CE2" w:rsidP="009C4CE2">
      <w:pPr>
        <w:rPr>
          <w:rFonts w:cstheme="minorHAnsi"/>
          <w:b/>
          <w:bCs/>
        </w:rPr>
      </w:pPr>
      <w:r>
        <w:rPr>
          <w:rFonts w:cstheme="minorHAnsi"/>
          <w:b/>
          <w:bCs/>
        </w:rPr>
        <w:t xml:space="preserve">2024 </w:t>
      </w:r>
      <w:r w:rsidRPr="003A3352">
        <w:rPr>
          <w:rFonts w:cstheme="minorHAnsi"/>
          <w:b/>
          <w:bCs/>
        </w:rPr>
        <w:t>P</w:t>
      </w:r>
      <w:r>
        <w:rPr>
          <w:rFonts w:cstheme="minorHAnsi"/>
          <w:b/>
          <w:bCs/>
        </w:rPr>
        <w:t>ROGAMME OF WORK</w:t>
      </w:r>
    </w:p>
    <w:p w14:paraId="2D8CF900" w14:textId="77777777" w:rsidR="00871415" w:rsidRPr="00A53CAB" w:rsidRDefault="00871415" w:rsidP="006B1FA9">
      <w:pPr>
        <w:pStyle w:val="ListParagraph"/>
        <w:numPr>
          <w:ilvl w:val="0"/>
          <w:numId w:val="24"/>
        </w:numPr>
        <w:rPr>
          <w:rFonts w:eastAsia="Times New Roman"/>
        </w:rPr>
      </w:pPr>
      <w:r w:rsidRPr="00A53CAB">
        <w:rPr>
          <w:rFonts w:eastAsia="Times New Roman"/>
        </w:rPr>
        <w:t xml:space="preserve">Implementation of Housing Delivery Action Plan </w:t>
      </w:r>
    </w:p>
    <w:p w14:paraId="143952BD" w14:textId="0024BF49" w:rsidR="00871415" w:rsidRPr="006B1FA9" w:rsidRDefault="00871415" w:rsidP="006B1FA9">
      <w:pPr>
        <w:pStyle w:val="ListParagraph"/>
        <w:numPr>
          <w:ilvl w:val="0"/>
          <w:numId w:val="24"/>
        </w:numPr>
        <w:rPr>
          <w:rFonts w:eastAsia="Times New Roman"/>
        </w:rPr>
      </w:pPr>
      <w:r w:rsidRPr="006B1FA9">
        <w:rPr>
          <w:rFonts w:eastAsia="Times New Roman"/>
        </w:rPr>
        <w:t xml:space="preserve">Affordable Housing </w:t>
      </w:r>
      <w:r w:rsidR="0037035F">
        <w:rPr>
          <w:rFonts w:eastAsia="Times New Roman"/>
        </w:rPr>
        <w:t>and</w:t>
      </w:r>
      <w:r w:rsidRPr="006B1FA9">
        <w:rPr>
          <w:rFonts w:eastAsia="Times New Roman"/>
        </w:rPr>
        <w:t xml:space="preserve"> Cost Rental Schemes including eligibility and allocation</w:t>
      </w:r>
    </w:p>
    <w:p w14:paraId="7627D90D" w14:textId="5E202F34" w:rsidR="00871415" w:rsidRPr="006B1FA9" w:rsidRDefault="00871415" w:rsidP="006B1FA9">
      <w:pPr>
        <w:pStyle w:val="ListParagraph"/>
        <w:numPr>
          <w:ilvl w:val="0"/>
          <w:numId w:val="24"/>
        </w:numPr>
        <w:rPr>
          <w:rFonts w:eastAsia="Times New Roman"/>
        </w:rPr>
      </w:pPr>
      <w:r w:rsidRPr="006B1FA9">
        <w:rPr>
          <w:rFonts w:eastAsia="Times New Roman"/>
        </w:rPr>
        <w:t xml:space="preserve">Allocations </w:t>
      </w:r>
      <w:r w:rsidR="0037035F">
        <w:rPr>
          <w:rFonts w:eastAsia="Times New Roman"/>
        </w:rPr>
        <w:t>and</w:t>
      </w:r>
      <w:r w:rsidRPr="006B1FA9">
        <w:rPr>
          <w:rFonts w:eastAsia="Times New Roman"/>
        </w:rPr>
        <w:t xml:space="preserve"> Housing Need including review of the Allocation Scheme </w:t>
      </w:r>
    </w:p>
    <w:p w14:paraId="71BEB0FF" w14:textId="77777777" w:rsidR="00871415" w:rsidRPr="006B1FA9" w:rsidRDefault="00871415" w:rsidP="006B1FA9">
      <w:pPr>
        <w:pStyle w:val="ListParagraph"/>
        <w:numPr>
          <w:ilvl w:val="0"/>
          <w:numId w:val="24"/>
        </w:numPr>
        <w:rPr>
          <w:rFonts w:eastAsia="Times New Roman"/>
        </w:rPr>
      </w:pPr>
      <w:r w:rsidRPr="006B1FA9">
        <w:rPr>
          <w:rFonts w:eastAsia="Times New Roman"/>
        </w:rPr>
        <w:t>Traveller Accommodation Programme</w:t>
      </w:r>
    </w:p>
    <w:p w14:paraId="3B99086B" w14:textId="620D13AC" w:rsidR="00871415" w:rsidRPr="006B1FA9" w:rsidRDefault="00871415" w:rsidP="006B1FA9">
      <w:pPr>
        <w:pStyle w:val="ListParagraph"/>
        <w:numPr>
          <w:ilvl w:val="0"/>
          <w:numId w:val="24"/>
        </w:numPr>
        <w:rPr>
          <w:rFonts w:eastAsia="Times New Roman"/>
        </w:rPr>
      </w:pPr>
      <w:r w:rsidRPr="006B1FA9">
        <w:rPr>
          <w:rFonts w:eastAsia="Times New Roman"/>
        </w:rPr>
        <w:t xml:space="preserve">Energy-Retrofit, Planned Maintenance </w:t>
      </w:r>
      <w:r w:rsidR="0037035F">
        <w:rPr>
          <w:rFonts w:eastAsia="Times New Roman"/>
        </w:rPr>
        <w:t>and</w:t>
      </w:r>
      <w:r w:rsidRPr="006B1FA9">
        <w:rPr>
          <w:rFonts w:eastAsia="Times New Roman"/>
        </w:rPr>
        <w:t xml:space="preserve"> Voids Programmes</w:t>
      </w:r>
    </w:p>
    <w:p w14:paraId="78E4CC5B" w14:textId="77777777" w:rsidR="00871415" w:rsidRPr="006B1FA9" w:rsidRDefault="00871415" w:rsidP="006B1FA9">
      <w:pPr>
        <w:pStyle w:val="ListParagraph"/>
        <w:numPr>
          <w:ilvl w:val="0"/>
          <w:numId w:val="24"/>
        </w:numPr>
        <w:rPr>
          <w:rFonts w:eastAsia="Times New Roman"/>
        </w:rPr>
      </w:pPr>
      <w:r w:rsidRPr="006B1FA9">
        <w:rPr>
          <w:rFonts w:eastAsia="Times New Roman"/>
        </w:rPr>
        <w:t>Tenant Participation/Engagement Strategy</w:t>
      </w:r>
    </w:p>
    <w:p w14:paraId="7C80B6F1" w14:textId="77777777" w:rsidR="00871415" w:rsidRPr="006B1FA9" w:rsidRDefault="00871415" w:rsidP="006B1FA9">
      <w:pPr>
        <w:pStyle w:val="ListParagraph"/>
        <w:numPr>
          <w:ilvl w:val="0"/>
          <w:numId w:val="24"/>
        </w:numPr>
        <w:rPr>
          <w:rFonts w:eastAsia="Times New Roman"/>
        </w:rPr>
      </w:pPr>
      <w:r w:rsidRPr="006B1FA9">
        <w:rPr>
          <w:rFonts w:eastAsia="Times New Roman"/>
        </w:rPr>
        <w:t xml:space="preserve">Implementation of the National Housing Strategy for Disabled People 2022-2027 </w:t>
      </w:r>
    </w:p>
    <w:p w14:paraId="70F72D5D" w14:textId="77777777" w:rsidR="00871415" w:rsidRPr="006B1FA9" w:rsidRDefault="00871415" w:rsidP="006B1FA9">
      <w:pPr>
        <w:pStyle w:val="ListParagraph"/>
        <w:numPr>
          <w:ilvl w:val="0"/>
          <w:numId w:val="24"/>
        </w:numPr>
        <w:rPr>
          <w:rFonts w:eastAsia="Times New Roman"/>
        </w:rPr>
      </w:pPr>
      <w:r w:rsidRPr="006B1FA9">
        <w:rPr>
          <w:rFonts w:eastAsia="Times New Roman"/>
        </w:rPr>
        <w:t xml:space="preserve">Anti-Social/Community Safety Strategy </w:t>
      </w:r>
    </w:p>
    <w:p w14:paraId="559445B1" w14:textId="77777777" w:rsidR="00871415" w:rsidRPr="006B1FA9" w:rsidRDefault="00871415" w:rsidP="006B1FA9">
      <w:pPr>
        <w:pStyle w:val="ListParagraph"/>
        <w:numPr>
          <w:ilvl w:val="0"/>
          <w:numId w:val="24"/>
        </w:numPr>
        <w:rPr>
          <w:rFonts w:eastAsia="Times New Roman"/>
        </w:rPr>
      </w:pPr>
      <w:r w:rsidRPr="006B1FA9">
        <w:rPr>
          <w:rFonts w:eastAsia="Times New Roman"/>
        </w:rPr>
        <w:t>Vacant Homes Schemes</w:t>
      </w:r>
    </w:p>
    <w:p w14:paraId="34426959" w14:textId="40DDD7D6" w:rsidR="00871415" w:rsidRPr="006B1FA9" w:rsidRDefault="00871415" w:rsidP="006B1FA9">
      <w:pPr>
        <w:pStyle w:val="ListParagraph"/>
        <w:numPr>
          <w:ilvl w:val="0"/>
          <w:numId w:val="24"/>
        </w:numPr>
        <w:rPr>
          <w:rFonts w:eastAsia="Times New Roman"/>
        </w:rPr>
      </w:pPr>
      <w:r w:rsidRPr="006B1FA9">
        <w:rPr>
          <w:rFonts w:eastAsia="Times New Roman"/>
        </w:rPr>
        <w:t xml:space="preserve">Housing Communications, Data </w:t>
      </w:r>
      <w:r w:rsidR="0037035F">
        <w:rPr>
          <w:rFonts w:eastAsia="Times New Roman"/>
        </w:rPr>
        <w:t>and</w:t>
      </w:r>
      <w:r w:rsidRPr="006B1FA9">
        <w:rPr>
          <w:rFonts w:eastAsia="Times New Roman"/>
        </w:rPr>
        <w:t xml:space="preserve"> Systems</w:t>
      </w:r>
    </w:p>
    <w:p w14:paraId="01BC5383" w14:textId="77777777" w:rsidR="00871415" w:rsidRDefault="00871415" w:rsidP="003A3352">
      <w:pPr>
        <w:rPr>
          <w:rFonts w:cstheme="minorHAnsi"/>
        </w:rPr>
      </w:pPr>
    </w:p>
    <w:p w14:paraId="3CC7F183" w14:textId="25FB2E08" w:rsidR="00871415" w:rsidRPr="004C3E99" w:rsidRDefault="00A757BF" w:rsidP="003A3352">
      <w:pPr>
        <w:pStyle w:val="Heading2"/>
      </w:pPr>
      <w:bookmarkStart w:id="49" w:name="_Toc195533615"/>
      <w:bookmarkStart w:id="50" w:name="_Toc195533687"/>
      <w:bookmarkStart w:id="51" w:name="_Toc195533964"/>
      <w:bookmarkStart w:id="52" w:name="_Toc195534039"/>
      <w:bookmarkStart w:id="53" w:name="_Toc195534402"/>
      <w:bookmarkStart w:id="54" w:name="_Toc195534603"/>
      <w:bookmarkStart w:id="55" w:name="_Toc199244559"/>
      <w:r w:rsidRPr="004C3E99">
        <w:t xml:space="preserve">Social, Community </w:t>
      </w:r>
      <w:r>
        <w:t>and</w:t>
      </w:r>
      <w:r w:rsidRPr="004C3E99">
        <w:t xml:space="preserve"> Equality S</w:t>
      </w:r>
      <w:r>
        <w:t>PC</w:t>
      </w:r>
      <w:bookmarkEnd w:id="49"/>
      <w:bookmarkEnd w:id="50"/>
      <w:bookmarkEnd w:id="51"/>
      <w:bookmarkEnd w:id="52"/>
      <w:bookmarkEnd w:id="53"/>
      <w:bookmarkEnd w:id="54"/>
      <w:bookmarkEnd w:id="55"/>
    </w:p>
    <w:p w14:paraId="5D88FC4A" w14:textId="77777777" w:rsidR="00871415" w:rsidRDefault="00871415" w:rsidP="003A3352">
      <w:pPr>
        <w:rPr>
          <w:rFonts w:cstheme="minorHAnsi"/>
        </w:rPr>
      </w:pPr>
      <w:r>
        <w:rPr>
          <w:rFonts w:cstheme="minorHAnsi"/>
        </w:rPr>
        <w:t xml:space="preserve">Pre 2024 Local Election </w:t>
      </w:r>
      <w:r w:rsidRPr="00D457CE">
        <w:rPr>
          <w:rFonts w:cstheme="minorHAnsi"/>
        </w:rPr>
        <w:t>Chair:</w:t>
      </w:r>
      <w:r w:rsidRPr="004C3E99">
        <w:rPr>
          <w:rFonts w:cstheme="minorHAnsi"/>
        </w:rPr>
        <w:t xml:space="preserve"> Cllr Trevor Gilligan</w:t>
      </w:r>
    </w:p>
    <w:p w14:paraId="6B438A95" w14:textId="77777777" w:rsidR="00871415" w:rsidRPr="00D457CE" w:rsidRDefault="00871415" w:rsidP="003A3352">
      <w:pPr>
        <w:rPr>
          <w:rFonts w:cstheme="minorHAnsi"/>
        </w:rPr>
      </w:pPr>
      <w:r>
        <w:rPr>
          <w:rFonts w:cstheme="minorHAnsi"/>
        </w:rPr>
        <w:t xml:space="preserve">Post 2024 Local Election </w:t>
      </w:r>
      <w:r w:rsidRPr="00D457CE">
        <w:rPr>
          <w:rFonts w:cstheme="minorHAnsi"/>
        </w:rPr>
        <w:t>Chair:</w:t>
      </w:r>
      <w:r>
        <w:rPr>
          <w:rFonts w:cstheme="minorHAnsi"/>
        </w:rPr>
        <w:t xml:space="preserve"> Cllr Emma Murphy</w:t>
      </w:r>
    </w:p>
    <w:p w14:paraId="19285EF5" w14:textId="1ED6FD6F" w:rsidR="00871415" w:rsidRDefault="00871415" w:rsidP="003A3352">
      <w:pPr>
        <w:rPr>
          <w:rFonts w:cstheme="minorHAnsi"/>
        </w:rPr>
      </w:pPr>
      <w:r w:rsidRPr="004C3E99">
        <w:rPr>
          <w:rFonts w:cstheme="minorHAnsi"/>
        </w:rPr>
        <w:t>Director: Elaine Leech</w:t>
      </w:r>
    </w:p>
    <w:p w14:paraId="4F897F74" w14:textId="77777777" w:rsidR="008654C7" w:rsidRDefault="008654C7" w:rsidP="003A3352">
      <w:pPr>
        <w:rPr>
          <w:rFonts w:cstheme="minorHAnsi"/>
        </w:rPr>
      </w:pPr>
    </w:p>
    <w:p w14:paraId="3F7FC624" w14:textId="77777777" w:rsidR="005B296A" w:rsidRPr="005A1628" w:rsidRDefault="005B296A" w:rsidP="005B296A">
      <w:pPr>
        <w:rPr>
          <w:rFonts w:cstheme="minorHAnsi"/>
          <w:b/>
          <w:bCs/>
        </w:rPr>
      </w:pPr>
      <w:r w:rsidRPr="003A3352">
        <w:rPr>
          <w:rFonts w:cstheme="minorHAnsi"/>
          <w:b/>
          <w:bCs/>
        </w:rPr>
        <w:t>Membership</w:t>
      </w:r>
      <w:r>
        <w:rPr>
          <w:rFonts w:cstheme="minorHAnsi"/>
          <w:b/>
          <w:bCs/>
        </w:rPr>
        <w:t xml:space="preserve"> </w:t>
      </w:r>
      <w:r w:rsidRPr="005B296A">
        <w:rPr>
          <w:rFonts w:cstheme="minorHAnsi"/>
          <w:b/>
          <w:bCs/>
        </w:rPr>
        <w:t>J</w:t>
      </w:r>
      <w:r w:rsidRPr="005A1628">
        <w:rPr>
          <w:rFonts w:cstheme="minorHAnsi"/>
          <w:b/>
          <w:bCs/>
        </w:rPr>
        <w:t>anuary – May 2024</w:t>
      </w:r>
    </w:p>
    <w:p w14:paraId="6B3289C0" w14:textId="7526AA99" w:rsidR="008654C7" w:rsidRPr="003A3352" w:rsidRDefault="008654C7" w:rsidP="003A3352">
      <w:pPr>
        <w:rPr>
          <w:rFonts w:eastAsia="Times New Roman" w:cs="Times New Roman"/>
          <w:b/>
          <w:bCs/>
          <w:lang w:eastAsia="en-IE"/>
        </w:rPr>
      </w:pPr>
      <w:r w:rsidRPr="003A3352">
        <w:rPr>
          <w:rFonts w:eastAsia="Times New Roman" w:cs="Times New Roman"/>
          <w:b/>
          <w:bCs/>
          <w:lang w:eastAsia="en-IE"/>
        </w:rPr>
        <w:t>Council Members</w:t>
      </w:r>
    </w:p>
    <w:p w14:paraId="0CDB7261" w14:textId="77777777" w:rsidR="008654C7" w:rsidRPr="00373B02" w:rsidRDefault="008654C7" w:rsidP="003A3352">
      <w:pPr>
        <w:rPr>
          <w:rFonts w:eastAsia="Times New Roman" w:cs="Times New Roman"/>
          <w:lang w:eastAsia="en-IE"/>
        </w:rPr>
      </w:pPr>
      <w:r w:rsidRPr="00373B02">
        <w:rPr>
          <w:rFonts w:eastAsia="Times New Roman" w:cs="Times New Roman"/>
          <w:lang w:eastAsia="en-IE"/>
        </w:rPr>
        <w:t xml:space="preserve">Trevor Gilligan (Fianna </w:t>
      </w:r>
      <w:proofErr w:type="spellStart"/>
      <w:r w:rsidRPr="00373B02">
        <w:rPr>
          <w:rFonts w:eastAsia="Times New Roman" w:cs="Times New Roman"/>
          <w:lang w:eastAsia="en-IE"/>
        </w:rPr>
        <w:t>Fáil</w:t>
      </w:r>
      <w:proofErr w:type="spellEnd"/>
      <w:r w:rsidRPr="00373B02">
        <w:rPr>
          <w:rFonts w:eastAsia="Times New Roman" w:cs="Times New Roman"/>
          <w:lang w:eastAsia="en-IE"/>
        </w:rPr>
        <w:t xml:space="preserve">) </w:t>
      </w:r>
      <w:r>
        <w:rPr>
          <w:rFonts w:eastAsia="Times New Roman" w:cs="Times New Roman"/>
          <w:lang w:eastAsia="en-IE"/>
        </w:rPr>
        <w:t>–</w:t>
      </w:r>
      <w:r w:rsidRPr="00373B02">
        <w:rPr>
          <w:rFonts w:eastAsia="Times New Roman" w:cs="Times New Roman"/>
          <w:lang w:eastAsia="en-IE"/>
        </w:rPr>
        <w:t xml:space="preserve"> </w:t>
      </w:r>
      <w:r>
        <w:rPr>
          <w:rFonts w:eastAsia="Times New Roman" w:cs="Times New Roman"/>
          <w:lang w:eastAsia="en-IE"/>
        </w:rPr>
        <w:t>(</w:t>
      </w:r>
      <w:r w:rsidRPr="00373B02">
        <w:rPr>
          <w:rFonts w:eastAsia="Times New Roman" w:cs="Times New Roman"/>
          <w:lang w:eastAsia="en-IE"/>
        </w:rPr>
        <w:t>Chair</w:t>
      </w:r>
      <w:r>
        <w:rPr>
          <w:rFonts w:eastAsia="Times New Roman" w:cs="Times New Roman"/>
          <w:lang w:eastAsia="en-IE"/>
        </w:rPr>
        <w:t>)</w:t>
      </w:r>
    </w:p>
    <w:p w14:paraId="59BFAECE" w14:textId="77777777" w:rsidR="008654C7" w:rsidRPr="00373B02" w:rsidRDefault="008654C7" w:rsidP="003A3352">
      <w:pPr>
        <w:rPr>
          <w:rFonts w:eastAsia="Times New Roman" w:cs="Times New Roman"/>
          <w:lang w:eastAsia="en-IE"/>
        </w:rPr>
      </w:pPr>
      <w:r w:rsidRPr="00373B02">
        <w:rPr>
          <w:rFonts w:eastAsia="Times New Roman" w:cs="Times New Roman"/>
          <w:lang w:eastAsia="en-IE"/>
        </w:rPr>
        <w:t>Paddy Holohan (Sinn Féin)</w:t>
      </w:r>
    </w:p>
    <w:p w14:paraId="29A1FE30" w14:textId="77777777" w:rsidR="008654C7" w:rsidRPr="00373B02" w:rsidRDefault="008654C7" w:rsidP="003A3352">
      <w:pPr>
        <w:rPr>
          <w:rFonts w:eastAsia="Times New Roman" w:cs="Times New Roman"/>
          <w:lang w:eastAsia="en-IE"/>
        </w:rPr>
      </w:pPr>
      <w:r w:rsidRPr="00373B02">
        <w:rPr>
          <w:rFonts w:eastAsia="Times New Roman" w:cs="Times New Roman"/>
          <w:lang w:eastAsia="en-IE"/>
        </w:rPr>
        <w:t>Vicki Casserly (Fine Gael)</w:t>
      </w:r>
    </w:p>
    <w:p w14:paraId="46A139C0" w14:textId="77777777" w:rsidR="008654C7" w:rsidRPr="00373B02" w:rsidRDefault="008654C7" w:rsidP="003A3352">
      <w:pPr>
        <w:rPr>
          <w:rFonts w:eastAsia="Times New Roman" w:cs="Times New Roman"/>
          <w:lang w:eastAsia="en-IE"/>
        </w:rPr>
      </w:pPr>
      <w:r w:rsidRPr="00373B02">
        <w:rPr>
          <w:rFonts w:eastAsia="Times New Roman" w:cs="Times New Roman"/>
          <w:lang w:eastAsia="en-IE"/>
        </w:rPr>
        <w:t>Shirley O'Hara (Fine Gael)</w:t>
      </w:r>
    </w:p>
    <w:p w14:paraId="32314B13" w14:textId="77777777" w:rsidR="008654C7" w:rsidRPr="00373B02" w:rsidRDefault="008654C7" w:rsidP="003A3352">
      <w:pPr>
        <w:rPr>
          <w:rFonts w:eastAsia="Times New Roman" w:cs="Times New Roman"/>
          <w:lang w:eastAsia="en-IE"/>
        </w:rPr>
      </w:pPr>
      <w:r w:rsidRPr="00373B02">
        <w:rPr>
          <w:rFonts w:eastAsia="Times New Roman" w:cs="Times New Roman"/>
          <w:lang w:eastAsia="en-IE"/>
        </w:rPr>
        <w:t xml:space="preserve">Lilian </w:t>
      </w:r>
      <w:proofErr w:type="spellStart"/>
      <w:r w:rsidRPr="00373B02">
        <w:rPr>
          <w:rFonts w:eastAsia="Times New Roman" w:cs="Times New Roman"/>
          <w:lang w:eastAsia="en-IE"/>
        </w:rPr>
        <w:t>Guéret</w:t>
      </w:r>
      <w:proofErr w:type="spellEnd"/>
      <w:r w:rsidRPr="00373B02">
        <w:rPr>
          <w:rFonts w:eastAsia="Times New Roman" w:cs="Times New Roman"/>
          <w:lang w:eastAsia="en-IE"/>
        </w:rPr>
        <w:t xml:space="preserve"> (Fianna </w:t>
      </w:r>
      <w:proofErr w:type="spellStart"/>
      <w:r w:rsidRPr="00373B02">
        <w:rPr>
          <w:rFonts w:eastAsia="Times New Roman" w:cs="Times New Roman"/>
          <w:lang w:eastAsia="en-IE"/>
        </w:rPr>
        <w:t>Fáil</w:t>
      </w:r>
      <w:proofErr w:type="spellEnd"/>
      <w:r w:rsidRPr="00373B02">
        <w:rPr>
          <w:rFonts w:eastAsia="Times New Roman" w:cs="Times New Roman"/>
          <w:lang w:eastAsia="en-IE"/>
        </w:rPr>
        <w:t>)</w:t>
      </w:r>
    </w:p>
    <w:p w14:paraId="2819E6F4" w14:textId="77777777" w:rsidR="008654C7" w:rsidRDefault="008654C7" w:rsidP="003A3352">
      <w:pPr>
        <w:rPr>
          <w:rFonts w:eastAsia="Times New Roman" w:cs="Times New Roman"/>
          <w:lang w:eastAsia="en-IE"/>
        </w:rPr>
      </w:pPr>
      <w:r w:rsidRPr="00373B02">
        <w:rPr>
          <w:rFonts w:eastAsia="Times New Roman" w:cs="Times New Roman"/>
          <w:lang w:eastAsia="en-IE"/>
        </w:rPr>
        <w:t>Justin Sinnott (Social Democrats)</w:t>
      </w:r>
    </w:p>
    <w:p w14:paraId="04D310CD" w14:textId="77777777" w:rsidR="008654C7" w:rsidRPr="003A3352" w:rsidRDefault="008654C7" w:rsidP="003A3352">
      <w:pPr>
        <w:rPr>
          <w:rFonts w:eastAsia="Times New Roman" w:cs="Times New Roman"/>
          <w:b/>
          <w:bCs/>
          <w:lang w:eastAsia="en-IE"/>
        </w:rPr>
      </w:pPr>
      <w:r w:rsidRPr="003A3352">
        <w:rPr>
          <w:rFonts w:eastAsia="Times New Roman" w:cs="Times New Roman"/>
          <w:b/>
          <w:bCs/>
          <w:lang w:eastAsia="en-IE"/>
        </w:rPr>
        <w:t>Sectoral Members</w:t>
      </w:r>
    </w:p>
    <w:p w14:paraId="3038471D" w14:textId="77777777" w:rsidR="008654C7" w:rsidRPr="00373B02" w:rsidRDefault="008654C7" w:rsidP="003A3352">
      <w:pPr>
        <w:rPr>
          <w:rFonts w:eastAsia="Times New Roman" w:cs="Times New Roman"/>
          <w:lang w:eastAsia="en-IE"/>
        </w:rPr>
      </w:pPr>
      <w:r w:rsidRPr="00373B02">
        <w:rPr>
          <w:rFonts w:eastAsia="Times New Roman" w:cs="Times New Roman"/>
          <w:lang w:eastAsia="en-IE"/>
        </w:rPr>
        <w:t xml:space="preserve">Lynn Byrne - </w:t>
      </w:r>
      <w:r w:rsidRPr="00BB4E49">
        <w:rPr>
          <w:rFonts w:eastAsia="Times New Roman" w:cs="Times New Roman"/>
          <w:lang w:eastAsia="en-IE"/>
        </w:rPr>
        <w:t>Public Participation Network (PPN)</w:t>
      </w:r>
    </w:p>
    <w:p w14:paraId="7A0CF7AD" w14:textId="77777777" w:rsidR="008654C7" w:rsidRPr="00373B02" w:rsidRDefault="008654C7" w:rsidP="003A3352">
      <w:pPr>
        <w:rPr>
          <w:rFonts w:eastAsia="Times New Roman" w:cs="Times New Roman"/>
          <w:lang w:eastAsia="en-IE"/>
        </w:rPr>
      </w:pPr>
      <w:r w:rsidRPr="00373B02">
        <w:rPr>
          <w:rFonts w:eastAsia="Times New Roman" w:cs="Times New Roman"/>
          <w:lang w:eastAsia="en-IE"/>
        </w:rPr>
        <w:t xml:space="preserve">Daire Hennessy - </w:t>
      </w:r>
      <w:r w:rsidRPr="00BB4E49">
        <w:rPr>
          <w:rFonts w:eastAsia="Times New Roman" w:cs="Times New Roman"/>
          <w:lang w:eastAsia="en-IE"/>
        </w:rPr>
        <w:t>Public Participation Network (PPN)</w:t>
      </w:r>
    </w:p>
    <w:p w14:paraId="6ECFEDB5" w14:textId="77777777" w:rsidR="008654C7" w:rsidRDefault="008654C7" w:rsidP="003A3352">
      <w:pPr>
        <w:rPr>
          <w:rFonts w:eastAsia="Times New Roman" w:cs="Times New Roman"/>
          <w:lang w:eastAsia="en-IE"/>
        </w:rPr>
      </w:pPr>
    </w:p>
    <w:p w14:paraId="39DF1ECF" w14:textId="48132D69" w:rsidR="008654C7" w:rsidRDefault="00A757BF" w:rsidP="003A3352">
      <w:pPr>
        <w:pStyle w:val="Heading2"/>
        <w:rPr>
          <w:rFonts w:eastAsia="Times New Roman"/>
          <w:lang w:eastAsia="en-IE"/>
        </w:rPr>
      </w:pPr>
      <w:bookmarkStart w:id="56" w:name="_Toc195533616"/>
      <w:bookmarkStart w:id="57" w:name="_Toc195533688"/>
      <w:bookmarkStart w:id="58" w:name="_Toc195533965"/>
      <w:bookmarkStart w:id="59" w:name="_Toc195534040"/>
      <w:bookmarkStart w:id="60" w:name="_Toc195534403"/>
      <w:bookmarkStart w:id="61" w:name="_Toc195534604"/>
      <w:bookmarkStart w:id="62" w:name="_Toc199244560"/>
      <w:r w:rsidRPr="00373B02">
        <w:rPr>
          <w:rFonts w:eastAsia="Times New Roman"/>
          <w:lang w:eastAsia="en-IE"/>
        </w:rPr>
        <w:t>Social, Community</w:t>
      </w:r>
      <w:r>
        <w:rPr>
          <w:rFonts w:eastAsia="Times New Roman"/>
          <w:lang w:eastAsia="en-IE"/>
        </w:rPr>
        <w:t xml:space="preserve">, </w:t>
      </w:r>
      <w:r w:rsidRPr="00373B02">
        <w:rPr>
          <w:rFonts w:eastAsia="Times New Roman"/>
          <w:lang w:eastAsia="en-IE"/>
        </w:rPr>
        <w:t>Equality</w:t>
      </w:r>
      <w:r>
        <w:rPr>
          <w:rFonts w:eastAsia="Times New Roman"/>
          <w:lang w:eastAsia="en-IE"/>
        </w:rPr>
        <w:t xml:space="preserve"> and Integration</w:t>
      </w:r>
      <w:r w:rsidRPr="00373B02">
        <w:rPr>
          <w:rFonts w:eastAsia="Times New Roman"/>
          <w:lang w:eastAsia="en-IE"/>
        </w:rPr>
        <w:t xml:space="preserve"> </w:t>
      </w:r>
      <w:r>
        <w:rPr>
          <w:rFonts w:eastAsia="Times New Roman"/>
          <w:lang w:eastAsia="en-IE"/>
        </w:rPr>
        <w:t>SPC</w:t>
      </w:r>
      <w:bookmarkEnd w:id="56"/>
      <w:bookmarkEnd w:id="57"/>
      <w:bookmarkEnd w:id="58"/>
      <w:bookmarkEnd w:id="59"/>
      <w:bookmarkEnd w:id="60"/>
      <w:bookmarkEnd w:id="61"/>
      <w:bookmarkEnd w:id="62"/>
    </w:p>
    <w:p w14:paraId="250316C0" w14:textId="77777777" w:rsidR="00A757BF" w:rsidRPr="005A1628" w:rsidRDefault="00A757BF" w:rsidP="00A757BF">
      <w:pPr>
        <w:rPr>
          <w:rFonts w:cstheme="minorHAnsi"/>
          <w:b/>
          <w:bCs/>
        </w:rPr>
      </w:pPr>
      <w:r w:rsidRPr="003A3352">
        <w:rPr>
          <w:rFonts w:cstheme="minorHAnsi"/>
          <w:b/>
          <w:bCs/>
        </w:rPr>
        <w:t>Membership</w:t>
      </w:r>
      <w:r w:rsidRPr="00403213">
        <w:rPr>
          <w:u w:val="single"/>
        </w:rPr>
        <w:t xml:space="preserve"> </w:t>
      </w:r>
      <w:r w:rsidRPr="005A1628">
        <w:rPr>
          <w:rFonts w:cstheme="minorHAnsi"/>
          <w:b/>
          <w:bCs/>
        </w:rPr>
        <w:t>June 2024 – December 2024</w:t>
      </w:r>
    </w:p>
    <w:p w14:paraId="184B4EE9" w14:textId="77777777" w:rsidR="00A757BF" w:rsidRPr="003A3352" w:rsidRDefault="00A757BF" w:rsidP="00A757BF">
      <w:pPr>
        <w:rPr>
          <w:rFonts w:eastAsia="Times New Roman" w:cs="Times New Roman"/>
          <w:b/>
          <w:bCs/>
          <w:lang w:eastAsia="en-IE"/>
        </w:rPr>
      </w:pPr>
      <w:r w:rsidRPr="003A3352">
        <w:rPr>
          <w:rFonts w:eastAsia="Times New Roman" w:cs="Times New Roman"/>
          <w:b/>
          <w:bCs/>
          <w:lang w:eastAsia="en-IE"/>
        </w:rPr>
        <w:t>Council Members</w:t>
      </w:r>
    </w:p>
    <w:p w14:paraId="49B23814" w14:textId="77777777" w:rsidR="008654C7" w:rsidRDefault="008654C7" w:rsidP="003A3352">
      <w:pPr>
        <w:rPr>
          <w:rFonts w:eastAsia="Times New Roman" w:cs="Times New Roman"/>
          <w:lang w:eastAsia="en-IE"/>
        </w:rPr>
      </w:pPr>
      <w:r>
        <w:rPr>
          <w:rFonts w:eastAsia="Times New Roman" w:cs="Times New Roman"/>
          <w:lang w:eastAsia="en-IE"/>
        </w:rPr>
        <w:t>Emma Murphy (Fianna Fail) (Chair)</w:t>
      </w:r>
    </w:p>
    <w:p w14:paraId="551E36A6" w14:textId="77777777" w:rsidR="008654C7" w:rsidRDefault="008654C7" w:rsidP="003A3352">
      <w:pPr>
        <w:rPr>
          <w:rFonts w:eastAsia="Times New Roman" w:cs="Times New Roman"/>
          <w:lang w:eastAsia="en-IE"/>
        </w:rPr>
      </w:pPr>
      <w:r>
        <w:rPr>
          <w:rFonts w:eastAsia="Times New Roman" w:cs="Times New Roman"/>
          <w:lang w:eastAsia="en-IE"/>
        </w:rPr>
        <w:t>Niamh Whelan (Sinn Fein)</w:t>
      </w:r>
    </w:p>
    <w:p w14:paraId="032360EA" w14:textId="77777777" w:rsidR="008654C7" w:rsidRDefault="008654C7" w:rsidP="003A3352">
      <w:pPr>
        <w:rPr>
          <w:rFonts w:eastAsia="Times New Roman" w:cs="Times New Roman"/>
          <w:lang w:eastAsia="en-IE"/>
        </w:rPr>
      </w:pPr>
      <w:r>
        <w:rPr>
          <w:rFonts w:eastAsia="Times New Roman" w:cs="Times New Roman"/>
          <w:lang w:eastAsia="en-IE"/>
        </w:rPr>
        <w:t>Kay Keane (People Before Profit)</w:t>
      </w:r>
    </w:p>
    <w:p w14:paraId="7F49A5FB" w14:textId="77777777" w:rsidR="008654C7" w:rsidRDefault="008654C7" w:rsidP="003A3352">
      <w:pPr>
        <w:rPr>
          <w:rFonts w:eastAsia="Times New Roman" w:cs="Times New Roman"/>
          <w:lang w:eastAsia="en-IE"/>
        </w:rPr>
      </w:pPr>
      <w:r>
        <w:rPr>
          <w:rFonts w:eastAsia="Times New Roman" w:cs="Times New Roman"/>
          <w:lang w:eastAsia="en-IE"/>
        </w:rPr>
        <w:t>Alan Edge (Independent)</w:t>
      </w:r>
    </w:p>
    <w:p w14:paraId="47717822" w14:textId="7043ADA9" w:rsidR="008654C7" w:rsidRDefault="008654C7" w:rsidP="003A3352">
      <w:pPr>
        <w:rPr>
          <w:rFonts w:eastAsia="Times New Roman" w:cs="Times New Roman"/>
          <w:lang w:eastAsia="en-IE"/>
        </w:rPr>
      </w:pPr>
      <w:r>
        <w:rPr>
          <w:rFonts w:eastAsia="Times New Roman" w:cs="Times New Roman"/>
          <w:lang w:eastAsia="en-IE"/>
        </w:rPr>
        <w:t>Alan Hay</w:t>
      </w:r>
      <w:r w:rsidR="00273068">
        <w:rPr>
          <w:rFonts w:eastAsia="Times New Roman" w:cs="Times New Roman"/>
          <w:lang w:eastAsia="en-IE"/>
        </w:rPr>
        <w:t>e</w:t>
      </w:r>
      <w:r>
        <w:rPr>
          <w:rFonts w:eastAsia="Times New Roman" w:cs="Times New Roman"/>
          <w:lang w:eastAsia="en-IE"/>
        </w:rPr>
        <w:t>s (Independent)</w:t>
      </w:r>
    </w:p>
    <w:p w14:paraId="671A9B1F" w14:textId="77777777" w:rsidR="008654C7" w:rsidRDefault="008654C7" w:rsidP="003A3352">
      <w:pPr>
        <w:rPr>
          <w:rFonts w:eastAsia="Times New Roman" w:cs="Times New Roman"/>
          <w:lang w:eastAsia="en-IE"/>
        </w:rPr>
      </w:pPr>
      <w:r>
        <w:rPr>
          <w:rFonts w:eastAsia="Times New Roman" w:cs="Times New Roman"/>
          <w:lang w:eastAsia="en-IE"/>
        </w:rPr>
        <w:t>Baby Pereppadan (Fine Gael)</w:t>
      </w:r>
    </w:p>
    <w:p w14:paraId="316A0463" w14:textId="09C3382A" w:rsidR="008654C7" w:rsidRPr="003A3352" w:rsidRDefault="008654C7" w:rsidP="003A3352">
      <w:pPr>
        <w:rPr>
          <w:rFonts w:eastAsia="Times New Roman" w:cs="Times New Roman"/>
          <w:b/>
          <w:bCs/>
          <w:lang w:eastAsia="en-IE"/>
        </w:rPr>
      </w:pPr>
      <w:r w:rsidRPr="003A3352">
        <w:rPr>
          <w:rFonts w:eastAsia="Times New Roman" w:cs="Times New Roman"/>
          <w:b/>
          <w:bCs/>
          <w:lang w:eastAsia="en-IE"/>
        </w:rPr>
        <w:t>Sectoral Members</w:t>
      </w:r>
    </w:p>
    <w:p w14:paraId="4B371019" w14:textId="77777777" w:rsidR="008654C7" w:rsidRPr="00373B02" w:rsidRDefault="008654C7" w:rsidP="003A3352">
      <w:pPr>
        <w:rPr>
          <w:rFonts w:eastAsia="Times New Roman" w:cs="Times New Roman"/>
          <w:lang w:eastAsia="en-IE"/>
        </w:rPr>
      </w:pPr>
      <w:r>
        <w:rPr>
          <w:rFonts w:eastAsia="Times New Roman" w:cs="Times New Roman"/>
          <w:lang w:eastAsia="en-IE"/>
        </w:rPr>
        <w:lastRenderedPageBreak/>
        <w:t>Emily Smart</w:t>
      </w:r>
      <w:r w:rsidRPr="00373B02">
        <w:rPr>
          <w:rFonts w:eastAsia="Times New Roman" w:cs="Times New Roman"/>
          <w:lang w:eastAsia="en-IE"/>
        </w:rPr>
        <w:t xml:space="preserve"> - </w:t>
      </w:r>
      <w:r w:rsidRPr="00BB4E49">
        <w:rPr>
          <w:rFonts w:eastAsia="Times New Roman" w:cs="Times New Roman"/>
          <w:lang w:eastAsia="en-IE"/>
        </w:rPr>
        <w:t>Public Participation Network (PPN)</w:t>
      </w:r>
    </w:p>
    <w:p w14:paraId="1A716986" w14:textId="77777777" w:rsidR="008654C7" w:rsidRDefault="008654C7" w:rsidP="003A3352">
      <w:pPr>
        <w:rPr>
          <w:rFonts w:eastAsia="Times New Roman" w:cs="Times New Roman"/>
          <w:lang w:eastAsia="en-IE"/>
        </w:rPr>
      </w:pPr>
      <w:r w:rsidRPr="00373B02">
        <w:rPr>
          <w:rFonts w:eastAsia="Times New Roman" w:cs="Times New Roman"/>
          <w:lang w:eastAsia="en-IE"/>
        </w:rPr>
        <w:t xml:space="preserve">Daire Hennessy - </w:t>
      </w:r>
      <w:r w:rsidRPr="00BB4E49">
        <w:rPr>
          <w:rFonts w:eastAsia="Times New Roman" w:cs="Times New Roman"/>
          <w:lang w:eastAsia="en-IE"/>
        </w:rPr>
        <w:t>Public Participation Network (PPN)</w:t>
      </w:r>
    </w:p>
    <w:p w14:paraId="0BE9F660" w14:textId="77777777" w:rsidR="008654C7" w:rsidRPr="00395DB7" w:rsidRDefault="008654C7" w:rsidP="003A3352">
      <w:pPr>
        <w:rPr>
          <w:rFonts w:eastAsia="Times New Roman" w:cs="Times New Roman"/>
          <w:lang w:eastAsia="en-IE"/>
        </w:rPr>
      </w:pPr>
      <w:r>
        <w:rPr>
          <w:rFonts w:eastAsia="Times New Roman" w:cs="Times New Roman"/>
          <w:lang w:eastAsia="en-IE"/>
        </w:rPr>
        <w:t>Noel Gavin – Business Commercial</w:t>
      </w:r>
    </w:p>
    <w:p w14:paraId="489A4E81" w14:textId="77777777" w:rsidR="008654C7" w:rsidRPr="003A3352" w:rsidRDefault="008654C7" w:rsidP="003A3352">
      <w:pPr>
        <w:rPr>
          <w:rFonts w:cstheme="minorHAnsi"/>
          <w:b/>
          <w:bCs/>
        </w:rPr>
      </w:pPr>
    </w:p>
    <w:p w14:paraId="7D54AEDE" w14:textId="77777777" w:rsidR="009C4CE2" w:rsidRPr="003A3352" w:rsidRDefault="009C4CE2" w:rsidP="009C4CE2">
      <w:pPr>
        <w:rPr>
          <w:rFonts w:cstheme="minorHAnsi"/>
          <w:b/>
          <w:bCs/>
        </w:rPr>
      </w:pPr>
      <w:r>
        <w:rPr>
          <w:rFonts w:cstheme="minorHAnsi"/>
          <w:b/>
          <w:bCs/>
        </w:rPr>
        <w:t xml:space="preserve">2024 </w:t>
      </w:r>
      <w:r w:rsidRPr="003A3352">
        <w:rPr>
          <w:rFonts w:cstheme="minorHAnsi"/>
          <w:b/>
          <w:bCs/>
        </w:rPr>
        <w:t>P</w:t>
      </w:r>
      <w:r>
        <w:rPr>
          <w:rFonts w:cstheme="minorHAnsi"/>
          <w:b/>
          <w:bCs/>
        </w:rPr>
        <w:t>ROGAMME OF WORK</w:t>
      </w:r>
    </w:p>
    <w:p w14:paraId="0293089A" w14:textId="77777777" w:rsidR="00871415" w:rsidRPr="00A53CAB" w:rsidRDefault="00871415" w:rsidP="006B1FA9">
      <w:pPr>
        <w:pStyle w:val="ListParagraph"/>
        <w:numPr>
          <w:ilvl w:val="0"/>
          <w:numId w:val="25"/>
        </w:numPr>
        <w:rPr>
          <w:rFonts w:eastAsia="Times New Roman"/>
        </w:rPr>
      </w:pPr>
      <w:r w:rsidRPr="00A53CAB">
        <w:rPr>
          <w:rFonts w:eastAsia="Times New Roman"/>
        </w:rPr>
        <w:t>Local Economic and Community Plan</w:t>
      </w:r>
    </w:p>
    <w:p w14:paraId="5DBD9DE3" w14:textId="77777777" w:rsidR="00871415" w:rsidRPr="006B1FA9" w:rsidRDefault="00871415" w:rsidP="006B1FA9">
      <w:pPr>
        <w:pStyle w:val="ListParagraph"/>
        <w:numPr>
          <w:ilvl w:val="0"/>
          <w:numId w:val="25"/>
        </w:numPr>
        <w:rPr>
          <w:rFonts w:eastAsia="Times New Roman"/>
        </w:rPr>
      </w:pPr>
      <w:r w:rsidRPr="006B1FA9">
        <w:rPr>
          <w:rFonts w:eastAsia="Times New Roman"/>
        </w:rPr>
        <w:t>Implementation of Active South Dublin, Local Sports Plan</w:t>
      </w:r>
    </w:p>
    <w:p w14:paraId="4E5EF22C" w14:textId="37FC35B1" w:rsidR="00871415" w:rsidRPr="006B1FA9" w:rsidRDefault="00871415" w:rsidP="006B1FA9">
      <w:pPr>
        <w:pStyle w:val="ListParagraph"/>
        <w:numPr>
          <w:ilvl w:val="0"/>
          <w:numId w:val="25"/>
        </w:numPr>
        <w:rPr>
          <w:rFonts w:eastAsia="Times New Roman"/>
        </w:rPr>
      </w:pPr>
      <w:r w:rsidRPr="006B1FA9">
        <w:rPr>
          <w:rFonts w:eastAsia="Times New Roman"/>
        </w:rPr>
        <w:t xml:space="preserve">Community </w:t>
      </w:r>
      <w:r w:rsidR="0037035F">
        <w:rPr>
          <w:rFonts w:eastAsia="Times New Roman"/>
        </w:rPr>
        <w:t>and</w:t>
      </w:r>
      <w:r w:rsidRPr="006B1FA9">
        <w:rPr>
          <w:rFonts w:eastAsia="Times New Roman"/>
        </w:rPr>
        <w:t xml:space="preserve"> Leisure Facilities - Capital Programme, Strategy </w:t>
      </w:r>
      <w:r w:rsidR="0037035F">
        <w:rPr>
          <w:rFonts w:eastAsia="Times New Roman"/>
        </w:rPr>
        <w:t>and</w:t>
      </w:r>
      <w:r w:rsidRPr="006B1FA9">
        <w:rPr>
          <w:rFonts w:eastAsia="Times New Roman"/>
        </w:rPr>
        <w:t xml:space="preserve"> Governance</w:t>
      </w:r>
    </w:p>
    <w:p w14:paraId="2B7D5143" w14:textId="7616931C" w:rsidR="00871415" w:rsidRPr="006B1FA9" w:rsidRDefault="00871415" w:rsidP="006B1FA9">
      <w:pPr>
        <w:pStyle w:val="ListParagraph"/>
        <w:numPr>
          <w:ilvl w:val="0"/>
          <w:numId w:val="25"/>
        </w:numPr>
        <w:rPr>
          <w:rFonts w:eastAsia="Times New Roman"/>
        </w:rPr>
      </w:pPr>
      <w:r w:rsidRPr="006B1FA9">
        <w:rPr>
          <w:rFonts w:eastAsia="Times New Roman"/>
        </w:rPr>
        <w:t xml:space="preserve">Community </w:t>
      </w:r>
      <w:r w:rsidR="0037035F">
        <w:rPr>
          <w:rFonts w:eastAsia="Times New Roman"/>
        </w:rPr>
        <w:t>and</w:t>
      </w:r>
      <w:r w:rsidRPr="006B1FA9">
        <w:rPr>
          <w:rFonts w:eastAsia="Times New Roman"/>
        </w:rPr>
        <w:t xml:space="preserve"> Sports Grants</w:t>
      </w:r>
    </w:p>
    <w:p w14:paraId="01A33190" w14:textId="77777777" w:rsidR="00871415" w:rsidRPr="006B1FA9" w:rsidRDefault="00871415" w:rsidP="006B1FA9">
      <w:pPr>
        <w:pStyle w:val="ListParagraph"/>
        <w:numPr>
          <w:ilvl w:val="0"/>
          <w:numId w:val="25"/>
        </w:numPr>
        <w:rPr>
          <w:rFonts w:eastAsia="Times New Roman"/>
        </w:rPr>
      </w:pPr>
      <w:r w:rsidRPr="006B1FA9">
        <w:rPr>
          <w:rFonts w:eastAsia="Times New Roman"/>
        </w:rPr>
        <w:t xml:space="preserve">Community Development including Social Inclusion, Integration Strategy </w:t>
      </w:r>
    </w:p>
    <w:p w14:paraId="6CB119F5" w14:textId="6E6666FD" w:rsidR="00871415" w:rsidRPr="006B1FA9" w:rsidRDefault="00871415" w:rsidP="006B1FA9">
      <w:pPr>
        <w:pStyle w:val="ListParagraph"/>
        <w:numPr>
          <w:ilvl w:val="0"/>
          <w:numId w:val="25"/>
        </w:numPr>
        <w:rPr>
          <w:rFonts w:eastAsia="Times New Roman"/>
        </w:rPr>
      </w:pPr>
      <w:r w:rsidRPr="006B1FA9">
        <w:rPr>
          <w:rFonts w:eastAsia="Times New Roman"/>
        </w:rPr>
        <w:t xml:space="preserve">and Health </w:t>
      </w:r>
      <w:r w:rsidR="0037035F">
        <w:rPr>
          <w:rFonts w:eastAsia="Times New Roman"/>
        </w:rPr>
        <w:t>and</w:t>
      </w:r>
      <w:r w:rsidRPr="006B1FA9">
        <w:rPr>
          <w:rFonts w:eastAsia="Times New Roman"/>
        </w:rPr>
        <w:t xml:space="preserve"> Wellbeing Initiatives </w:t>
      </w:r>
    </w:p>
    <w:p w14:paraId="613DB221" w14:textId="77777777" w:rsidR="00871415" w:rsidRPr="006B1FA9" w:rsidRDefault="00871415" w:rsidP="006B1FA9">
      <w:pPr>
        <w:pStyle w:val="ListParagraph"/>
        <w:numPr>
          <w:ilvl w:val="0"/>
          <w:numId w:val="25"/>
        </w:numPr>
        <w:rPr>
          <w:rFonts w:eastAsia="Times New Roman"/>
        </w:rPr>
      </w:pPr>
      <w:r w:rsidRPr="006B1FA9">
        <w:rPr>
          <w:rFonts w:eastAsia="Times New Roman"/>
        </w:rPr>
        <w:t>Age Friendly Strategy including Dementia Inclusive Community Pilot</w:t>
      </w:r>
    </w:p>
    <w:p w14:paraId="16E7978C" w14:textId="77777777" w:rsidR="00871415" w:rsidRPr="006B1FA9" w:rsidRDefault="00871415" w:rsidP="006B1FA9">
      <w:pPr>
        <w:pStyle w:val="ListParagraph"/>
        <w:numPr>
          <w:ilvl w:val="0"/>
          <w:numId w:val="25"/>
        </w:numPr>
        <w:rPr>
          <w:rFonts w:eastAsia="Times New Roman"/>
        </w:rPr>
      </w:pPr>
      <w:r w:rsidRPr="006B1FA9">
        <w:rPr>
          <w:rFonts w:eastAsia="Times New Roman"/>
        </w:rPr>
        <w:t xml:space="preserve">Playstreets Initiative </w:t>
      </w:r>
    </w:p>
    <w:p w14:paraId="4DAD9D7E" w14:textId="77777777" w:rsidR="00871415" w:rsidRPr="006B1FA9" w:rsidRDefault="00871415" w:rsidP="006B1FA9">
      <w:pPr>
        <w:pStyle w:val="ListParagraph"/>
        <w:numPr>
          <w:ilvl w:val="0"/>
          <w:numId w:val="25"/>
        </w:numPr>
        <w:rPr>
          <w:rFonts w:eastAsia="Times New Roman"/>
        </w:rPr>
      </w:pPr>
      <w:r w:rsidRPr="006B1FA9">
        <w:rPr>
          <w:rFonts w:eastAsia="Times New Roman"/>
        </w:rPr>
        <w:t xml:space="preserve">Community Endeavour Awards 2024  </w:t>
      </w:r>
    </w:p>
    <w:p w14:paraId="6329C951" w14:textId="05FA00D9" w:rsidR="001740C1" w:rsidRPr="00E20215" w:rsidRDefault="00871415" w:rsidP="00E20215">
      <w:pPr>
        <w:rPr>
          <w:b/>
          <w:bCs/>
        </w:rPr>
      </w:pPr>
      <w:r>
        <w:rPr>
          <w:b/>
          <w:bCs/>
        </w:rPr>
        <w:br w:type="page"/>
      </w:r>
    </w:p>
    <w:p w14:paraId="4E22C267" w14:textId="7BAF250E" w:rsidR="003103D3" w:rsidRDefault="003103D3" w:rsidP="00EF0400">
      <w:pPr>
        <w:pStyle w:val="Heading1"/>
      </w:pPr>
      <w:bookmarkStart w:id="63" w:name="_Toc195534041"/>
      <w:bookmarkStart w:id="64" w:name="_Hlk194408183"/>
      <w:bookmarkStart w:id="65" w:name="_Toc199244561"/>
      <w:r>
        <w:lastRenderedPageBreak/>
        <w:t>Local Commun</w:t>
      </w:r>
      <w:r w:rsidR="002C6483">
        <w:t>ity Development Committee</w:t>
      </w:r>
      <w:bookmarkEnd w:id="63"/>
      <w:bookmarkEnd w:id="65"/>
    </w:p>
    <w:p w14:paraId="239FB937" w14:textId="3AA8D2F1" w:rsidR="002C6483" w:rsidRDefault="002C6483" w:rsidP="002C6483">
      <w:r w:rsidRPr="002C6483">
        <w:rPr>
          <w:b/>
          <w:bCs/>
        </w:rPr>
        <w:t>Chair:</w:t>
      </w:r>
      <w:r>
        <w:t xml:space="preserve"> Tricia Nolan – South Dublin Volunteer Centre</w:t>
      </w:r>
    </w:p>
    <w:tbl>
      <w:tblPr>
        <w:tblStyle w:val="TableGrid"/>
        <w:tblpPr w:leftFromText="180" w:rightFromText="180" w:vertAnchor="page" w:horzAnchor="margin" w:tblpY="3061"/>
        <w:tblW w:w="5000" w:type="pct"/>
        <w:tblLook w:val="04A0" w:firstRow="1" w:lastRow="0" w:firstColumn="1" w:lastColumn="0" w:noHBand="0" w:noVBand="1"/>
      </w:tblPr>
      <w:tblGrid>
        <w:gridCol w:w="2271"/>
        <w:gridCol w:w="3415"/>
        <w:gridCol w:w="4050"/>
      </w:tblGrid>
      <w:tr w:rsidR="00CB1656" w14:paraId="529B2861" w14:textId="77777777" w:rsidTr="00CB1656">
        <w:tc>
          <w:tcPr>
            <w:tcW w:w="5000" w:type="pct"/>
            <w:gridSpan w:val="3"/>
            <w:shd w:val="clear" w:color="auto" w:fill="83CAEB" w:themeFill="accent1" w:themeFillTint="66"/>
          </w:tcPr>
          <w:p w14:paraId="744D73E2" w14:textId="77777777" w:rsidR="00CB1656" w:rsidRPr="003B54F0" w:rsidRDefault="00CB1656" w:rsidP="00CB1656">
            <w:pPr>
              <w:jc w:val="center"/>
              <w:rPr>
                <w:b/>
                <w:bCs/>
                <w:sz w:val="28"/>
                <w:szCs w:val="28"/>
              </w:rPr>
            </w:pPr>
            <w:r w:rsidRPr="003B54F0">
              <w:rPr>
                <w:b/>
                <w:bCs/>
                <w:sz w:val="28"/>
                <w:szCs w:val="28"/>
              </w:rPr>
              <w:t>South Dublin County LCDC</w:t>
            </w:r>
            <w:r>
              <w:rPr>
                <w:b/>
                <w:bCs/>
                <w:sz w:val="28"/>
                <w:szCs w:val="28"/>
              </w:rPr>
              <w:t xml:space="preserve"> Membership</w:t>
            </w:r>
          </w:p>
          <w:p w14:paraId="5A6392F2" w14:textId="77777777" w:rsidR="00CB1656" w:rsidRDefault="00CB1656" w:rsidP="00CB1656">
            <w:pPr>
              <w:jc w:val="center"/>
            </w:pPr>
          </w:p>
          <w:p w14:paraId="390932D8" w14:textId="77777777" w:rsidR="00CB1656" w:rsidRDefault="00CB1656" w:rsidP="00CB1656">
            <w:pPr>
              <w:jc w:val="center"/>
              <w:rPr>
                <w:b/>
                <w:bCs/>
              </w:rPr>
            </w:pPr>
            <w:r w:rsidRPr="00F12063">
              <w:rPr>
                <w:b/>
                <w:bCs/>
              </w:rPr>
              <w:t>Edel Clan</w:t>
            </w:r>
            <w:r>
              <w:rPr>
                <w:b/>
                <w:bCs/>
              </w:rPr>
              <w:t>c</w:t>
            </w:r>
            <w:r w:rsidRPr="00F12063">
              <w:rPr>
                <w:b/>
                <w:bCs/>
              </w:rPr>
              <w:t>y – Chief Officer, South Dublin County LCDC</w:t>
            </w:r>
            <w:r>
              <w:rPr>
                <w:b/>
                <w:bCs/>
              </w:rPr>
              <w:t xml:space="preserve"> </w:t>
            </w:r>
          </w:p>
          <w:p w14:paraId="30F055A5" w14:textId="77777777" w:rsidR="00CB1656" w:rsidRDefault="00CB1656" w:rsidP="00CB1656">
            <w:pPr>
              <w:jc w:val="center"/>
              <w:rPr>
                <w:b/>
                <w:bCs/>
              </w:rPr>
            </w:pPr>
            <w:r>
              <w:rPr>
                <w:b/>
                <w:bCs/>
              </w:rPr>
              <w:t>Maria Nugent, LCDC Coordinator</w:t>
            </w:r>
          </w:p>
          <w:p w14:paraId="0F12783B" w14:textId="77777777" w:rsidR="00CB1656" w:rsidRDefault="00CB1656" w:rsidP="00CB1656">
            <w:pPr>
              <w:jc w:val="center"/>
            </w:pPr>
          </w:p>
        </w:tc>
      </w:tr>
      <w:tr w:rsidR="00CB1656" w:rsidRPr="00562DCD" w14:paraId="4D2576E2" w14:textId="77777777" w:rsidTr="00CB1656">
        <w:trPr>
          <w:trHeight w:val="419"/>
        </w:trPr>
        <w:tc>
          <w:tcPr>
            <w:tcW w:w="1166" w:type="pct"/>
          </w:tcPr>
          <w:p w14:paraId="2568ECE1" w14:textId="77777777" w:rsidR="00CB1656" w:rsidRPr="00562DCD" w:rsidRDefault="00CB1656" w:rsidP="00CB1656">
            <w:pPr>
              <w:rPr>
                <w:rFonts w:ascii="Calibri" w:eastAsia="Calibri" w:hAnsi="Calibri" w:cs="Calibri"/>
                <w:b/>
                <w:bCs/>
                <w:color w:val="000000" w:themeColor="text1"/>
                <w:lang w:val="en-IN"/>
              </w:rPr>
            </w:pPr>
            <w:r w:rsidRPr="00562DCD">
              <w:rPr>
                <w:rFonts w:ascii="Calibri" w:eastAsia="Calibri" w:hAnsi="Calibri" w:cs="Calibri"/>
                <w:b/>
                <w:bCs/>
                <w:color w:val="000000" w:themeColor="text1"/>
                <w:lang w:val="en-IN"/>
              </w:rPr>
              <w:t>Sector</w:t>
            </w:r>
          </w:p>
        </w:tc>
        <w:tc>
          <w:tcPr>
            <w:tcW w:w="1754" w:type="pct"/>
          </w:tcPr>
          <w:p w14:paraId="45542CD5" w14:textId="77777777" w:rsidR="00CB1656" w:rsidRPr="00562DCD" w:rsidRDefault="00CB1656" w:rsidP="00CB1656">
            <w:pPr>
              <w:rPr>
                <w:rFonts w:ascii="Calibri" w:eastAsia="Calibri" w:hAnsi="Calibri" w:cs="Calibri"/>
                <w:b/>
                <w:bCs/>
                <w:color w:val="000000" w:themeColor="text1"/>
                <w:lang w:val="en-IN"/>
              </w:rPr>
            </w:pPr>
            <w:r w:rsidRPr="00562DCD">
              <w:rPr>
                <w:rFonts w:ascii="Calibri" w:eastAsia="Calibri" w:hAnsi="Calibri" w:cs="Calibri"/>
                <w:b/>
                <w:bCs/>
                <w:color w:val="000000" w:themeColor="text1"/>
                <w:lang w:val="en-IN"/>
              </w:rPr>
              <w:t>Name</w:t>
            </w:r>
          </w:p>
        </w:tc>
        <w:tc>
          <w:tcPr>
            <w:tcW w:w="2080" w:type="pct"/>
          </w:tcPr>
          <w:p w14:paraId="4948D0F4" w14:textId="77777777" w:rsidR="00CB1656" w:rsidRPr="00562DCD" w:rsidRDefault="00CB1656" w:rsidP="00CB1656">
            <w:pPr>
              <w:rPr>
                <w:rFonts w:ascii="Calibri" w:eastAsia="Calibri" w:hAnsi="Calibri" w:cs="Calibri"/>
                <w:b/>
                <w:bCs/>
                <w:color w:val="000000" w:themeColor="text1"/>
                <w:lang w:val="en-IN"/>
              </w:rPr>
            </w:pPr>
            <w:r w:rsidRPr="00562DCD">
              <w:rPr>
                <w:rFonts w:ascii="Calibri" w:eastAsia="Calibri" w:hAnsi="Calibri" w:cs="Calibri"/>
                <w:b/>
                <w:bCs/>
                <w:color w:val="000000" w:themeColor="text1"/>
                <w:lang w:val="en-IN"/>
              </w:rPr>
              <w:t>Organisation</w:t>
            </w:r>
          </w:p>
          <w:p w14:paraId="0984F7DC" w14:textId="77777777" w:rsidR="00CB1656" w:rsidRPr="00562DCD" w:rsidRDefault="00CB1656" w:rsidP="00CB1656">
            <w:pPr>
              <w:tabs>
                <w:tab w:val="left" w:pos="1005"/>
              </w:tabs>
              <w:rPr>
                <w:b/>
                <w:bCs/>
              </w:rPr>
            </w:pPr>
            <w:r>
              <w:rPr>
                <w:b/>
                <w:bCs/>
              </w:rPr>
              <w:tab/>
            </w:r>
          </w:p>
        </w:tc>
      </w:tr>
      <w:tr w:rsidR="00CB1656" w:rsidRPr="003B54F0" w14:paraId="2D6840E8" w14:textId="77777777" w:rsidTr="00CB1656">
        <w:tc>
          <w:tcPr>
            <w:tcW w:w="5000" w:type="pct"/>
            <w:gridSpan w:val="3"/>
            <w:shd w:val="clear" w:color="auto" w:fill="83CAEB" w:themeFill="accent1" w:themeFillTint="66"/>
          </w:tcPr>
          <w:p w14:paraId="314E8C47" w14:textId="77777777" w:rsidR="00CB1656" w:rsidRPr="003B54F0" w:rsidRDefault="00CB1656" w:rsidP="00CB1656">
            <w:pPr>
              <w:jc w:val="center"/>
              <w:rPr>
                <w:b/>
                <w:bCs/>
              </w:rPr>
            </w:pPr>
            <w:r w:rsidRPr="003B54F0">
              <w:rPr>
                <w:b/>
                <w:bCs/>
              </w:rPr>
              <w:t>Public – Statutory Interests (</w:t>
            </w:r>
            <w:r>
              <w:rPr>
                <w:b/>
                <w:bCs/>
              </w:rPr>
              <w:t>8</w:t>
            </w:r>
            <w:r w:rsidRPr="003B54F0">
              <w:rPr>
                <w:b/>
                <w:bCs/>
              </w:rPr>
              <w:t>)</w:t>
            </w:r>
          </w:p>
        </w:tc>
      </w:tr>
      <w:tr w:rsidR="00CB1656" w14:paraId="58800A30" w14:textId="77777777" w:rsidTr="00CB1656">
        <w:tc>
          <w:tcPr>
            <w:tcW w:w="1166" w:type="pct"/>
            <w:vMerge w:val="restart"/>
          </w:tcPr>
          <w:p w14:paraId="138ED834" w14:textId="77777777" w:rsidR="00CB1656" w:rsidRDefault="00CB1656" w:rsidP="00CB1656">
            <w:pPr>
              <w:rPr>
                <w:rFonts w:ascii="Calibri" w:eastAsia="Calibri" w:hAnsi="Calibri" w:cs="Calibri"/>
                <w:color w:val="000000" w:themeColor="text1"/>
                <w:lang w:val="en-IN"/>
              </w:rPr>
            </w:pPr>
            <w:r>
              <w:rPr>
                <w:rFonts w:ascii="Calibri" w:eastAsia="Calibri" w:hAnsi="Calibri" w:cs="Calibri"/>
                <w:color w:val="000000" w:themeColor="text1"/>
                <w:lang w:val="en-IN"/>
              </w:rPr>
              <w:t xml:space="preserve">Local Authority </w:t>
            </w:r>
          </w:p>
        </w:tc>
        <w:tc>
          <w:tcPr>
            <w:tcW w:w="1754" w:type="pct"/>
          </w:tcPr>
          <w:p w14:paraId="6A090726" w14:textId="77777777" w:rsidR="00CB1656" w:rsidRPr="00F87230" w:rsidRDefault="00CB1656" w:rsidP="00CB1656">
            <w:pPr>
              <w:rPr>
                <w:b/>
                <w:bCs/>
              </w:rPr>
            </w:pPr>
            <w:r w:rsidRPr="00F87230">
              <w:rPr>
                <w:rFonts w:ascii="Calibri" w:eastAsia="Calibri" w:hAnsi="Calibri" w:cs="Calibri"/>
                <w:b/>
                <w:bCs/>
                <w:color w:val="000000" w:themeColor="text1"/>
                <w:lang w:val="en-IN"/>
              </w:rPr>
              <w:t>Elaine Leech</w:t>
            </w:r>
          </w:p>
        </w:tc>
        <w:tc>
          <w:tcPr>
            <w:tcW w:w="2080" w:type="pct"/>
          </w:tcPr>
          <w:p w14:paraId="776428D9" w14:textId="77777777" w:rsidR="00CB1656" w:rsidRDefault="00CB1656" w:rsidP="00CB1656">
            <w:r>
              <w:rPr>
                <w:rFonts w:ascii="Calibri" w:eastAsia="Calibri" w:hAnsi="Calibri" w:cs="Calibri"/>
                <w:color w:val="000000" w:themeColor="text1"/>
                <w:lang w:val="en-IN"/>
              </w:rPr>
              <w:t>Director of Services, SDCC</w:t>
            </w:r>
          </w:p>
        </w:tc>
      </w:tr>
      <w:tr w:rsidR="00CB1656" w14:paraId="6B29EA39" w14:textId="77777777" w:rsidTr="00CB1656">
        <w:tc>
          <w:tcPr>
            <w:tcW w:w="1166" w:type="pct"/>
            <w:vMerge/>
          </w:tcPr>
          <w:p w14:paraId="4313A8EE" w14:textId="77777777" w:rsidR="00CB1656" w:rsidRDefault="00CB1656" w:rsidP="00CB1656">
            <w:pPr>
              <w:rPr>
                <w:rFonts w:ascii="Calibri" w:eastAsia="Calibri" w:hAnsi="Calibri" w:cs="Calibri"/>
                <w:color w:val="000000" w:themeColor="text1"/>
                <w:lang w:val="en-IN"/>
              </w:rPr>
            </w:pPr>
          </w:p>
        </w:tc>
        <w:tc>
          <w:tcPr>
            <w:tcW w:w="1754" w:type="pct"/>
          </w:tcPr>
          <w:p w14:paraId="644495F7" w14:textId="77777777" w:rsidR="00CB1656" w:rsidRPr="00F87230" w:rsidRDefault="00CB1656" w:rsidP="00CB1656">
            <w:pPr>
              <w:rPr>
                <w:rFonts w:ascii="Calibri" w:eastAsia="Calibri" w:hAnsi="Calibri" w:cs="Calibri"/>
                <w:b/>
                <w:bCs/>
                <w:color w:val="000000" w:themeColor="text1"/>
                <w:lang w:val="en-IN"/>
              </w:rPr>
            </w:pPr>
            <w:r w:rsidRPr="00F87230">
              <w:rPr>
                <w:rFonts w:ascii="Calibri" w:eastAsia="Calibri" w:hAnsi="Calibri" w:cs="Calibri"/>
                <w:b/>
                <w:bCs/>
                <w:color w:val="000000" w:themeColor="text1"/>
                <w:lang w:val="en-IN"/>
              </w:rPr>
              <w:t>Thomas Rooney</w:t>
            </w:r>
          </w:p>
        </w:tc>
        <w:tc>
          <w:tcPr>
            <w:tcW w:w="2080" w:type="pct"/>
          </w:tcPr>
          <w:p w14:paraId="363A06F6" w14:textId="77777777" w:rsidR="00CB1656" w:rsidRDefault="00CB1656" w:rsidP="00CB1656">
            <w:r w:rsidRPr="005131B2">
              <w:rPr>
                <w:rFonts w:ascii="Calibri" w:eastAsia="Calibri" w:hAnsi="Calibri" w:cs="Calibri"/>
                <w:color w:val="000000" w:themeColor="text1"/>
                <w:lang w:val="en-IN"/>
              </w:rPr>
              <w:t>Local Enterprise Office</w:t>
            </w:r>
          </w:p>
        </w:tc>
      </w:tr>
      <w:tr w:rsidR="00CB1656" w14:paraId="5C3F8994" w14:textId="77777777" w:rsidTr="00CB1656">
        <w:tc>
          <w:tcPr>
            <w:tcW w:w="1166" w:type="pct"/>
            <w:vMerge/>
          </w:tcPr>
          <w:p w14:paraId="420B8B43" w14:textId="77777777" w:rsidR="00CB1656" w:rsidRDefault="00CB1656" w:rsidP="00CB1656">
            <w:pPr>
              <w:rPr>
                <w:rFonts w:ascii="Calibri" w:eastAsia="Calibri" w:hAnsi="Calibri" w:cs="Calibri"/>
                <w:color w:val="000000" w:themeColor="text1"/>
                <w:lang w:val="en-IN"/>
              </w:rPr>
            </w:pPr>
          </w:p>
        </w:tc>
        <w:tc>
          <w:tcPr>
            <w:tcW w:w="1754" w:type="pct"/>
          </w:tcPr>
          <w:p w14:paraId="4FEA5B3C" w14:textId="77777777" w:rsidR="00CB1656" w:rsidRPr="0000068F" w:rsidRDefault="00CB1656" w:rsidP="00CB1656">
            <w:pPr>
              <w:rPr>
                <w:rFonts w:ascii="Calibri" w:eastAsia="Calibri" w:hAnsi="Calibri" w:cs="Calibri"/>
                <w:color w:val="000000" w:themeColor="text1"/>
                <w:sz w:val="20"/>
                <w:szCs w:val="20"/>
                <w:lang w:val="en-IN"/>
              </w:rPr>
            </w:pPr>
            <w:r w:rsidRPr="00F87230">
              <w:rPr>
                <w:rFonts w:ascii="Calibri" w:eastAsia="Calibri" w:hAnsi="Calibri" w:cs="Calibri"/>
                <w:b/>
                <w:bCs/>
                <w:color w:val="000000" w:themeColor="text1"/>
                <w:lang w:val="en-IN"/>
              </w:rPr>
              <w:t>Cllr. Yvonne Collins</w:t>
            </w:r>
          </w:p>
        </w:tc>
        <w:tc>
          <w:tcPr>
            <w:tcW w:w="2080" w:type="pct"/>
          </w:tcPr>
          <w:p w14:paraId="6CBAFB17" w14:textId="77777777" w:rsidR="00CB1656" w:rsidRDefault="00CB1656" w:rsidP="00CB1656">
            <w:r>
              <w:rPr>
                <w:rFonts w:ascii="Calibri" w:eastAsia="Calibri" w:hAnsi="Calibri" w:cs="Calibri"/>
                <w:color w:val="000000" w:themeColor="text1"/>
                <w:lang w:val="en-IN"/>
              </w:rPr>
              <w:t xml:space="preserve">Elected Representative </w:t>
            </w:r>
          </w:p>
        </w:tc>
      </w:tr>
      <w:tr w:rsidR="00CB1656" w14:paraId="25E6D792" w14:textId="77777777" w:rsidTr="00CB1656">
        <w:tc>
          <w:tcPr>
            <w:tcW w:w="1166" w:type="pct"/>
            <w:vMerge/>
          </w:tcPr>
          <w:p w14:paraId="0C8DE615" w14:textId="77777777" w:rsidR="00CB1656" w:rsidRDefault="00CB1656" w:rsidP="00CB1656">
            <w:pPr>
              <w:rPr>
                <w:rFonts w:ascii="Calibri" w:eastAsia="Calibri" w:hAnsi="Calibri" w:cs="Calibri"/>
                <w:color w:val="000000" w:themeColor="text1"/>
                <w:lang w:val="en-IN"/>
              </w:rPr>
            </w:pPr>
          </w:p>
        </w:tc>
        <w:tc>
          <w:tcPr>
            <w:tcW w:w="1754" w:type="pct"/>
          </w:tcPr>
          <w:p w14:paraId="3AC07C03" w14:textId="77777777" w:rsidR="00CB1656" w:rsidRPr="0000068F" w:rsidRDefault="00CB1656" w:rsidP="00CB1656">
            <w:pPr>
              <w:rPr>
                <w:rFonts w:ascii="Calibri" w:eastAsia="Calibri" w:hAnsi="Calibri" w:cs="Calibri"/>
                <w:color w:val="000000" w:themeColor="text1"/>
                <w:lang w:val="en-IN"/>
              </w:rPr>
            </w:pPr>
            <w:r w:rsidRPr="00F87230">
              <w:rPr>
                <w:rFonts w:ascii="Calibri" w:eastAsia="Calibri" w:hAnsi="Calibri" w:cs="Calibri"/>
                <w:b/>
                <w:bCs/>
                <w:color w:val="000000" w:themeColor="text1"/>
                <w:lang w:val="en-IN"/>
              </w:rPr>
              <w:t>Cllr Sarah Barnes</w:t>
            </w:r>
          </w:p>
        </w:tc>
        <w:tc>
          <w:tcPr>
            <w:tcW w:w="2080" w:type="pct"/>
          </w:tcPr>
          <w:p w14:paraId="05624467" w14:textId="77777777" w:rsidR="00CB1656" w:rsidRDefault="00CB1656" w:rsidP="00CB1656">
            <w:r w:rsidRPr="009D6349">
              <w:rPr>
                <w:rFonts w:ascii="Calibri" w:eastAsia="Calibri" w:hAnsi="Calibri" w:cs="Calibri"/>
                <w:color w:val="000000" w:themeColor="text1"/>
                <w:lang w:val="en-IN"/>
              </w:rPr>
              <w:t>Elected Representative</w:t>
            </w:r>
            <w:r>
              <w:rPr>
                <w:rFonts w:ascii="Calibri" w:eastAsia="Calibri" w:hAnsi="Calibri" w:cs="Calibri"/>
                <w:color w:val="000000" w:themeColor="text1"/>
                <w:lang w:val="en-IN"/>
              </w:rPr>
              <w:t xml:space="preserve"> </w:t>
            </w:r>
          </w:p>
        </w:tc>
      </w:tr>
      <w:tr w:rsidR="00CB1656" w14:paraId="750774F9" w14:textId="77777777" w:rsidTr="00CB1656">
        <w:tc>
          <w:tcPr>
            <w:tcW w:w="1166" w:type="pct"/>
            <w:vMerge/>
          </w:tcPr>
          <w:p w14:paraId="23E8BFB4" w14:textId="77777777" w:rsidR="00CB1656" w:rsidRDefault="00CB1656" w:rsidP="00CB1656">
            <w:pPr>
              <w:rPr>
                <w:rFonts w:ascii="Calibri" w:eastAsia="Calibri" w:hAnsi="Calibri" w:cs="Calibri"/>
                <w:color w:val="000000" w:themeColor="text1"/>
                <w:lang w:val="en-IN"/>
              </w:rPr>
            </w:pPr>
          </w:p>
        </w:tc>
        <w:tc>
          <w:tcPr>
            <w:tcW w:w="1754" w:type="pct"/>
          </w:tcPr>
          <w:p w14:paraId="330F10B1" w14:textId="77777777" w:rsidR="00CB1656" w:rsidRPr="00F87230" w:rsidRDefault="00CB1656" w:rsidP="00CB1656">
            <w:pPr>
              <w:rPr>
                <w:rFonts w:ascii="Calibri" w:eastAsia="Calibri" w:hAnsi="Calibri" w:cs="Calibri"/>
                <w:b/>
                <w:bCs/>
                <w:color w:val="000000" w:themeColor="text1"/>
                <w:lang w:val="en-IN"/>
              </w:rPr>
            </w:pPr>
            <w:r w:rsidRPr="00F87230">
              <w:rPr>
                <w:rFonts w:ascii="Calibri" w:eastAsia="Calibri" w:hAnsi="Calibri" w:cs="Calibri"/>
                <w:b/>
                <w:bCs/>
                <w:color w:val="000000" w:themeColor="text1"/>
                <w:lang w:val="en-IN"/>
              </w:rPr>
              <w:t>Cllr. Alan Hay</w:t>
            </w:r>
            <w:r>
              <w:rPr>
                <w:rFonts w:ascii="Calibri" w:eastAsia="Calibri" w:hAnsi="Calibri" w:cs="Calibri"/>
                <w:b/>
                <w:bCs/>
                <w:color w:val="000000" w:themeColor="text1"/>
                <w:lang w:val="en-IN"/>
              </w:rPr>
              <w:t>es</w:t>
            </w:r>
          </w:p>
        </w:tc>
        <w:tc>
          <w:tcPr>
            <w:tcW w:w="2080" w:type="pct"/>
          </w:tcPr>
          <w:p w14:paraId="640027E5" w14:textId="77777777" w:rsidR="00CB1656" w:rsidRDefault="00CB1656" w:rsidP="00CB1656">
            <w:r w:rsidRPr="009D6349">
              <w:rPr>
                <w:rFonts w:ascii="Calibri" w:eastAsia="Calibri" w:hAnsi="Calibri" w:cs="Calibri"/>
                <w:color w:val="000000" w:themeColor="text1"/>
                <w:lang w:val="en-IN"/>
              </w:rPr>
              <w:t>Elected Representative</w:t>
            </w:r>
            <w:r>
              <w:rPr>
                <w:rFonts w:ascii="Calibri" w:eastAsia="Calibri" w:hAnsi="Calibri" w:cs="Calibri"/>
                <w:color w:val="000000" w:themeColor="text1"/>
                <w:lang w:val="en-IN"/>
              </w:rPr>
              <w:t xml:space="preserve"> </w:t>
            </w:r>
          </w:p>
        </w:tc>
      </w:tr>
      <w:tr w:rsidR="00CB1656" w14:paraId="6A0ABB0C" w14:textId="77777777" w:rsidTr="00CB1656">
        <w:trPr>
          <w:trHeight w:val="70"/>
        </w:trPr>
        <w:tc>
          <w:tcPr>
            <w:tcW w:w="1166" w:type="pct"/>
            <w:vMerge w:val="restart"/>
          </w:tcPr>
          <w:p w14:paraId="3A1F6D2B" w14:textId="77777777" w:rsidR="00CB1656" w:rsidRDefault="00CB1656" w:rsidP="00CB1656">
            <w:pPr>
              <w:rPr>
                <w:rFonts w:ascii="Calibri" w:eastAsia="Calibri" w:hAnsi="Calibri" w:cs="Calibri"/>
                <w:color w:val="000000" w:themeColor="text1"/>
                <w:lang w:val="en-IN"/>
              </w:rPr>
            </w:pPr>
            <w:r>
              <w:rPr>
                <w:rFonts w:ascii="Calibri" w:eastAsia="Calibri" w:hAnsi="Calibri" w:cs="Calibri"/>
                <w:color w:val="000000" w:themeColor="text1"/>
                <w:lang w:val="en-IN"/>
              </w:rPr>
              <w:t xml:space="preserve">State Agencies </w:t>
            </w:r>
          </w:p>
          <w:p w14:paraId="62ABD612" w14:textId="77777777" w:rsidR="00CB1656" w:rsidRDefault="00CB1656" w:rsidP="00CB1656">
            <w:pPr>
              <w:rPr>
                <w:rFonts w:ascii="Calibri" w:eastAsia="Calibri" w:hAnsi="Calibri" w:cs="Calibri"/>
                <w:color w:val="000000" w:themeColor="text1"/>
                <w:lang w:val="en-IN"/>
              </w:rPr>
            </w:pPr>
            <w:r>
              <w:rPr>
                <w:rFonts w:ascii="Calibri" w:eastAsia="Calibri" w:hAnsi="Calibri" w:cs="Calibri"/>
                <w:color w:val="000000" w:themeColor="text1"/>
                <w:lang w:val="en-IN"/>
              </w:rPr>
              <w:t>(minimum 2)</w:t>
            </w:r>
          </w:p>
        </w:tc>
        <w:tc>
          <w:tcPr>
            <w:tcW w:w="1754" w:type="pct"/>
          </w:tcPr>
          <w:p w14:paraId="75406D5E" w14:textId="77777777" w:rsidR="00CB1656" w:rsidRPr="00F87230" w:rsidRDefault="00CB1656" w:rsidP="00CB1656">
            <w:pPr>
              <w:rPr>
                <w:rFonts w:ascii="Calibri" w:eastAsia="Calibri" w:hAnsi="Calibri" w:cs="Calibri"/>
                <w:b/>
                <w:bCs/>
                <w:color w:val="000000" w:themeColor="text1"/>
                <w:lang w:val="en-IN"/>
              </w:rPr>
            </w:pPr>
            <w:r w:rsidRPr="00F87230">
              <w:rPr>
                <w:rFonts w:ascii="Calibri" w:eastAsia="Calibri" w:hAnsi="Calibri" w:cs="Calibri"/>
                <w:b/>
                <w:bCs/>
                <w:color w:val="000000" w:themeColor="text1"/>
                <w:lang w:val="en-IN"/>
              </w:rPr>
              <w:t>Margaret McQuillan</w:t>
            </w:r>
          </w:p>
        </w:tc>
        <w:tc>
          <w:tcPr>
            <w:tcW w:w="2080" w:type="pct"/>
          </w:tcPr>
          <w:p w14:paraId="43B0A084" w14:textId="77777777" w:rsidR="00CB1656" w:rsidRDefault="00CB1656" w:rsidP="00CB1656">
            <w:r w:rsidRPr="005131B2">
              <w:rPr>
                <w:rFonts w:ascii="Calibri" w:eastAsia="Calibri" w:hAnsi="Calibri" w:cs="Calibri"/>
                <w:color w:val="000000" w:themeColor="text1"/>
                <w:lang w:val="en-IN"/>
              </w:rPr>
              <w:t>Health Service Executive</w:t>
            </w:r>
          </w:p>
        </w:tc>
      </w:tr>
      <w:tr w:rsidR="00CB1656" w14:paraId="59697B38" w14:textId="77777777" w:rsidTr="00CB1656">
        <w:tc>
          <w:tcPr>
            <w:tcW w:w="1166" w:type="pct"/>
            <w:vMerge/>
          </w:tcPr>
          <w:p w14:paraId="38B6A60F" w14:textId="77777777" w:rsidR="00CB1656" w:rsidRDefault="00CB1656" w:rsidP="00CB1656">
            <w:pPr>
              <w:rPr>
                <w:rFonts w:ascii="Calibri" w:eastAsia="Calibri" w:hAnsi="Calibri" w:cs="Calibri"/>
                <w:color w:val="000000" w:themeColor="text1"/>
                <w:lang w:val="en-IN"/>
              </w:rPr>
            </w:pPr>
          </w:p>
        </w:tc>
        <w:tc>
          <w:tcPr>
            <w:tcW w:w="1754" w:type="pct"/>
          </w:tcPr>
          <w:p w14:paraId="520D5A1A" w14:textId="77777777" w:rsidR="00CB1656" w:rsidRPr="00F87230" w:rsidRDefault="00CB1656" w:rsidP="00CB1656">
            <w:pPr>
              <w:rPr>
                <w:rFonts w:ascii="Calibri" w:eastAsia="Calibri" w:hAnsi="Calibri" w:cs="Calibri"/>
                <w:b/>
                <w:bCs/>
                <w:color w:val="000000" w:themeColor="text1"/>
                <w:lang w:val="en-IN"/>
              </w:rPr>
            </w:pPr>
            <w:r w:rsidRPr="00F87230">
              <w:rPr>
                <w:rFonts w:ascii="Calibri" w:eastAsia="Calibri" w:hAnsi="Calibri" w:cs="Calibri"/>
                <w:b/>
                <w:bCs/>
                <w:color w:val="000000" w:themeColor="text1"/>
                <w:lang w:val="en-IN"/>
              </w:rPr>
              <w:t>Eugene Donnelly</w:t>
            </w:r>
          </w:p>
        </w:tc>
        <w:tc>
          <w:tcPr>
            <w:tcW w:w="2080" w:type="pct"/>
          </w:tcPr>
          <w:p w14:paraId="65466A50" w14:textId="77777777" w:rsidR="00CB1656" w:rsidRDefault="00CB1656" w:rsidP="00CB1656">
            <w:r>
              <w:rPr>
                <w:rFonts w:ascii="Calibri" w:eastAsia="Calibri" w:hAnsi="Calibri" w:cs="Calibri"/>
                <w:color w:val="000000" w:themeColor="text1"/>
                <w:lang w:val="en-IN"/>
              </w:rPr>
              <w:t>Department of Social Protection</w:t>
            </w:r>
          </w:p>
        </w:tc>
      </w:tr>
      <w:tr w:rsidR="00CB1656" w14:paraId="163C2371" w14:textId="77777777" w:rsidTr="00CB1656">
        <w:tc>
          <w:tcPr>
            <w:tcW w:w="1166" w:type="pct"/>
            <w:vMerge/>
          </w:tcPr>
          <w:p w14:paraId="3EA8EC5C" w14:textId="77777777" w:rsidR="00CB1656" w:rsidRDefault="00CB1656" w:rsidP="00CB1656">
            <w:pPr>
              <w:rPr>
                <w:rFonts w:ascii="Calibri" w:eastAsia="Calibri" w:hAnsi="Calibri" w:cs="Calibri"/>
                <w:color w:val="000000" w:themeColor="text1"/>
                <w:lang w:val="en-IN"/>
              </w:rPr>
            </w:pPr>
          </w:p>
        </w:tc>
        <w:tc>
          <w:tcPr>
            <w:tcW w:w="1754" w:type="pct"/>
          </w:tcPr>
          <w:p w14:paraId="7180572A" w14:textId="77777777" w:rsidR="00CB1656" w:rsidRPr="00562DCD" w:rsidRDefault="00CB1656" w:rsidP="00CB1656">
            <w:pPr>
              <w:rPr>
                <w:rFonts w:ascii="Calibri" w:eastAsia="Calibri" w:hAnsi="Calibri" w:cs="Calibri"/>
                <w:b/>
                <w:bCs/>
                <w:color w:val="000000" w:themeColor="text1"/>
                <w:lang w:val="en-IN"/>
              </w:rPr>
            </w:pPr>
            <w:r w:rsidRPr="00562DCD">
              <w:rPr>
                <w:rFonts w:ascii="Calibri" w:eastAsia="Calibri" w:hAnsi="Calibri" w:cs="Calibri"/>
                <w:b/>
                <w:bCs/>
                <w:color w:val="000000" w:themeColor="text1"/>
                <w:lang w:val="en-IN"/>
              </w:rPr>
              <w:t>Valerie Hogg – Vice Chair</w:t>
            </w:r>
          </w:p>
        </w:tc>
        <w:tc>
          <w:tcPr>
            <w:tcW w:w="2080" w:type="pct"/>
          </w:tcPr>
          <w:p w14:paraId="639CECFA" w14:textId="77777777" w:rsidR="00CB1656" w:rsidRDefault="00CB1656" w:rsidP="00CB1656">
            <w:r w:rsidRPr="005131B2">
              <w:rPr>
                <w:rFonts w:ascii="Calibri" w:eastAsia="Calibri" w:hAnsi="Calibri" w:cs="Calibri"/>
                <w:color w:val="000000" w:themeColor="text1"/>
                <w:lang w:val="en-IN"/>
              </w:rPr>
              <w:t xml:space="preserve">Adult Education Officer, Dublin and </w:t>
            </w:r>
            <w:proofErr w:type="spellStart"/>
            <w:r w:rsidRPr="005131B2">
              <w:rPr>
                <w:rFonts w:ascii="Calibri" w:eastAsia="Calibri" w:hAnsi="Calibri" w:cs="Calibri"/>
                <w:color w:val="000000" w:themeColor="text1"/>
                <w:lang w:val="en-IN"/>
              </w:rPr>
              <w:t>Dún</w:t>
            </w:r>
            <w:proofErr w:type="spellEnd"/>
            <w:r w:rsidRPr="005131B2">
              <w:rPr>
                <w:rFonts w:ascii="Calibri" w:eastAsia="Calibri" w:hAnsi="Calibri" w:cs="Calibri"/>
                <w:color w:val="000000" w:themeColor="text1"/>
                <w:lang w:val="en-IN"/>
              </w:rPr>
              <w:t xml:space="preserve"> Laoghaire Education and Training Board</w:t>
            </w:r>
          </w:p>
        </w:tc>
      </w:tr>
      <w:tr w:rsidR="00CB1656" w:rsidRPr="003B54F0" w14:paraId="53080153" w14:textId="77777777" w:rsidTr="00CB1656">
        <w:tc>
          <w:tcPr>
            <w:tcW w:w="5000" w:type="pct"/>
            <w:gridSpan w:val="3"/>
            <w:shd w:val="clear" w:color="auto" w:fill="83CAEB" w:themeFill="accent1" w:themeFillTint="66"/>
          </w:tcPr>
          <w:p w14:paraId="1C2859C1" w14:textId="77777777" w:rsidR="00CB1656" w:rsidRPr="003B54F0" w:rsidRDefault="00CB1656" w:rsidP="00CB1656">
            <w:pPr>
              <w:jc w:val="center"/>
              <w:rPr>
                <w:b/>
                <w:bCs/>
              </w:rPr>
            </w:pPr>
            <w:r w:rsidRPr="003B54F0">
              <w:rPr>
                <w:b/>
                <w:bCs/>
              </w:rPr>
              <w:t xml:space="preserve">Private – </w:t>
            </w:r>
            <w:proofErr w:type="gramStart"/>
            <w:r w:rsidRPr="003B54F0">
              <w:rPr>
                <w:b/>
                <w:bCs/>
              </w:rPr>
              <w:t>Non Statutory</w:t>
            </w:r>
            <w:proofErr w:type="gramEnd"/>
            <w:r w:rsidRPr="003B54F0">
              <w:rPr>
                <w:b/>
                <w:bCs/>
              </w:rPr>
              <w:t xml:space="preserve"> Interests (1</w:t>
            </w:r>
            <w:r>
              <w:rPr>
                <w:b/>
                <w:bCs/>
              </w:rPr>
              <w:t>1</w:t>
            </w:r>
            <w:r w:rsidRPr="003B54F0">
              <w:rPr>
                <w:b/>
                <w:bCs/>
              </w:rPr>
              <w:t>)</w:t>
            </w:r>
          </w:p>
        </w:tc>
      </w:tr>
      <w:tr w:rsidR="00CB1656" w14:paraId="2B2920C9" w14:textId="77777777" w:rsidTr="00CB1656">
        <w:tc>
          <w:tcPr>
            <w:tcW w:w="1166" w:type="pct"/>
          </w:tcPr>
          <w:p w14:paraId="7527C08A" w14:textId="7DFAE6D4" w:rsidR="00CB1656" w:rsidRDefault="00CB1656" w:rsidP="00CB1656">
            <w:pPr>
              <w:rPr>
                <w:rFonts w:ascii="Calibri" w:eastAsia="Calibri" w:hAnsi="Calibri" w:cs="Calibri"/>
                <w:color w:val="000000" w:themeColor="text1"/>
                <w:lang w:val="en-IN"/>
              </w:rPr>
            </w:pPr>
            <w:r>
              <w:rPr>
                <w:rFonts w:ascii="Calibri" w:eastAsia="Calibri" w:hAnsi="Calibri" w:cs="Calibri"/>
                <w:color w:val="000000" w:themeColor="text1"/>
                <w:lang w:val="en-IN"/>
              </w:rPr>
              <w:t xml:space="preserve">Local </w:t>
            </w:r>
            <w:r w:rsidR="0037035F">
              <w:rPr>
                <w:rFonts w:ascii="Calibri" w:eastAsia="Calibri" w:hAnsi="Calibri" w:cs="Calibri"/>
                <w:color w:val="000000" w:themeColor="text1"/>
                <w:lang w:val="en-IN"/>
              </w:rPr>
              <w:t>and</w:t>
            </w:r>
            <w:r>
              <w:rPr>
                <w:rFonts w:ascii="Calibri" w:eastAsia="Calibri" w:hAnsi="Calibri" w:cs="Calibri"/>
                <w:color w:val="000000" w:themeColor="text1"/>
                <w:lang w:val="en-IN"/>
              </w:rPr>
              <w:t xml:space="preserve"> Community Development</w:t>
            </w:r>
          </w:p>
        </w:tc>
        <w:tc>
          <w:tcPr>
            <w:tcW w:w="1754" w:type="pct"/>
          </w:tcPr>
          <w:p w14:paraId="111263D9" w14:textId="77777777" w:rsidR="00CB1656" w:rsidRPr="00F87230" w:rsidRDefault="00CB1656" w:rsidP="00CB1656">
            <w:pPr>
              <w:rPr>
                <w:rFonts w:ascii="Calibri" w:eastAsia="Calibri" w:hAnsi="Calibri" w:cs="Calibri"/>
                <w:b/>
                <w:bCs/>
                <w:color w:val="000000" w:themeColor="text1"/>
                <w:lang w:val="en-IN"/>
              </w:rPr>
            </w:pPr>
            <w:r w:rsidRPr="00F87230">
              <w:rPr>
                <w:rFonts w:ascii="Calibri" w:eastAsia="Calibri" w:hAnsi="Calibri" w:cs="Calibri"/>
                <w:b/>
                <w:bCs/>
                <w:color w:val="000000" w:themeColor="text1"/>
                <w:lang w:val="en-IN"/>
              </w:rPr>
              <w:t>Simon Monds</w:t>
            </w:r>
          </w:p>
          <w:p w14:paraId="098D3D19" w14:textId="77777777" w:rsidR="00CB1656" w:rsidRDefault="00CB1656" w:rsidP="00CB1656">
            <w:pPr>
              <w:rPr>
                <w:rFonts w:ascii="Calibri" w:eastAsia="Calibri" w:hAnsi="Calibri" w:cs="Calibri"/>
                <w:color w:val="000000" w:themeColor="text1"/>
                <w:lang w:val="en-IN"/>
              </w:rPr>
            </w:pPr>
          </w:p>
        </w:tc>
        <w:tc>
          <w:tcPr>
            <w:tcW w:w="2080" w:type="pct"/>
          </w:tcPr>
          <w:p w14:paraId="0A6DA394" w14:textId="77777777" w:rsidR="00CB1656" w:rsidRDefault="00CB1656" w:rsidP="00CB1656">
            <w:r>
              <w:rPr>
                <w:rFonts w:ascii="Calibri" w:eastAsia="Calibri" w:hAnsi="Calibri" w:cs="Calibri"/>
                <w:color w:val="000000" w:themeColor="text1"/>
                <w:lang w:val="en-IN"/>
              </w:rPr>
              <w:t>So</w:t>
            </w:r>
            <w:r w:rsidRPr="005131B2">
              <w:rPr>
                <w:rFonts w:ascii="Calibri" w:eastAsia="Calibri" w:hAnsi="Calibri" w:cs="Calibri"/>
                <w:color w:val="000000" w:themeColor="text1"/>
                <w:lang w:val="en-IN"/>
              </w:rPr>
              <w:t>uth Dublin County Partnership</w:t>
            </w:r>
          </w:p>
        </w:tc>
      </w:tr>
      <w:tr w:rsidR="00CB1656" w14:paraId="5001F388" w14:textId="77777777" w:rsidTr="00CB1656">
        <w:tc>
          <w:tcPr>
            <w:tcW w:w="1166" w:type="pct"/>
            <w:vMerge w:val="restart"/>
          </w:tcPr>
          <w:p w14:paraId="63DB8573" w14:textId="77777777" w:rsidR="00CB1656" w:rsidRDefault="00CB1656" w:rsidP="00CB1656">
            <w:pPr>
              <w:rPr>
                <w:rFonts w:ascii="Calibri" w:eastAsia="Calibri" w:hAnsi="Calibri" w:cs="Calibri"/>
                <w:color w:val="000000" w:themeColor="text1"/>
                <w:lang w:val="en-IN"/>
              </w:rPr>
            </w:pPr>
            <w:r>
              <w:rPr>
                <w:rFonts w:ascii="Calibri" w:eastAsia="Calibri" w:hAnsi="Calibri" w:cs="Calibri"/>
                <w:color w:val="000000" w:themeColor="text1"/>
                <w:lang w:val="en-IN"/>
              </w:rPr>
              <w:t>Civic Society/Local Community Interests</w:t>
            </w:r>
          </w:p>
        </w:tc>
        <w:tc>
          <w:tcPr>
            <w:tcW w:w="1754" w:type="pct"/>
          </w:tcPr>
          <w:p w14:paraId="779B8316" w14:textId="77777777" w:rsidR="00CB1656" w:rsidRPr="00562DCD" w:rsidRDefault="00CB1656" w:rsidP="00CB1656">
            <w:pPr>
              <w:rPr>
                <w:b/>
                <w:bCs/>
              </w:rPr>
            </w:pPr>
            <w:r w:rsidRPr="00562DCD">
              <w:rPr>
                <w:rFonts w:ascii="Calibri" w:eastAsia="Calibri" w:hAnsi="Calibri" w:cs="Calibri"/>
                <w:b/>
                <w:bCs/>
                <w:color w:val="000000" w:themeColor="text1"/>
                <w:lang w:val="en-IN"/>
              </w:rPr>
              <w:t>Tricia Nolan, Chair</w:t>
            </w:r>
          </w:p>
        </w:tc>
        <w:tc>
          <w:tcPr>
            <w:tcW w:w="2080" w:type="pct"/>
          </w:tcPr>
          <w:p w14:paraId="2400DBEE" w14:textId="77777777" w:rsidR="00CB1656" w:rsidRDefault="00CB1656" w:rsidP="00CB1656">
            <w:r>
              <w:t>South Dublin County Volunteer Centre</w:t>
            </w:r>
          </w:p>
        </w:tc>
      </w:tr>
      <w:tr w:rsidR="00CB1656" w:rsidRPr="005131B2" w14:paraId="1588370E" w14:textId="77777777" w:rsidTr="00CB1656">
        <w:tc>
          <w:tcPr>
            <w:tcW w:w="1166" w:type="pct"/>
            <w:vMerge/>
          </w:tcPr>
          <w:p w14:paraId="75E8797A" w14:textId="77777777" w:rsidR="00CB1656" w:rsidRDefault="00CB1656" w:rsidP="00CB1656">
            <w:pPr>
              <w:rPr>
                <w:rFonts w:ascii="Calibri" w:eastAsia="Calibri" w:hAnsi="Calibri" w:cs="Calibri"/>
                <w:color w:val="000000" w:themeColor="text1"/>
                <w:lang w:val="en-IN"/>
              </w:rPr>
            </w:pPr>
          </w:p>
        </w:tc>
        <w:tc>
          <w:tcPr>
            <w:tcW w:w="1754" w:type="pct"/>
          </w:tcPr>
          <w:p w14:paraId="72892BB0" w14:textId="77777777" w:rsidR="00CB1656" w:rsidRPr="00F87230" w:rsidRDefault="00CB1656" w:rsidP="00CB1656">
            <w:pPr>
              <w:rPr>
                <w:rFonts w:ascii="Calibri" w:eastAsia="Calibri" w:hAnsi="Calibri" w:cs="Calibri"/>
                <w:b/>
                <w:bCs/>
                <w:color w:val="000000" w:themeColor="text1"/>
                <w:lang w:val="en-IN"/>
              </w:rPr>
            </w:pPr>
            <w:r w:rsidRPr="00F87230">
              <w:rPr>
                <w:rFonts w:ascii="Calibri" w:eastAsia="Calibri" w:hAnsi="Calibri" w:cs="Calibri"/>
                <w:b/>
                <w:bCs/>
                <w:color w:val="000000" w:themeColor="text1"/>
                <w:lang w:val="en-IN"/>
              </w:rPr>
              <w:t>Andy Leeson</w:t>
            </w:r>
          </w:p>
        </w:tc>
        <w:tc>
          <w:tcPr>
            <w:tcW w:w="2080" w:type="pct"/>
          </w:tcPr>
          <w:p w14:paraId="135DEE36" w14:textId="77777777" w:rsidR="00CB1656" w:rsidRPr="005131B2" w:rsidRDefault="00CB1656" w:rsidP="00CB1656">
            <w:pPr>
              <w:rPr>
                <w:rFonts w:ascii="Calibri" w:eastAsia="Calibri" w:hAnsi="Calibri" w:cs="Calibri"/>
                <w:color w:val="000000" w:themeColor="text1"/>
                <w:lang w:val="en-IN"/>
              </w:rPr>
            </w:pPr>
            <w:proofErr w:type="spellStart"/>
            <w:r>
              <w:rPr>
                <w:rFonts w:ascii="Calibri" w:eastAsia="Calibri" w:hAnsi="Calibri" w:cs="Calibri"/>
                <w:color w:val="000000" w:themeColor="text1"/>
                <w:lang w:val="en-IN"/>
              </w:rPr>
              <w:t>Foroige</w:t>
            </w:r>
            <w:proofErr w:type="spellEnd"/>
            <w:r>
              <w:rPr>
                <w:rFonts w:ascii="Calibri" w:eastAsia="Calibri" w:hAnsi="Calibri" w:cs="Calibri"/>
                <w:color w:val="000000" w:themeColor="text1"/>
                <w:lang w:val="en-IN"/>
              </w:rPr>
              <w:t xml:space="preserve"> </w:t>
            </w:r>
          </w:p>
        </w:tc>
      </w:tr>
      <w:tr w:rsidR="00CB1656" w14:paraId="7D915FD8" w14:textId="77777777" w:rsidTr="00CB1656">
        <w:tc>
          <w:tcPr>
            <w:tcW w:w="1166" w:type="pct"/>
            <w:vMerge/>
          </w:tcPr>
          <w:p w14:paraId="25B4D8B9" w14:textId="77777777" w:rsidR="00CB1656" w:rsidRDefault="00CB1656" w:rsidP="00CB1656">
            <w:pPr>
              <w:rPr>
                <w:rFonts w:ascii="Calibri" w:eastAsia="Calibri" w:hAnsi="Calibri" w:cs="Calibri"/>
                <w:color w:val="000000" w:themeColor="text1"/>
                <w:lang w:val="en-IN"/>
              </w:rPr>
            </w:pPr>
          </w:p>
        </w:tc>
        <w:tc>
          <w:tcPr>
            <w:tcW w:w="1754" w:type="pct"/>
          </w:tcPr>
          <w:p w14:paraId="25EAF35F" w14:textId="77777777" w:rsidR="00CB1656" w:rsidRPr="00F87230" w:rsidRDefault="00CB1656" w:rsidP="00CB1656">
            <w:pPr>
              <w:rPr>
                <w:b/>
                <w:bCs/>
              </w:rPr>
            </w:pPr>
            <w:r w:rsidRPr="00F87230">
              <w:rPr>
                <w:rFonts w:ascii="Calibri" w:eastAsia="Calibri" w:hAnsi="Calibri" w:cs="Calibri"/>
                <w:b/>
                <w:bCs/>
                <w:color w:val="000000" w:themeColor="text1"/>
                <w:lang w:val="en-IN"/>
              </w:rPr>
              <w:t>Dr. Noel McCarthy</w:t>
            </w:r>
          </w:p>
        </w:tc>
        <w:tc>
          <w:tcPr>
            <w:tcW w:w="2080" w:type="pct"/>
          </w:tcPr>
          <w:p w14:paraId="418745E6" w14:textId="77777777" w:rsidR="00CB1656" w:rsidRDefault="00CB1656" w:rsidP="00CB1656">
            <w:r>
              <w:rPr>
                <w:rFonts w:ascii="Calibri" w:eastAsia="Calibri" w:hAnsi="Calibri" w:cs="Calibri"/>
                <w:color w:val="000000" w:themeColor="text1"/>
                <w:lang w:val="en-IN"/>
              </w:rPr>
              <w:t>Community Representative</w:t>
            </w:r>
          </w:p>
        </w:tc>
      </w:tr>
      <w:tr w:rsidR="00CB1656" w14:paraId="494D156E" w14:textId="77777777" w:rsidTr="00CB1656">
        <w:tc>
          <w:tcPr>
            <w:tcW w:w="1166" w:type="pct"/>
            <w:vMerge/>
          </w:tcPr>
          <w:p w14:paraId="4D16D2C3" w14:textId="77777777" w:rsidR="00CB1656" w:rsidRDefault="00CB1656" w:rsidP="00CB1656">
            <w:pPr>
              <w:jc w:val="both"/>
              <w:rPr>
                <w:rFonts w:ascii="Calibri" w:eastAsia="Calibri" w:hAnsi="Calibri" w:cs="Calibri"/>
                <w:color w:val="000000" w:themeColor="text1"/>
                <w:lang w:val="en-IN"/>
              </w:rPr>
            </w:pPr>
          </w:p>
        </w:tc>
        <w:tc>
          <w:tcPr>
            <w:tcW w:w="1754" w:type="pct"/>
          </w:tcPr>
          <w:p w14:paraId="7FA04EE3" w14:textId="77777777" w:rsidR="00CB1656" w:rsidRPr="005131B2" w:rsidRDefault="00CB1656" w:rsidP="00CB1656">
            <w:pPr>
              <w:spacing w:line="259" w:lineRule="auto"/>
              <w:jc w:val="both"/>
              <w:rPr>
                <w:rFonts w:ascii="Calibri" w:eastAsia="Calibri" w:hAnsi="Calibri" w:cs="Calibri"/>
                <w:color w:val="000000" w:themeColor="text1"/>
                <w:lang w:val="en-GB"/>
              </w:rPr>
            </w:pPr>
            <w:r>
              <w:rPr>
                <w:rFonts w:ascii="Calibri" w:eastAsia="Calibri" w:hAnsi="Calibri" w:cs="Calibri"/>
                <w:b/>
                <w:bCs/>
                <w:color w:val="000000" w:themeColor="text1"/>
                <w:lang w:val="en-GB"/>
              </w:rPr>
              <w:t>Helena Fitzgerald</w:t>
            </w:r>
          </w:p>
          <w:p w14:paraId="43FF68AE" w14:textId="77777777" w:rsidR="00CB1656" w:rsidRDefault="00CB1656" w:rsidP="00CB1656"/>
        </w:tc>
        <w:tc>
          <w:tcPr>
            <w:tcW w:w="2080" w:type="pct"/>
          </w:tcPr>
          <w:p w14:paraId="385FABC2" w14:textId="77777777" w:rsidR="00CB1656" w:rsidRDefault="00CB1656" w:rsidP="00CB1656">
            <w:r w:rsidRPr="005131B2">
              <w:rPr>
                <w:rFonts w:ascii="Calibri" w:eastAsia="Calibri" w:hAnsi="Calibri" w:cs="Calibri"/>
                <w:color w:val="000000" w:themeColor="text1"/>
                <w:lang w:val="en-IN"/>
              </w:rPr>
              <w:t>Community Representative</w:t>
            </w:r>
          </w:p>
        </w:tc>
      </w:tr>
      <w:tr w:rsidR="00CB1656" w:rsidRPr="005131B2" w14:paraId="2139B5B8" w14:textId="77777777" w:rsidTr="00CB1656">
        <w:tc>
          <w:tcPr>
            <w:tcW w:w="1166" w:type="pct"/>
            <w:vMerge/>
          </w:tcPr>
          <w:p w14:paraId="2D3C02A4" w14:textId="77777777" w:rsidR="00CB1656" w:rsidRDefault="00CB1656" w:rsidP="00CB1656">
            <w:pPr>
              <w:jc w:val="both"/>
              <w:rPr>
                <w:rFonts w:ascii="Calibri" w:eastAsia="Calibri" w:hAnsi="Calibri" w:cs="Calibri"/>
                <w:color w:val="000000" w:themeColor="text1"/>
                <w:lang w:val="en-IN"/>
              </w:rPr>
            </w:pPr>
          </w:p>
        </w:tc>
        <w:tc>
          <w:tcPr>
            <w:tcW w:w="1754" w:type="pct"/>
          </w:tcPr>
          <w:p w14:paraId="723E13B5" w14:textId="77777777" w:rsidR="00CB1656" w:rsidRDefault="00CB1656" w:rsidP="00CB1656">
            <w:pPr>
              <w:jc w:val="both"/>
              <w:rPr>
                <w:rFonts w:ascii="Calibri" w:eastAsia="Calibri" w:hAnsi="Calibri" w:cs="Calibri"/>
                <w:color w:val="000000" w:themeColor="text1"/>
                <w:lang w:val="en-IN"/>
              </w:rPr>
            </w:pPr>
            <w:r>
              <w:rPr>
                <w:rFonts w:ascii="Calibri" w:eastAsia="Calibri" w:hAnsi="Calibri" w:cs="Calibri"/>
                <w:color w:val="000000" w:themeColor="text1"/>
                <w:lang w:val="en-IN"/>
              </w:rPr>
              <w:t>Vacancy</w:t>
            </w:r>
          </w:p>
        </w:tc>
        <w:tc>
          <w:tcPr>
            <w:tcW w:w="2080" w:type="pct"/>
          </w:tcPr>
          <w:p w14:paraId="5287078E" w14:textId="77777777" w:rsidR="00CB1656" w:rsidRPr="005131B2" w:rsidRDefault="00CB1656" w:rsidP="00CB1656">
            <w:pPr>
              <w:rPr>
                <w:rFonts w:ascii="Calibri" w:eastAsia="Calibri" w:hAnsi="Calibri" w:cs="Calibri"/>
                <w:color w:val="000000" w:themeColor="text1"/>
                <w:lang w:val="en-IN"/>
              </w:rPr>
            </w:pPr>
            <w:r w:rsidRPr="005131B2">
              <w:rPr>
                <w:rFonts w:ascii="Calibri" w:eastAsia="Calibri" w:hAnsi="Calibri" w:cs="Calibri"/>
                <w:color w:val="000000" w:themeColor="text1"/>
                <w:lang w:val="en-IN"/>
              </w:rPr>
              <w:t>Community Representative</w:t>
            </w:r>
          </w:p>
        </w:tc>
      </w:tr>
      <w:tr w:rsidR="00CB1656" w14:paraId="26D24072" w14:textId="77777777" w:rsidTr="00CB1656">
        <w:tc>
          <w:tcPr>
            <w:tcW w:w="1166" w:type="pct"/>
          </w:tcPr>
          <w:p w14:paraId="3DFD133C" w14:textId="77777777" w:rsidR="00CB1656" w:rsidRDefault="00CB1656" w:rsidP="00CB1656">
            <w:pPr>
              <w:rPr>
                <w:rFonts w:ascii="Calibri" w:eastAsia="Calibri" w:hAnsi="Calibri" w:cs="Calibri"/>
                <w:color w:val="000000" w:themeColor="text1"/>
                <w:lang w:val="en-IN"/>
              </w:rPr>
            </w:pPr>
            <w:r>
              <w:rPr>
                <w:rFonts w:ascii="Calibri" w:eastAsia="Calibri" w:hAnsi="Calibri" w:cs="Calibri"/>
                <w:color w:val="000000" w:themeColor="text1"/>
                <w:lang w:val="en-IN"/>
              </w:rPr>
              <w:t>Environmental Pillar</w:t>
            </w:r>
          </w:p>
        </w:tc>
        <w:tc>
          <w:tcPr>
            <w:tcW w:w="1754" w:type="pct"/>
          </w:tcPr>
          <w:p w14:paraId="30D7B1E6" w14:textId="77777777" w:rsidR="00CB1656" w:rsidRDefault="00CB1656" w:rsidP="00CB1656">
            <w:r>
              <w:rPr>
                <w:rFonts w:ascii="Calibri" w:eastAsia="Calibri" w:hAnsi="Calibri" w:cs="Calibri"/>
                <w:color w:val="000000" w:themeColor="text1"/>
                <w:lang w:val="en-IN"/>
              </w:rPr>
              <w:t xml:space="preserve">Vacancy </w:t>
            </w:r>
          </w:p>
        </w:tc>
        <w:tc>
          <w:tcPr>
            <w:tcW w:w="2080" w:type="pct"/>
          </w:tcPr>
          <w:p w14:paraId="5DD09ADF" w14:textId="77777777" w:rsidR="00CB1656" w:rsidRDefault="00CB1656" w:rsidP="00CB1656">
            <w:r w:rsidRPr="005131B2">
              <w:rPr>
                <w:color w:val="000000" w:themeColor="text1"/>
              </w:rPr>
              <w:t>Public Participation Network Environment Pillar</w:t>
            </w:r>
          </w:p>
        </w:tc>
      </w:tr>
      <w:tr w:rsidR="00CB1656" w14:paraId="71D4B2BD" w14:textId="77777777" w:rsidTr="00CB1656">
        <w:tc>
          <w:tcPr>
            <w:tcW w:w="1166" w:type="pct"/>
            <w:vMerge w:val="restart"/>
          </w:tcPr>
          <w:p w14:paraId="6AFF0A50" w14:textId="7986088F" w:rsidR="00CB1656" w:rsidRDefault="00CB1656" w:rsidP="00CB1656">
            <w:r>
              <w:t xml:space="preserve">Community </w:t>
            </w:r>
            <w:r w:rsidR="0037035F">
              <w:t>and</w:t>
            </w:r>
            <w:r>
              <w:t xml:space="preserve"> Voluntary Pillar</w:t>
            </w:r>
          </w:p>
        </w:tc>
        <w:tc>
          <w:tcPr>
            <w:tcW w:w="1754" w:type="pct"/>
          </w:tcPr>
          <w:p w14:paraId="553B820B" w14:textId="77777777" w:rsidR="00CB1656" w:rsidRDefault="00CB1656" w:rsidP="00CB1656">
            <w:pPr>
              <w:rPr>
                <w:b/>
                <w:bCs/>
              </w:rPr>
            </w:pPr>
            <w:r w:rsidRPr="00F87230">
              <w:rPr>
                <w:b/>
                <w:bCs/>
              </w:rPr>
              <w:t>John Conroy</w:t>
            </w:r>
          </w:p>
          <w:p w14:paraId="66F8B7E3" w14:textId="77777777" w:rsidR="00CB1656" w:rsidRPr="00F87230" w:rsidRDefault="00CB1656" w:rsidP="00CB1656"/>
        </w:tc>
        <w:tc>
          <w:tcPr>
            <w:tcW w:w="2080" w:type="pct"/>
          </w:tcPr>
          <w:p w14:paraId="6EB35BC6" w14:textId="77777777" w:rsidR="00CB1656" w:rsidRDefault="00CB1656" w:rsidP="00CB1656">
            <w:r>
              <w:rPr>
                <w:color w:val="000000" w:themeColor="text1"/>
              </w:rPr>
              <w:t>Public Participation Network- Community Pillar</w:t>
            </w:r>
          </w:p>
        </w:tc>
      </w:tr>
      <w:tr w:rsidR="00CB1656" w14:paraId="29060D89" w14:textId="77777777" w:rsidTr="00CB1656">
        <w:tc>
          <w:tcPr>
            <w:tcW w:w="1166" w:type="pct"/>
            <w:vMerge/>
          </w:tcPr>
          <w:p w14:paraId="07D9E796" w14:textId="77777777" w:rsidR="00CB1656" w:rsidRDefault="00CB1656" w:rsidP="00CB1656"/>
        </w:tc>
        <w:tc>
          <w:tcPr>
            <w:tcW w:w="1754" w:type="pct"/>
          </w:tcPr>
          <w:p w14:paraId="4D9620C3" w14:textId="77777777" w:rsidR="00CB1656" w:rsidRDefault="00CB1656" w:rsidP="00CB1656">
            <w:pPr>
              <w:rPr>
                <w:b/>
                <w:bCs/>
              </w:rPr>
            </w:pPr>
            <w:r w:rsidRPr="00F87230">
              <w:rPr>
                <w:b/>
                <w:bCs/>
              </w:rPr>
              <w:t>Sean Farrell</w:t>
            </w:r>
          </w:p>
          <w:p w14:paraId="1373A652" w14:textId="77777777" w:rsidR="00CB1656" w:rsidRPr="00F87230" w:rsidRDefault="00CB1656" w:rsidP="00CB1656"/>
        </w:tc>
        <w:tc>
          <w:tcPr>
            <w:tcW w:w="2080" w:type="pct"/>
          </w:tcPr>
          <w:p w14:paraId="56C04438" w14:textId="77777777" w:rsidR="00CB1656" w:rsidRDefault="00CB1656" w:rsidP="00CB1656">
            <w:r>
              <w:rPr>
                <w:color w:val="000000" w:themeColor="text1"/>
              </w:rPr>
              <w:t>Public Participation Network- Community Pillar</w:t>
            </w:r>
          </w:p>
        </w:tc>
      </w:tr>
      <w:tr w:rsidR="00CB1656" w14:paraId="7A77135D" w14:textId="77777777" w:rsidTr="00CB1656">
        <w:tc>
          <w:tcPr>
            <w:tcW w:w="1166" w:type="pct"/>
            <w:vMerge w:val="restart"/>
          </w:tcPr>
          <w:p w14:paraId="6841F78A" w14:textId="77777777" w:rsidR="00CB1656" w:rsidRDefault="00CB1656" w:rsidP="00CB1656">
            <w:r>
              <w:t>Social Inclusion Pillar</w:t>
            </w:r>
          </w:p>
        </w:tc>
        <w:tc>
          <w:tcPr>
            <w:tcW w:w="1754" w:type="pct"/>
          </w:tcPr>
          <w:p w14:paraId="45C260DE" w14:textId="77777777" w:rsidR="00CB1656" w:rsidRDefault="00CB1656" w:rsidP="00CB1656">
            <w:pPr>
              <w:rPr>
                <w:b/>
                <w:bCs/>
              </w:rPr>
            </w:pPr>
            <w:r w:rsidRPr="00F87230">
              <w:rPr>
                <w:b/>
                <w:bCs/>
              </w:rPr>
              <w:t>Sharon Harty</w:t>
            </w:r>
          </w:p>
          <w:p w14:paraId="4D0B0887" w14:textId="77777777" w:rsidR="00CB1656" w:rsidRPr="00F87230" w:rsidRDefault="00CB1656" w:rsidP="00CB1656"/>
        </w:tc>
        <w:tc>
          <w:tcPr>
            <w:tcW w:w="2080" w:type="pct"/>
          </w:tcPr>
          <w:p w14:paraId="3B5301C1" w14:textId="77777777" w:rsidR="00CB1656" w:rsidRDefault="00CB1656" w:rsidP="00CB1656">
            <w:r>
              <w:rPr>
                <w:color w:val="000000" w:themeColor="text1"/>
              </w:rPr>
              <w:t>Public Participation Network- Social Inclusion Pillar</w:t>
            </w:r>
          </w:p>
        </w:tc>
      </w:tr>
      <w:tr w:rsidR="00CB1656" w14:paraId="3D05DAEF" w14:textId="77777777" w:rsidTr="00CB1656">
        <w:tc>
          <w:tcPr>
            <w:tcW w:w="1166" w:type="pct"/>
            <w:vMerge/>
          </w:tcPr>
          <w:p w14:paraId="452ED736" w14:textId="77777777" w:rsidR="00CB1656" w:rsidRDefault="00CB1656" w:rsidP="00CB1656">
            <w:pPr>
              <w:rPr>
                <w:rFonts w:ascii="Calibri" w:eastAsia="Calibri" w:hAnsi="Calibri" w:cs="Calibri"/>
                <w:color w:val="000000" w:themeColor="text1"/>
                <w:lang w:val="en-IN"/>
              </w:rPr>
            </w:pPr>
          </w:p>
        </w:tc>
        <w:tc>
          <w:tcPr>
            <w:tcW w:w="1754" w:type="pct"/>
          </w:tcPr>
          <w:p w14:paraId="31031958" w14:textId="77777777" w:rsidR="00CB1656" w:rsidRPr="00F87230" w:rsidRDefault="00CB1656" w:rsidP="00CB1656">
            <w:pPr>
              <w:rPr>
                <w:b/>
                <w:bCs/>
              </w:rPr>
            </w:pPr>
            <w:r w:rsidRPr="00F87230">
              <w:rPr>
                <w:rFonts w:ascii="Calibri" w:eastAsia="Calibri" w:hAnsi="Calibri" w:cs="Calibri"/>
                <w:b/>
                <w:bCs/>
                <w:color w:val="000000" w:themeColor="text1"/>
                <w:lang w:val="en-IN"/>
              </w:rPr>
              <w:t>Noreen Byrne</w:t>
            </w:r>
          </w:p>
        </w:tc>
        <w:tc>
          <w:tcPr>
            <w:tcW w:w="2080" w:type="pct"/>
          </w:tcPr>
          <w:p w14:paraId="5EF01FEE" w14:textId="77777777" w:rsidR="00CB1656" w:rsidRDefault="00CB1656" w:rsidP="00CB1656">
            <w:r>
              <w:rPr>
                <w:color w:val="000000" w:themeColor="text1"/>
              </w:rPr>
              <w:t>Public Participation Network- Social Inclusion Pillar</w:t>
            </w:r>
          </w:p>
        </w:tc>
      </w:tr>
    </w:tbl>
    <w:p w14:paraId="4971827D" w14:textId="66A2619D" w:rsidR="00CB1656" w:rsidRPr="002C6483" w:rsidRDefault="002C6483" w:rsidP="002C6483">
      <w:r w:rsidRPr="002C6483">
        <w:rPr>
          <w:b/>
          <w:bCs/>
        </w:rPr>
        <w:t>Vice-Chair:</w:t>
      </w:r>
      <w:r>
        <w:t xml:space="preserve"> Valerie Hogg – Adult Education Officer, DDLETB</w:t>
      </w:r>
    </w:p>
    <w:p w14:paraId="652AA71D" w14:textId="11517CD7" w:rsidR="00EF0400" w:rsidRDefault="002C6483" w:rsidP="00CB1656">
      <w:pPr>
        <w:pStyle w:val="Heading1"/>
      </w:pPr>
      <w:r>
        <w:br w:type="page"/>
      </w:r>
      <w:bookmarkStart w:id="66" w:name="_Toc199244562"/>
      <w:r w:rsidR="00EF0400">
        <w:lastRenderedPageBreak/>
        <w:t>Local Economic and Community Plan 2024</w:t>
      </w:r>
      <w:r w:rsidR="00CB1656">
        <w:t>-2030</w:t>
      </w:r>
      <w:bookmarkEnd w:id="66"/>
    </w:p>
    <w:p w14:paraId="6D2212B6" w14:textId="77777777" w:rsidR="00CB1656" w:rsidRPr="00567320" w:rsidRDefault="00CB1656" w:rsidP="006B1FA9">
      <w:pPr>
        <w:jc w:val="both"/>
      </w:pPr>
      <w:r w:rsidRPr="00567320">
        <w:t>The Local Economic and Community Plan (LECP) is an integrated strategy that will guide economic and community development across South Dublin County over the next six years.</w:t>
      </w:r>
    </w:p>
    <w:p w14:paraId="4F34BB90" w14:textId="77777777" w:rsidR="00CB1656" w:rsidRPr="00567320" w:rsidRDefault="00CB1656" w:rsidP="006B1FA9">
      <w:pPr>
        <w:jc w:val="both"/>
      </w:pPr>
      <w:r w:rsidRPr="00567320">
        <w:t>Prepared collaboratively by the South Dublin County Council, the Economic Development, Enterprise and Tourism Strategic Policy Committee (SPC), and the Local Community Development Committee (LCDC), the plan reflects extensive consultation with communities, businesses, education and training providers, government agencies, and key stakeholders throughout the region.</w:t>
      </w:r>
    </w:p>
    <w:p w14:paraId="350C6F6F" w14:textId="77777777" w:rsidR="00CB1656" w:rsidRPr="00567320" w:rsidRDefault="00CB1656" w:rsidP="006B1FA9">
      <w:pPr>
        <w:jc w:val="both"/>
      </w:pPr>
      <w:r w:rsidRPr="00567320">
        <w:t>The LECP 2024–2030 was presented by the South Dublin County LCDC to the Council on 9th December 2024.</w:t>
      </w:r>
    </w:p>
    <w:p w14:paraId="391BD349" w14:textId="77777777" w:rsidR="00CB1656" w:rsidRPr="00567320" w:rsidRDefault="00CB1656" w:rsidP="006B1FA9">
      <w:pPr>
        <w:jc w:val="both"/>
      </w:pPr>
      <w:r w:rsidRPr="00567320">
        <w:t>The plan outlines:</w:t>
      </w:r>
    </w:p>
    <w:p w14:paraId="7B8568D0" w14:textId="77777777" w:rsidR="00CB1656" w:rsidRPr="00567320" w:rsidRDefault="00CB1656" w:rsidP="006B1FA9">
      <w:pPr>
        <w:numPr>
          <w:ilvl w:val="0"/>
          <w:numId w:val="12"/>
        </w:numPr>
        <w:jc w:val="both"/>
      </w:pPr>
      <w:r w:rsidRPr="00567320">
        <w:t>6 High-Level Goals</w:t>
      </w:r>
    </w:p>
    <w:p w14:paraId="4812F6D6" w14:textId="77777777" w:rsidR="00CB1656" w:rsidRPr="00567320" w:rsidRDefault="00CB1656" w:rsidP="006B1FA9">
      <w:pPr>
        <w:numPr>
          <w:ilvl w:val="0"/>
          <w:numId w:val="12"/>
        </w:numPr>
        <w:jc w:val="both"/>
      </w:pPr>
      <w:r w:rsidRPr="00567320">
        <w:t>120 Targeted Actions</w:t>
      </w:r>
    </w:p>
    <w:p w14:paraId="1A945293" w14:textId="77777777" w:rsidR="00CB1656" w:rsidRPr="000F1D2C" w:rsidRDefault="00CB1656" w:rsidP="006B1FA9">
      <w:pPr>
        <w:jc w:val="both"/>
        <w:rPr>
          <w:lang w:val="en-GB"/>
        </w:rPr>
      </w:pPr>
      <w:r w:rsidRPr="000F1D2C">
        <w:rPr>
          <w:lang w:val="en-GB"/>
        </w:rPr>
        <w:t>High Level Goals</w:t>
      </w:r>
      <w:r>
        <w:rPr>
          <w:lang w:val="en-GB"/>
        </w:rPr>
        <w:t xml:space="preserve"> identified are as follows:</w:t>
      </w:r>
    </w:p>
    <w:p w14:paraId="47309B48" w14:textId="77777777" w:rsidR="00CB1656" w:rsidRPr="000F1D2C" w:rsidRDefault="00CB1656" w:rsidP="006B1FA9">
      <w:pPr>
        <w:numPr>
          <w:ilvl w:val="0"/>
          <w:numId w:val="11"/>
        </w:numPr>
        <w:jc w:val="both"/>
      </w:pPr>
      <w:r w:rsidRPr="000F1D2C">
        <w:rPr>
          <w:lang w:val="en-US"/>
        </w:rPr>
        <w:t>For the County of South Dublin to become a better place in which to live and work.</w:t>
      </w:r>
    </w:p>
    <w:p w14:paraId="2EC1F6BE" w14:textId="77777777" w:rsidR="00CB1656" w:rsidRPr="000F1D2C" w:rsidRDefault="00CB1656" w:rsidP="006B1FA9">
      <w:pPr>
        <w:numPr>
          <w:ilvl w:val="0"/>
          <w:numId w:val="11"/>
        </w:numPr>
        <w:jc w:val="both"/>
      </w:pPr>
      <w:r w:rsidRPr="000F1D2C">
        <w:rPr>
          <w:lang w:val="en-US"/>
        </w:rPr>
        <w:t>To improve the physical and mental health of those living and working in South Dublin.</w:t>
      </w:r>
    </w:p>
    <w:p w14:paraId="6223ABD7" w14:textId="77777777" w:rsidR="00CB1656" w:rsidRPr="000F1D2C" w:rsidRDefault="00CB1656" w:rsidP="006B1FA9">
      <w:pPr>
        <w:numPr>
          <w:ilvl w:val="0"/>
          <w:numId w:val="11"/>
        </w:numPr>
        <w:jc w:val="both"/>
      </w:pPr>
      <w:r w:rsidRPr="000F1D2C">
        <w:t>Increase access to education, upskilling and lifelong learning to further meet the social and economic needs of residents and employers now, and into the future.</w:t>
      </w:r>
    </w:p>
    <w:p w14:paraId="0D8448A0" w14:textId="77777777" w:rsidR="00CB1656" w:rsidRPr="000F1D2C" w:rsidRDefault="00CB1656" w:rsidP="006B1FA9">
      <w:pPr>
        <w:numPr>
          <w:ilvl w:val="0"/>
          <w:numId w:val="11"/>
        </w:numPr>
        <w:jc w:val="both"/>
      </w:pPr>
      <w:r w:rsidRPr="000F1D2C">
        <w:t>Fairness, collaboration and innovation to be at the core of South Dublin’s transition to becoming a low carbon county.</w:t>
      </w:r>
    </w:p>
    <w:p w14:paraId="26E2DCB9" w14:textId="2363D5F2" w:rsidR="00CB1656" w:rsidRPr="000F1D2C" w:rsidRDefault="00CB1656" w:rsidP="006B1FA9">
      <w:pPr>
        <w:numPr>
          <w:ilvl w:val="0"/>
          <w:numId w:val="11"/>
        </w:numPr>
        <w:jc w:val="both"/>
      </w:pPr>
      <w:r w:rsidRPr="000F1D2C">
        <w:t xml:space="preserve">Empower communities through </w:t>
      </w:r>
      <w:r w:rsidR="00B32157">
        <w:t>smart</w:t>
      </w:r>
      <w:r w:rsidR="00B32157" w:rsidRPr="000F1D2C">
        <w:t xml:space="preserve"> </w:t>
      </w:r>
      <w:r w:rsidRPr="000F1D2C">
        <w:t>initiatives and skills development to help make their areas better places in which to live, work and visit.</w:t>
      </w:r>
    </w:p>
    <w:p w14:paraId="683A5A54" w14:textId="77777777" w:rsidR="00CB1656" w:rsidRDefault="00CB1656" w:rsidP="006B1FA9">
      <w:pPr>
        <w:numPr>
          <w:ilvl w:val="0"/>
          <w:numId w:val="11"/>
        </w:numPr>
        <w:jc w:val="both"/>
      </w:pPr>
      <w:r w:rsidRPr="000F1D2C">
        <w:t>For society within South Dublin County to be more inclusive, equitable and welcoming of diversity</w:t>
      </w:r>
    </w:p>
    <w:p w14:paraId="4EBB7ADF" w14:textId="704494AB" w:rsidR="00CB1656" w:rsidRPr="000F1D2C" w:rsidRDefault="00CB1656" w:rsidP="006B1FA9">
      <w:pPr>
        <w:jc w:val="both"/>
        <w:rPr>
          <w:lang w:val="en-GB"/>
        </w:rPr>
      </w:pPr>
      <w:r w:rsidRPr="000F1D2C">
        <w:rPr>
          <w:lang w:val="en-GB"/>
        </w:rPr>
        <w:t xml:space="preserve">A </w:t>
      </w:r>
      <w:r w:rsidR="00D83EFC" w:rsidRPr="000F1D2C">
        <w:rPr>
          <w:lang w:val="en-GB"/>
        </w:rPr>
        <w:t>two-year</w:t>
      </w:r>
      <w:r w:rsidRPr="000F1D2C">
        <w:rPr>
          <w:lang w:val="en-GB"/>
        </w:rPr>
        <w:t xml:space="preserve"> implementation plan </w:t>
      </w:r>
      <w:r w:rsidR="00D83EFC">
        <w:rPr>
          <w:lang w:val="en-GB"/>
        </w:rPr>
        <w:t>commences</w:t>
      </w:r>
      <w:r w:rsidRPr="000F1D2C">
        <w:rPr>
          <w:lang w:val="en-GB"/>
        </w:rPr>
        <w:t xml:space="preserve"> in </w:t>
      </w:r>
      <w:proofErr w:type="gramStart"/>
      <w:r w:rsidRPr="000F1D2C">
        <w:rPr>
          <w:lang w:val="en-GB"/>
        </w:rPr>
        <w:t>2025</w:t>
      </w:r>
      <w:proofErr w:type="gramEnd"/>
      <w:r w:rsidRPr="000F1D2C">
        <w:rPr>
          <w:lang w:val="en-GB"/>
        </w:rPr>
        <w:t xml:space="preserve"> and a progress report will be submitted to the LCDC twice a year.</w:t>
      </w:r>
    </w:p>
    <w:p w14:paraId="18D7A0B1" w14:textId="77777777" w:rsidR="00CB1656" w:rsidRPr="00E94F7B" w:rsidRDefault="00CB1656" w:rsidP="006B1FA9">
      <w:pPr>
        <w:jc w:val="both"/>
        <w:rPr>
          <w:b/>
          <w:bCs/>
          <w:sz w:val="28"/>
          <w:szCs w:val="28"/>
        </w:rPr>
      </w:pPr>
      <w:r w:rsidRPr="00E94F7B">
        <w:rPr>
          <w:b/>
          <w:bCs/>
          <w:sz w:val="28"/>
          <w:szCs w:val="28"/>
        </w:rPr>
        <w:t>The Local Enhancement Programme (</w:t>
      </w:r>
      <w:proofErr w:type="gramStart"/>
      <w:r w:rsidRPr="00E94F7B">
        <w:rPr>
          <w:b/>
          <w:bCs/>
          <w:sz w:val="28"/>
          <w:szCs w:val="28"/>
        </w:rPr>
        <w:t>LEP)  Funding</w:t>
      </w:r>
      <w:proofErr w:type="gramEnd"/>
      <w:r w:rsidRPr="00E94F7B">
        <w:rPr>
          <w:b/>
          <w:bCs/>
          <w:sz w:val="28"/>
          <w:szCs w:val="28"/>
        </w:rPr>
        <w:t xml:space="preserve"> 2025 </w:t>
      </w:r>
    </w:p>
    <w:p w14:paraId="6BFF880D" w14:textId="344DFA19" w:rsidR="009073D2" w:rsidRPr="009073D2" w:rsidRDefault="009073D2" w:rsidP="006B1FA9">
      <w:pPr>
        <w:jc w:val="both"/>
      </w:pPr>
      <w:r w:rsidRPr="009073D2">
        <w:t>Local Enhancement Programme (LEP) Funding 2024, launched by the Department on 6th December 2023.</w:t>
      </w:r>
    </w:p>
    <w:p w14:paraId="12FB8331" w14:textId="10C92371" w:rsidR="009073D2" w:rsidRPr="009073D2" w:rsidRDefault="009073D2" w:rsidP="006B1FA9">
      <w:pPr>
        <w:jc w:val="both"/>
      </w:pPr>
      <w:r w:rsidRPr="009073D2">
        <w:t>South Dublin County LCDC were allocated:</w:t>
      </w:r>
    </w:p>
    <w:p w14:paraId="55E4ADE4" w14:textId="26ED881C" w:rsidR="009073D2" w:rsidRPr="009073D2" w:rsidRDefault="009073D2" w:rsidP="006B1FA9">
      <w:pPr>
        <w:pStyle w:val="ListParagraph"/>
        <w:numPr>
          <w:ilvl w:val="0"/>
          <w:numId w:val="18"/>
        </w:numPr>
        <w:jc w:val="both"/>
      </w:pPr>
      <w:r w:rsidRPr="009073D2">
        <w:lastRenderedPageBreak/>
        <w:t>€254,979.91 capital funding for the Local Enhancement Programme to use towards carrying out necessary repairs and improvements to facilities, energy efficiency type projects, purchase of equipment etc.</w:t>
      </w:r>
    </w:p>
    <w:p w14:paraId="4CC17EAC" w14:textId="641325C1" w:rsidR="009073D2" w:rsidRPr="009073D2" w:rsidRDefault="009073D2" w:rsidP="006B1FA9">
      <w:pPr>
        <w:pStyle w:val="ListParagraph"/>
        <w:numPr>
          <w:ilvl w:val="0"/>
          <w:numId w:val="18"/>
        </w:numPr>
        <w:jc w:val="both"/>
      </w:pPr>
      <w:r w:rsidRPr="009073D2">
        <w:t>€50,995.98 capital funding ring-fenced for Women’s Groups.</w:t>
      </w:r>
    </w:p>
    <w:p w14:paraId="725ED73B" w14:textId="26997DD1" w:rsidR="009073D2" w:rsidRPr="009073D2" w:rsidRDefault="009073D2" w:rsidP="006B1FA9">
      <w:pPr>
        <w:jc w:val="both"/>
      </w:pPr>
      <w:r w:rsidRPr="009073D2">
        <w:t> 47 Grant applications were received in total.</w:t>
      </w:r>
    </w:p>
    <w:p w14:paraId="3B73E91F" w14:textId="77777777" w:rsidR="009073D2" w:rsidRPr="009073D2" w:rsidRDefault="009073D2" w:rsidP="006B1FA9">
      <w:pPr>
        <w:jc w:val="both"/>
      </w:pPr>
      <w:r w:rsidRPr="009073D2">
        <w:t>The Minister issued a press release to notify successful applicants of their awarded grants in April 2024.</w:t>
      </w:r>
    </w:p>
    <w:p w14:paraId="39835EE6" w14:textId="77777777" w:rsidR="00CB1656" w:rsidRPr="009073D2" w:rsidRDefault="00CB1656" w:rsidP="006B1FA9">
      <w:pPr>
        <w:jc w:val="both"/>
      </w:pPr>
    </w:p>
    <w:p w14:paraId="7FDC7A63" w14:textId="77777777" w:rsidR="00CB1656" w:rsidRPr="00F4361C" w:rsidRDefault="00CB1656" w:rsidP="006B1FA9">
      <w:pPr>
        <w:jc w:val="both"/>
        <w:rPr>
          <w:b/>
          <w:bCs/>
        </w:rPr>
      </w:pPr>
      <w:r w:rsidRPr="00F4361C">
        <w:rPr>
          <w:b/>
          <w:bCs/>
        </w:rPr>
        <w:t xml:space="preserve">Social Inclusion and Community Activation Programme (SICAP) </w:t>
      </w:r>
      <w:r w:rsidRPr="00F4361C">
        <w:rPr>
          <w:b/>
          <w:bCs/>
          <w:sz w:val="28"/>
          <w:szCs w:val="28"/>
        </w:rPr>
        <w:t>2024–2028</w:t>
      </w:r>
    </w:p>
    <w:p w14:paraId="48502A31" w14:textId="77777777" w:rsidR="00CB1656" w:rsidRPr="00F4361C" w:rsidRDefault="00CB1656" w:rsidP="006B1FA9">
      <w:pPr>
        <w:jc w:val="both"/>
      </w:pPr>
      <w:r w:rsidRPr="00F4361C">
        <w:t>The SICAP 2024–2028 programme commenced in January 2024, continuing its vital role in addressing social exclusion and supporting communities across South Dublin County.</w:t>
      </w:r>
    </w:p>
    <w:p w14:paraId="466F67F3" w14:textId="77777777" w:rsidR="00CB1656" w:rsidRPr="00F4361C" w:rsidRDefault="00CB1656" w:rsidP="006B1FA9">
      <w:pPr>
        <w:jc w:val="both"/>
      </w:pPr>
      <w:r w:rsidRPr="00F4361C">
        <w:t>Following a successful open tender competition, South Dublin County Partnership CLG was awarded the contract to deliver the programme throughout the county.</w:t>
      </w:r>
    </w:p>
    <w:p w14:paraId="3AF3C06D" w14:textId="67450456" w:rsidR="00CB1656" w:rsidRPr="00F4361C" w:rsidRDefault="00CB1656" w:rsidP="006B1FA9">
      <w:pPr>
        <w:jc w:val="both"/>
      </w:pPr>
      <w:r w:rsidRPr="00F4361C">
        <w:t xml:space="preserve">As part of its governance and accountability framework, the South Dublin County Partnership provides regular updates on SICAP activities and outcomes at each </w:t>
      </w:r>
      <w:r w:rsidR="00B32157">
        <w:t xml:space="preserve">LCDC </w:t>
      </w:r>
      <w:r w:rsidRPr="00F4361C">
        <w:t>meeting.</w:t>
      </w:r>
    </w:p>
    <w:p w14:paraId="052F1F4A" w14:textId="77777777" w:rsidR="00EF0400" w:rsidRDefault="00EF0400" w:rsidP="006B1FA9">
      <w:pPr>
        <w:jc w:val="both"/>
      </w:pPr>
    </w:p>
    <w:p w14:paraId="5F20D473" w14:textId="77777777" w:rsidR="003B1180" w:rsidRDefault="003B1180" w:rsidP="006B1FA9">
      <w:pPr>
        <w:jc w:val="both"/>
        <w:rPr>
          <w:rFonts w:asciiTheme="majorHAnsi" w:eastAsiaTheme="majorEastAsia" w:hAnsiTheme="majorHAnsi" w:cstheme="majorBidi"/>
          <w:color w:val="0F4761" w:themeColor="accent1" w:themeShade="BF"/>
          <w:sz w:val="40"/>
          <w:szCs w:val="40"/>
        </w:rPr>
      </w:pPr>
      <w:r>
        <w:br w:type="page"/>
      </w:r>
    </w:p>
    <w:p w14:paraId="1F9155CB" w14:textId="3AEA219A" w:rsidR="00D84AB5" w:rsidRDefault="0037035F" w:rsidP="00D84AB5">
      <w:pPr>
        <w:pStyle w:val="Heading1"/>
      </w:pPr>
      <w:bookmarkStart w:id="67" w:name="_Toc199244563"/>
      <w:r>
        <w:lastRenderedPageBreak/>
        <w:t xml:space="preserve">The </w:t>
      </w:r>
      <w:r w:rsidR="00D84AB5">
        <w:t>Audit Committee</w:t>
      </w:r>
      <w:bookmarkEnd w:id="67"/>
    </w:p>
    <w:p w14:paraId="7F0291E0" w14:textId="6AD82C38" w:rsidR="00C222D9" w:rsidRDefault="00C222D9" w:rsidP="006B1FA9">
      <w:pPr>
        <w:jc w:val="both"/>
      </w:pPr>
      <w:r>
        <w:t>The Audit Committee 2019 – 2024 held its last meeting in May 2024. Its membership was</w:t>
      </w:r>
      <w:r w:rsidR="00C81681">
        <w:t xml:space="preserve"> as follows:</w:t>
      </w:r>
    </w:p>
    <w:p w14:paraId="7BC5F9E2" w14:textId="580D35A8" w:rsidR="00C81681" w:rsidRDefault="00226C2E" w:rsidP="006B1FA9">
      <w:pPr>
        <w:ind w:left="720"/>
        <w:jc w:val="both"/>
      </w:pPr>
      <w:r>
        <w:t>C</w:t>
      </w:r>
      <w:r w:rsidR="00C81681">
        <w:t>ouncillor Teresa Costello</w:t>
      </w:r>
    </w:p>
    <w:p w14:paraId="751051A7" w14:textId="77777777" w:rsidR="00C81681" w:rsidRDefault="00C81681" w:rsidP="006B1FA9">
      <w:pPr>
        <w:ind w:left="720"/>
        <w:jc w:val="both"/>
      </w:pPr>
      <w:r>
        <w:t>Councillor David McManus</w:t>
      </w:r>
    </w:p>
    <w:p w14:paraId="0E196BEE" w14:textId="77777777" w:rsidR="00C81681" w:rsidRDefault="00C81681" w:rsidP="006B1FA9">
      <w:pPr>
        <w:ind w:left="720"/>
        <w:jc w:val="both"/>
      </w:pPr>
      <w:r>
        <w:t>Councillor Guss O’Connell</w:t>
      </w:r>
    </w:p>
    <w:p w14:paraId="5270CDE8" w14:textId="77777777" w:rsidR="00226C2E" w:rsidRDefault="00226C2E" w:rsidP="006B1FA9">
      <w:pPr>
        <w:ind w:left="720"/>
        <w:jc w:val="both"/>
      </w:pPr>
      <w:r>
        <w:t>George Kennington, Partner Audit, Crowe (Chair)</w:t>
      </w:r>
    </w:p>
    <w:p w14:paraId="637816D5" w14:textId="1022D215" w:rsidR="00C81681" w:rsidRDefault="00C81681" w:rsidP="006B1FA9">
      <w:pPr>
        <w:ind w:left="720"/>
        <w:jc w:val="both"/>
      </w:pPr>
      <w:r>
        <w:t>Ann Horan, Chairperson of the Food Safety Authority of Ireland</w:t>
      </w:r>
    </w:p>
    <w:p w14:paraId="1110DF65" w14:textId="77777777" w:rsidR="00C81681" w:rsidRDefault="00C81681" w:rsidP="006B1FA9">
      <w:pPr>
        <w:ind w:left="720"/>
        <w:jc w:val="both"/>
      </w:pPr>
      <w:r>
        <w:t>Martin Nolan, Head of Compliance, Bright Software Group</w:t>
      </w:r>
    </w:p>
    <w:p w14:paraId="0264E91E" w14:textId="30917500" w:rsidR="00226C2E" w:rsidRDefault="00226C2E" w:rsidP="006B1FA9">
      <w:pPr>
        <w:ind w:left="720"/>
        <w:jc w:val="both"/>
      </w:pPr>
      <w:r>
        <w:t xml:space="preserve">Eilis Quinlan, Quinlan </w:t>
      </w:r>
      <w:r w:rsidR="0037035F">
        <w:t>and</w:t>
      </w:r>
      <w:r>
        <w:t xml:space="preserve"> Co Chartered Accountants.</w:t>
      </w:r>
    </w:p>
    <w:p w14:paraId="12D406BB" w14:textId="5DC440E4" w:rsidR="00226C2E" w:rsidRDefault="00226C2E" w:rsidP="006B1FA9">
      <w:pPr>
        <w:jc w:val="both"/>
      </w:pPr>
    </w:p>
    <w:p w14:paraId="5FFD2314" w14:textId="5655A285" w:rsidR="00226C2E" w:rsidRDefault="00226C2E" w:rsidP="006B1FA9">
      <w:pPr>
        <w:jc w:val="both"/>
      </w:pPr>
      <w:r>
        <w:t>Following the local elections a new Audit Committee was formed for the duration of the new Council. The membership of the Audit Committee for 2024 – 2029 is:</w:t>
      </w:r>
    </w:p>
    <w:p w14:paraId="220A8A2C" w14:textId="77777777" w:rsidR="00226C2E" w:rsidRPr="003A3352" w:rsidRDefault="00226C2E" w:rsidP="006B1FA9">
      <w:pPr>
        <w:ind w:left="720"/>
        <w:jc w:val="both"/>
      </w:pPr>
      <w:r w:rsidRPr="003A3352">
        <w:t>Councillor Caroline Brady</w:t>
      </w:r>
    </w:p>
    <w:p w14:paraId="0963728F" w14:textId="77777777" w:rsidR="00226C2E" w:rsidRPr="003A3352" w:rsidRDefault="00226C2E" w:rsidP="006B1FA9">
      <w:pPr>
        <w:ind w:left="720"/>
        <w:jc w:val="both"/>
      </w:pPr>
      <w:r w:rsidRPr="003A3352">
        <w:t>Councillor Niamh Fennell</w:t>
      </w:r>
    </w:p>
    <w:p w14:paraId="472E90BF" w14:textId="77777777" w:rsidR="00226C2E" w:rsidRPr="003A3352" w:rsidRDefault="00226C2E" w:rsidP="006B1FA9">
      <w:pPr>
        <w:ind w:left="720"/>
        <w:jc w:val="both"/>
      </w:pPr>
      <w:r w:rsidRPr="003A3352">
        <w:t xml:space="preserve">Councillor Joanna Tuffy  </w:t>
      </w:r>
    </w:p>
    <w:p w14:paraId="2D0C271F" w14:textId="55324CBE" w:rsidR="00226C2E" w:rsidRPr="003A3352" w:rsidRDefault="00226C2E" w:rsidP="006B1FA9">
      <w:pPr>
        <w:ind w:left="720"/>
        <w:jc w:val="both"/>
      </w:pPr>
      <w:r w:rsidRPr="003A3352">
        <w:t>Ann Horan, Chairperson of the Food Safety Authority of Ireland</w:t>
      </w:r>
      <w:r>
        <w:t xml:space="preserve"> (Chair)</w:t>
      </w:r>
    </w:p>
    <w:p w14:paraId="1BBC1DA6" w14:textId="77777777" w:rsidR="00D84AB5" w:rsidRPr="003A3352" w:rsidRDefault="00D84AB5" w:rsidP="006B1FA9">
      <w:pPr>
        <w:ind w:left="720"/>
        <w:jc w:val="both"/>
      </w:pPr>
      <w:r w:rsidRPr="003A3352">
        <w:t>Martin Nolan, (Chair) Head of Compliance, Bright Software Group</w:t>
      </w:r>
    </w:p>
    <w:p w14:paraId="5729518B" w14:textId="77777777" w:rsidR="00D84AB5" w:rsidRPr="003A3352" w:rsidRDefault="00D84AB5" w:rsidP="006B1FA9">
      <w:pPr>
        <w:ind w:left="720"/>
        <w:jc w:val="both"/>
      </w:pPr>
      <w:r w:rsidRPr="003A3352">
        <w:t>George Kennington, Partner Audit, Crowe Ireland</w:t>
      </w:r>
    </w:p>
    <w:p w14:paraId="672A1BDC" w14:textId="22180F9C" w:rsidR="00D84AB5" w:rsidRPr="003A3352" w:rsidRDefault="00D84AB5" w:rsidP="006B1FA9">
      <w:pPr>
        <w:ind w:left="720"/>
        <w:jc w:val="both"/>
      </w:pPr>
      <w:r w:rsidRPr="003A3352">
        <w:t xml:space="preserve">Eilis Quinlan, Quinlan </w:t>
      </w:r>
      <w:r w:rsidR="0037035F">
        <w:t>and</w:t>
      </w:r>
      <w:r w:rsidRPr="003A3352">
        <w:t xml:space="preserve"> Co Chartered Accountants</w:t>
      </w:r>
    </w:p>
    <w:bookmarkEnd w:id="64"/>
    <w:p w14:paraId="6699D56E" w14:textId="1E3F6B5C" w:rsidR="00BF7729" w:rsidRDefault="00226C2E" w:rsidP="006B1FA9">
      <w:pPr>
        <w:jc w:val="both"/>
      </w:pPr>
      <w:r>
        <w:t>Am</w:t>
      </w:r>
      <w:r w:rsidR="00F4313D">
        <w:t xml:space="preserve">ong the reports considered in 2024 were </w:t>
      </w:r>
      <w:r w:rsidR="00261FF1">
        <w:t xml:space="preserve">the </w:t>
      </w:r>
      <w:r w:rsidR="00830D96">
        <w:t>NOAC Performance Indicators 2023 Report and an analysis of the performance of SDCC in this context</w:t>
      </w:r>
      <w:r w:rsidR="00F4313D">
        <w:t xml:space="preserve">, and </w:t>
      </w:r>
      <w:r w:rsidR="00830D96">
        <w:t xml:space="preserve">the Local Government Audit Service’s Value for Money </w:t>
      </w:r>
      <w:r w:rsidR="00261FF1">
        <w:t>R</w:t>
      </w:r>
      <w:r w:rsidR="00830D96">
        <w:t>eport</w:t>
      </w:r>
      <w:r w:rsidR="00261FF1">
        <w:t xml:space="preserve">s </w:t>
      </w:r>
      <w:r w:rsidR="008248DA">
        <w:t xml:space="preserve">that were published in 2024 </w:t>
      </w:r>
      <w:r w:rsidR="00830D96">
        <w:t xml:space="preserve">relating to </w:t>
      </w:r>
      <w:r w:rsidR="00F4313D">
        <w:t xml:space="preserve">an </w:t>
      </w:r>
      <w:r w:rsidR="00830D96">
        <w:t>Overview of Rates Revisions in Local Authorities</w:t>
      </w:r>
      <w:r w:rsidR="00F4313D">
        <w:t xml:space="preserve">, </w:t>
      </w:r>
      <w:r w:rsidR="00BF7729">
        <w:t xml:space="preserve">Debt Management of Collections in Local Authorities </w:t>
      </w:r>
      <w:r w:rsidR="00F4313D">
        <w:t xml:space="preserve">and an </w:t>
      </w:r>
      <w:r w:rsidR="00BF7729">
        <w:t xml:space="preserve">Overview of the Energy Efficiency Retrofitting </w:t>
      </w:r>
      <w:proofErr w:type="gramStart"/>
      <w:r w:rsidR="00BF7729">
        <w:t>Programme .</w:t>
      </w:r>
      <w:proofErr w:type="gramEnd"/>
    </w:p>
    <w:p w14:paraId="7DB843B2" w14:textId="77777777" w:rsidR="007C7CE4" w:rsidRDefault="007C7CE4">
      <w:r>
        <w:br w:type="page"/>
      </w:r>
    </w:p>
    <w:p w14:paraId="1A48961F" w14:textId="3EB5493A" w:rsidR="007C7CE4" w:rsidRPr="006B1FA9" w:rsidRDefault="0037035F" w:rsidP="006B1FA9">
      <w:pPr>
        <w:pStyle w:val="Heading1"/>
        <w:jc w:val="both"/>
      </w:pPr>
      <w:bookmarkStart w:id="68" w:name="_Toc199244564"/>
      <w:r>
        <w:lastRenderedPageBreak/>
        <w:t xml:space="preserve">The </w:t>
      </w:r>
      <w:r w:rsidR="00A76F6A">
        <w:t>E</w:t>
      </w:r>
      <w:r w:rsidR="007C7CE4">
        <w:t>quality and Human Rights Framework</w:t>
      </w:r>
      <w:r w:rsidR="00F4313D">
        <w:t xml:space="preserve"> </w:t>
      </w:r>
      <w:r w:rsidR="00F4313D" w:rsidRPr="006B1FA9">
        <w:t>D</w:t>
      </w:r>
      <w:r w:rsidR="007C7CE4" w:rsidRPr="006B1FA9">
        <w:t>uty</w:t>
      </w:r>
      <w:bookmarkEnd w:id="68"/>
      <w:r w:rsidR="007C7CE4" w:rsidRPr="006B1FA9">
        <w:t xml:space="preserve"> </w:t>
      </w:r>
    </w:p>
    <w:p w14:paraId="264D8D54" w14:textId="77777777" w:rsidR="007C7CE4" w:rsidRPr="001903F2" w:rsidRDefault="007C7CE4" w:rsidP="007C7CE4">
      <w:pPr>
        <w:jc w:val="both"/>
      </w:pPr>
      <w:r w:rsidRPr="001903F2">
        <w:t xml:space="preserve">South Dublin County Council continued to implement the Equality and Human Rights Framework, which was developed during 2022. This fulfils the Council’s commitment under the Corporate Plan and the legal requirement under Section 42 (Public Sector Equality and Human Rights Duty), of the Irish Human Rights and Equality Act 2014. The ‘Duty’ sets out the responsibilities for all public bodies in Ireland to promote equality, prevent discrimination and protect the human rights of their employees, customers, service users and everyone affected by their policies and plans. </w:t>
      </w:r>
    </w:p>
    <w:p w14:paraId="3BE753ED" w14:textId="77777777" w:rsidR="007C7CE4" w:rsidRPr="001903F2" w:rsidRDefault="007C7CE4" w:rsidP="007C7CE4">
      <w:pPr>
        <w:jc w:val="both"/>
      </w:pPr>
      <w:r w:rsidRPr="001903F2">
        <w:t xml:space="preserve">The Council’s cross departmental Equality and Human Rights Working Group guides, supports and monitors the implementation the Public Sector Equality and Human Rights Duty. Public Sector Duty information pages are available on both the Staff intranet and the Council’s website </w:t>
      </w:r>
      <w:hyperlink r:id="rId9" w:history="1">
        <w:r w:rsidRPr="001903F2">
          <w:rPr>
            <w:rStyle w:val="Hyperlink"/>
          </w:rPr>
          <w:t>www.sdcc.ie</w:t>
        </w:r>
      </w:hyperlink>
      <w:r w:rsidRPr="001903F2">
        <w:t xml:space="preserve"> </w:t>
      </w:r>
    </w:p>
    <w:p w14:paraId="695AA721" w14:textId="77777777" w:rsidR="007C7CE4" w:rsidRPr="001903F2" w:rsidRDefault="007C7CE4" w:rsidP="007C7CE4">
      <w:pPr>
        <w:jc w:val="both"/>
        <w:rPr>
          <w:b/>
          <w:bCs/>
        </w:rPr>
      </w:pPr>
      <w:r w:rsidRPr="001903F2">
        <w:rPr>
          <w:b/>
          <w:bCs/>
        </w:rPr>
        <w:t>The following actions taken throughout 2024 are examples of how SDCC are implementing the Public Sector Duty across the Council:</w:t>
      </w:r>
    </w:p>
    <w:p w14:paraId="58A6F65A" w14:textId="77777777" w:rsidR="007C7CE4" w:rsidRPr="001903F2" w:rsidRDefault="007C7CE4" w:rsidP="007C7CE4">
      <w:pPr>
        <w:jc w:val="both"/>
        <w:rPr>
          <w:b/>
          <w:bCs/>
        </w:rPr>
      </w:pPr>
      <w:r w:rsidRPr="001903F2">
        <w:rPr>
          <w:b/>
          <w:bCs/>
        </w:rPr>
        <w:t>Action Plan for Public Sector Equality and Human Rights Duty:</w:t>
      </w:r>
    </w:p>
    <w:p w14:paraId="1845BCA1" w14:textId="77777777" w:rsidR="007C7CE4" w:rsidRPr="001903F2" w:rsidRDefault="007C7CE4" w:rsidP="007C7CE4">
      <w:pPr>
        <w:jc w:val="both"/>
        <w:rPr>
          <w:b/>
          <w:bCs/>
        </w:rPr>
      </w:pPr>
      <w:r w:rsidRPr="001903F2">
        <w:t>Our 2024 Action Plan for Public Sector Equality and Human Rights Duty was published along with an implementation plan and is available on www.sdcc.ie. We recognise the need to promote equality of opportunity, eliminate discrimination and protect the dignity and human rights of staff, Councillors and customers alike. This commitment is underpinned by a legal obligation provided for in the Irish Human Rights and Equality Act 2014. This plan identifies key moments and actions to ensure ongoing implementation of this duty and provides terms of reference for our cross-departmental working group established to oversee implementation.</w:t>
      </w:r>
    </w:p>
    <w:p w14:paraId="3FC41DA2" w14:textId="5EBCBFE4" w:rsidR="007C7CE4" w:rsidRPr="001903F2" w:rsidRDefault="007C7CE4" w:rsidP="007C7CE4">
      <w:pPr>
        <w:jc w:val="both"/>
        <w:rPr>
          <w:b/>
          <w:bCs/>
        </w:rPr>
      </w:pPr>
      <w:r w:rsidRPr="001903F2">
        <w:rPr>
          <w:b/>
          <w:bCs/>
        </w:rPr>
        <w:t>Corporate Plan</w:t>
      </w:r>
      <w:r w:rsidR="00DF7B7E">
        <w:rPr>
          <w:b/>
          <w:bCs/>
        </w:rPr>
        <w:t xml:space="preserve"> 2025 -2</w:t>
      </w:r>
      <w:r w:rsidR="00814A35">
        <w:rPr>
          <w:b/>
          <w:bCs/>
        </w:rPr>
        <w:t>029</w:t>
      </w:r>
    </w:p>
    <w:p w14:paraId="61B1A02C" w14:textId="77777777" w:rsidR="007C7CE4" w:rsidRPr="001903F2" w:rsidRDefault="007C7CE4" w:rsidP="007C7CE4">
      <w:pPr>
        <w:jc w:val="both"/>
      </w:pPr>
      <w:r w:rsidRPr="001903F2">
        <w:t>The Public Sector Equality and Human Rights Duty recognises the need to eliminate discrimination, promote equality of opportunity, and protect human rights for service users, staff, members and policy beneficiaries. Our ambitions in relation to and compliance with the Duty were a key focus at all stages of preparation, consultation and drafting of the Corporate Plan 2025-2029 and will be implemented through all our functions.</w:t>
      </w:r>
    </w:p>
    <w:p w14:paraId="0FBAEDBC" w14:textId="77777777" w:rsidR="007C7CE4" w:rsidRPr="001903F2" w:rsidRDefault="007C7CE4" w:rsidP="007C7CE4">
      <w:pPr>
        <w:jc w:val="both"/>
        <w:rPr>
          <w:b/>
          <w:bCs/>
        </w:rPr>
      </w:pPr>
      <w:r w:rsidRPr="001903F2">
        <w:rPr>
          <w:b/>
          <w:bCs/>
        </w:rPr>
        <w:t>Your Vote Your Voice</w:t>
      </w:r>
    </w:p>
    <w:p w14:paraId="113F0A75" w14:textId="77777777" w:rsidR="007C7CE4" w:rsidRPr="001903F2" w:rsidRDefault="007C7CE4" w:rsidP="007C7CE4">
      <w:pPr>
        <w:jc w:val="both"/>
      </w:pPr>
      <w:r w:rsidRPr="001903F2">
        <w:t xml:space="preserve">South Dublin County Council’s “Your Vote Your Voice - an easy-to-read guide to voting” booklet was available across our digital channels and in print form in our local libraries. Ahead of the local and general elections, the purpose of the booklet is to provide information on how to exercise your right to vote, such as information on the different types of elections and voting that takes place in Ireland and how you register to vote. This booklet is an action delivered under our Public Sector Equality and Human Rights Duty Framework. </w:t>
      </w:r>
    </w:p>
    <w:p w14:paraId="0093AC89" w14:textId="77777777" w:rsidR="007C7CE4" w:rsidRPr="001903F2" w:rsidRDefault="007C7CE4" w:rsidP="007C7CE4">
      <w:pPr>
        <w:jc w:val="both"/>
      </w:pPr>
      <w:r w:rsidRPr="001903F2">
        <w:rPr>
          <w:b/>
          <w:bCs/>
        </w:rPr>
        <w:t>Community Integration Forum</w:t>
      </w:r>
      <w:r w:rsidRPr="001903F2">
        <w:t>:</w:t>
      </w:r>
    </w:p>
    <w:p w14:paraId="3C4EB752" w14:textId="77777777" w:rsidR="007C7CE4" w:rsidRPr="00BA5AA8" w:rsidRDefault="007C7CE4" w:rsidP="007C7CE4">
      <w:pPr>
        <w:ind w:left="360"/>
        <w:jc w:val="both"/>
        <w:rPr>
          <w:b/>
          <w:bCs/>
        </w:rPr>
      </w:pPr>
      <w:r w:rsidRPr="001903F2">
        <w:lastRenderedPageBreak/>
        <w:t xml:space="preserve">With the introduction of the new permanent LAITs (Local Authority Integration Teams) within SDCC, the local government sector now has an important role in integration for the following cohorts of people: </w:t>
      </w:r>
    </w:p>
    <w:p w14:paraId="32DB9D6E" w14:textId="77777777" w:rsidR="007C7CE4" w:rsidRPr="00BA5AA8" w:rsidRDefault="007C7CE4" w:rsidP="001873BC">
      <w:pPr>
        <w:pStyle w:val="ListParagraph"/>
        <w:numPr>
          <w:ilvl w:val="0"/>
          <w:numId w:val="9"/>
        </w:numPr>
        <w:jc w:val="both"/>
        <w:rPr>
          <w:b/>
          <w:bCs/>
        </w:rPr>
      </w:pPr>
      <w:r w:rsidRPr="001903F2">
        <w:t>Applicants for International Protection (IP Applicants)</w:t>
      </w:r>
    </w:p>
    <w:p w14:paraId="2E3365B2" w14:textId="77777777" w:rsidR="007C7CE4" w:rsidRPr="00BA5AA8" w:rsidRDefault="007C7CE4" w:rsidP="001873BC">
      <w:pPr>
        <w:pStyle w:val="ListParagraph"/>
        <w:numPr>
          <w:ilvl w:val="0"/>
          <w:numId w:val="9"/>
        </w:numPr>
        <w:jc w:val="both"/>
        <w:rPr>
          <w:b/>
          <w:bCs/>
        </w:rPr>
      </w:pPr>
      <w:r w:rsidRPr="001903F2">
        <w:t>Those with Refugee, Subsidiary Protection, or Permission to Remain status</w:t>
      </w:r>
    </w:p>
    <w:p w14:paraId="04D12440" w14:textId="77777777" w:rsidR="007C7CE4" w:rsidRPr="00BA5AA8" w:rsidRDefault="007C7CE4" w:rsidP="001873BC">
      <w:pPr>
        <w:pStyle w:val="ListParagraph"/>
        <w:numPr>
          <w:ilvl w:val="0"/>
          <w:numId w:val="9"/>
        </w:numPr>
        <w:jc w:val="both"/>
        <w:rPr>
          <w:b/>
          <w:bCs/>
        </w:rPr>
      </w:pPr>
      <w:r w:rsidRPr="001903F2">
        <w:t xml:space="preserve">Programme Refugees </w:t>
      </w:r>
    </w:p>
    <w:p w14:paraId="666862C5" w14:textId="77777777" w:rsidR="007C7CE4" w:rsidRPr="00BA5AA8" w:rsidRDefault="007C7CE4" w:rsidP="001873BC">
      <w:pPr>
        <w:pStyle w:val="ListParagraph"/>
        <w:numPr>
          <w:ilvl w:val="0"/>
          <w:numId w:val="9"/>
        </w:numPr>
        <w:jc w:val="both"/>
        <w:rPr>
          <w:b/>
          <w:bCs/>
        </w:rPr>
      </w:pPr>
      <w:r w:rsidRPr="001903F2">
        <w:t xml:space="preserve">Beneficiaries of Temporary Accommodation (BOTPs) </w:t>
      </w:r>
    </w:p>
    <w:p w14:paraId="4DA21042" w14:textId="77777777" w:rsidR="007C7CE4" w:rsidRPr="001903F2" w:rsidRDefault="007C7CE4" w:rsidP="007C7CE4">
      <w:pPr>
        <w:jc w:val="both"/>
      </w:pPr>
      <w:r w:rsidRPr="001903F2">
        <w:t>The Community Response Forum has been successful at bringing together stakeholders in supporting BOTPs in the County. With the introduction of the LAITs, integration supports will extend into IP and IRPP and the Community Response Forum is now named the Community Integration Forum. The Integration Support Coordinator will be a key stakeholder and will use this forum to engage and communicate with all stakeholders and escalate key issues as required</w:t>
      </w:r>
    </w:p>
    <w:p w14:paraId="5D9F502E" w14:textId="7B4D203C" w:rsidR="007C7CE4" w:rsidRPr="001903F2" w:rsidRDefault="007C7CE4" w:rsidP="007C7CE4">
      <w:pPr>
        <w:jc w:val="both"/>
        <w:rPr>
          <w:b/>
          <w:bCs/>
        </w:rPr>
      </w:pPr>
      <w:r w:rsidRPr="001903F2">
        <w:rPr>
          <w:b/>
          <w:bCs/>
        </w:rPr>
        <w:t xml:space="preserve">Equality, </w:t>
      </w:r>
      <w:r w:rsidR="00DF7B7E">
        <w:rPr>
          <w:b/>
          <w:bCs/>
        </w:rPr>
        <w:t>d</w:t>
      </w:r>
      <w:r w:rsidRPr="001903F2">
        <w:rPr>
          <w:b/>
          <w:bCs/>
        </w:rPr>
        <w:t xml:space="preserve">iversity and </w:t>
      </w:r>
      <w:r w:rsidR="00DF7B7E">
        <w:rPr>
          <w:b/>
          <w:bCs/>
        </w:rPr>
        <w:t>i</w:t>
      </w:r>
      <w:r w:rsidRPr="001903F2">
        <w:rPr>
          <w:b/>
          <w:bCs/>
        </w:rPr>
        <w:t xml:space="preserve">nclusion artist </w:t>
      </w:r>
      <w:r w:rsidR="00DF7B7E">
        <w:rPr>
          <w:b/>
          <w:bCs/>
        </w:rPr>
        <w:t>b</w:t>
      </w:r>
      <w:r w:rsidRPr="001903F2">
        <w:rPr>
          <w:b/>
          <w:bCs/>
        </w:rPr>
        <w:t>ursary</w:t>
      </w:r>
    </w:p>
    <w:p w14:paraId="43D3E87A" w14:textId="77777777" w:rsidR="007C7CE4" w:rsidRPr="001903F2" w:rsidRDefault="007C7CE4" w:rsidP="007C7CE4">
      <w:pPr>
        <w:jc w:val="both"/>
      </w:pPr>
      <w:r w:rsidRPr="001903F2">
        <w:t>In 2024, the Arts Office awarded the first Equality Diversity and Inclusion artist bursary to Newton Barabara, a Nigerian film and theatre-maker, who arrived in Ireland in February 2023 seeking international protection. Through a partnership between the Arts Office, the Abbey Theatre and Citywest Transit Hub, Newton undertook a 12-week programme of workshops with residents of the Transition Hub, culminating in the staging of Halfway to Heaven. Newtons Theatre for Development is a programme that uses drama and storytelling as a transformative tool for empowerment and community building</w:t>
      </w:r>
    </w:p>
    <w:p w14:paraId="5DFDF0C0" w14:textId="6E103838" w:rsidR="007C7CE4" w:rsidRPr="001903F2" w:rsidRDefault="007C7CE4" w:rsidP="007C7CE4">
      <w:pPr>
        <w:jc w:val="both"/>
        <w:rPr>
          <w:b/>
          <w:bCs/>
        </w:rPr>
      </w:pPr>
      <w:r w:rsidRPr="001903F2">
        <w:rPr>
          <w:b/>
          <w:bCs/>
        </w:rPr>
        <w:t xml:space="preserve">Sanctuary </w:t>
      </w:r>
      <w:r w:rsidR="00DF7B7E">
        <w:rPr>
          <w:b/>
          <w:bCs/>
        </w:rPr>
        <w:t>r</w:t>
      </w:r>
      <w:r w:rsidRPr="001903F2">
        <w:rPr>
          <w:b/>
          <w:bCs/>
        </w:rPr>
        <w:t>unners</w:t>
      </w:r>
    </w:p>
    <w:p w14:paraId="7209D282" w14:textId="77777777" w:rsidR="007C7CE4" w:rsidRPr="001903F2" w:rsidRDefault="007C7CE4" w:rsidP="007C7CE4">
      <w:pPr>
        <w:jc w:val="both"/>
      </w:pPr>
      <w:r w:rsidRPr="001903F2">
        <w:t>Active South Dublin partnered with the HSE and organised a weekly bus to take residents from the Citywest hub to Dodder Valley Park for the parkrun which takes place in the park every Saturday morning. They also partnered with colleagues in South Dublin Library Services to arrange a sporting footwear and clothing collection in support of Sanctuary Runners, the volunteer group that organises running events for IPA’s and BOTP’s. Sanctuary Runners is a solidarity-through-sport initiative which uses running, jogging and walking to bring together asylum seekers, refugees, migrants and all Irish residents.</w:t>
      </w:r>
    </w:p>
    <w:p w14:paraId="3F2E273E" w14:textId="5A7F545B" w:rsidR="007C7CE4" w:rsidRPr="001903F2" w:rsidRDefault="007C7CE4" w:rsidP="007C7CE4">
      <w:pPr>
        <w:jc w:val="both"/>
        <w:rPr>
          <w:b/>
          <w:bCs/>
        </w:rPr>
      </w:pPr>
      <w:r w:rsidRPr="001903F2">
        <w:rPr>
          <w:b/>
          <w:bCs/>
        </w:rPr>
        <w:t xml:space="preserve">Intercultural </w:t>
      </w:r>
      <w:r w:rsidR="00DF7B7E">
        <w:rPr>
          <w:b/>
          <w:bCs/>
        </w:rPr>
        <w:t>c</w:t>
      </w:r>
      <w:r w:rsidRPr="001903F2">
        <w:rPr>
          <w:b/>
          <w:bCs/>
        </w:rPr>
        <w:t>elebration</w:t>
      </w:r>
    </w:p>
    <w:p w14:paraId="68A45967" w14:textId="77777777" w:rsidR="007C7CE4" w:rsidRPr="001903F2" w:rsidRDefault="007C7CE4" w:rsidP="007C7CE4">
      <w:pPr>
        <w:jc w:val="both"/>
      </w:pPr>
      <w:r w:rsidRPr="001903F2">
        <w:t xml:space="preserve">The Integration Team is hosted an Intercultural Celebration on the 11th of December in Aon </w:t>
      </w:r>
      <w:proofErr w:type="spellStart"/>
      <w:r w:rsidRPr="001903F2">
        <w:t>Scéal</w:t>
      </w:r>
      <w:proofErr w:type="spellEnd"/>
      <w:r w:rsidRPr="001903F2">
        <w:t xml:space="preserve"> Café, Tallaght Village and The Well Community Space. The celebration will include workshops for children and their parents who are currently in International Protection, along with music and dance performances. This end-of-the-year celebration aims to connect the local community with international protection applicants residing in the area and show the similarities between the Irish language and culture with those of other countries.</w:t>
      </w:r>
    </w:p>
    <w:p w14:paraId="0DACF33F" w14:textId="1E8959D7" w:rsidR="007C7CE4" w:rsidRPr="001903F2" w:rsidRDefault="007C7CE4" w:rsidP="007C7CE4">
      <w:pPr>
        <w:jc w:val="both"/>
      </w:pPr>
      <w:r w:rsidRPr="001903F2">
        <w:rPr>
          <w:b/>
          <w:bCs/>
        </w:rPr>
        <w:t xml:space="preserve">Empowering </w:t>
      </w:r>
      <w:r w:rsidR="00DF7B7E">
        <w:rPr>
          <w:b/>
          <w:bCs/>
        </w:rPr>
        <w:t>n</w:t>
      </w:r>
      <w:r w:rsidRPr="001903F2">
        <w:rPr>
          <w:b/>
          <w:bCs/>
        </w:rPr>
        <w:t>eurodiversity</w:t>
      </w:r>
    </w:p>
    <w:p w14:paraId="3EFC6B96" w14:textId="77777777" w:rsidR="007C7CE4" w:rsidRPr="001903F2" w:rsidRDefault="007C7CE4" w:rsidP="007C7CE4">
      <w:pPr>
        <w:jc w:val="both"/>
      </w:pPr>
      <w:r w:rsidRPr="001903F2">
        <w:lastRenderedPageBreak/>
        <w:t xml:space="preserve">The Neurodiverse South Toy Collection is a specialised collection of resources available for free borrowing at any branch of South Dublin Libraries. Aiming to provide support for children and adults with neurodiverse needs, learning difficulties, disabilities, or complex needs, the collection includes resources in the categories of core developmental aids, fine motor skills, gross motor skills, language communication and social skills, play and life skills, and sensory and tactile aids. The Neurodiverse South project also includes an annual series of free lectures and workshops. These events offer guidance, support and networking opportunities for parents, teachers, and healthcare professionals. The project adds to a range of measures in our libraries to make them welcoming spaces for all, including regular sensory times, and the provision of Cubbie sensory regulation spaces. For up-to-date details on the Neurodiverse South Project see </w:t>
      </w:r>
      <w:hyperlink r:id="rId10" w:history="1">
        <w:r w:rsidRPr="001903F2">
          <w:rPr>
            <w:rStyle w:val="Hyperlink"/>
          </w:rPr>
          <w:t>www.southdublinlibraries.ie</w:t>
        </w:r>
      </w:hyperlink>
    </w:p>
    <w:p w14:paraId="5B7EBF90" w14:textId="6442364A" w:rsidR="007C7CE4" w:rsidRPr="001903F2" w:rsidRDefault="007C7CE4" w:rsidP="007C7CE4">
      <w:pPr>
        <w:jc w:val="both"/>
        <w:rPr>
          <w:b/>
          <w:bCs/>
        </w:rPr>
      </w:pPr>
      <w:r w:rsidRPr="001903F2">
        <w:rPr>
          <w:b/>
          <w:bCs/>
        </w:rPr>
        <w:t xml:space="preserve">Women in </w:t>
      </w:r>
      <w:r w:rsidR="00814A35">
        <w:rPr>
          <w:b/>
          <w:bCs/>
        </w:rPr>
        <w:t>s</w:t>
      </w:r>
      <w:r w:rsidRPr="001903F2">
        <w:rPr>
          <w:b/>
          <w:bCs/>
        </w:rPr>
        <w:t xml:space="preserve">port </w:t>
      </w:r>
      <w:r w:rsidR="00814A35">
        <w:rPr>
          <w:b/>
          <w:bCs/>
        </w:rPr>
        <w:t>w</w:t>
      </w:r>
      <w:r w:rsidRPr="001903F2">
        <w:rPr>
          <w:b/>
          <w:bCs/>
        </w:rPr>
        <w:t>eek</w:t>
      </w:r>
    </w:p>
    <w:p w14:paraId="2887ED07" w14:textId="77777777" w:rsidR="007C7CE4" w:rsidRPr="001903F2" w:rsidRDefault="007C7CE4" w:rsidP="007C7CE4">
      <w:pPr>
        <w:jc w:val="both"/>
        <w:rPr>
          <w:b/>
          <w:bCs/>
        </w:rPr>
      </w:pPr>
      <w:r w:rsidRPr="001903F2">
        <w:t>Active South Dublin organised an exciting week of activities for Women in Sport Week. This event not only promoted fitness but also emphasizes the importance of women’s involvement in various sports and recreational pursuits. Women in Sport Weeks looks to celebrate, promote, highlight, and encourage women in sport at all levels and in all roles. With a week of free events, come and try classes from dancing, to keep fit or American Football, there was something for all.</w:t>
      </w:r>
    </w:p>
    <w:p w14:paraId="7B4C6ED1" w14:textId="457E4AD1" w:rsidR="007C7CE4" w:rsidRPr="001903F2" w:rsidRDefault="007C7CE4" w:rsidP="007C7CE4">
      <w:pPr>
        <w:jc w:val="both"/>
        <w:rPr>
          <w:b/>
          <w:bCs/>
        </w:rPr>
      </w:pPr>
      <w:proofErr w:type="gramStart"/>
      <w:r w:rsidRPr="001903F2">
        <w:rPr>
          <w:b/>
          <w:bCs/>
        </w:rPr>
        <w:t xml:space="preserve">International </w:t>
      </w:r>
      <w:r w:rsidR="00814A35">
        <w:rPr>
          <w:b/>
          <w:bCs/>
        </w:rPr>
        <w:t>w</w:t>
      </w:r>
      <w:r w:rsidRPr="001903F2">
        <w:rPr>
          <w:b/>
          <w:bCs/>
        </w:rPr>
        <w:t xml:space="preserve">omen’s </w:t>
      </w:r>
      <w:r w:rsidR="00814A35">
        <w:rPr>
          <w:b/>
          <w:bCs/>
        </w:rPr>
        <w:t>d</w:t>
      </w:r>
      <w:r w:rsidRPr="001903F2">
        <w:rPr>
          <w:b/>
          <w:bCs/>
        </w:rPr>
        <w:t>ay</w:t>
      </w:r>
      <w:proofErr w:type="gramEnd"/>
    </w:p>
    <w:p w14:paraId="3E4454CB" w14:textId="77777777" w:rsidR="007C7CE4" w:rsidRPr="001903F2" w:rsidRDefault="007C7CE4" w:rsidP="007C7CE4">
      <w:pPr>
        <w:jc w:val="both"/>
      </w:pPr>
      <w:r w:rsidRPr="001903F2">
        <w:t>To celebrate International Women’s Day, South Dublin’s Women’s Caucus held an exhibition in Rua Red on Wednesday 6 March highlighting some of the amazing women from South Dublin who give their time and energy freely to enhance their communities and make them a more inclusive place to live. The initiative, Women of South Dublin, started back in October 2023 when members of the public were invited to nominate inspirational South Dublin women from all walks of life, who show leadership and whose work benefits their communities. The exhibition moved to Tallaght Library until the 15th of March with a digital campaign live for the entire month of March. This digital experience invited you to learn about their stories and how taking small actions within your community can lead to lasting, positive change.</w:t>
      </w:r>
    </w:p>
    <w:p w14:paraId="66871F63" w14:textId="30571D1D" w:rsidR="007C7CE4" w:rsidRPr="001903F2" w:rsidRDefault="007C7CE4" w:rsidP="007C7CE4">
      <w:pPr>
        <w:jc w:val="both"/>
        <w:rPr>
          <w:b/>
          <w:bCs/>
        </w:rPr>
      </w:pPr>
      <w:r w:rsidRPr="001903F2">
        <w:t xml:space="preserve">Our libraries held events to mark International Women’s Day across South Dublin, including workshops and discussions with female leaders, artists, entrepreneurs, and historians of women’s history, aimed to inspire, educate, and spark meaningful dialogue. Tallaght Library hosted Embrace and Empower: a panel discussion with Women’s Collective Ireland Tallaght. Tallaght Library also hosted Count Her In: Brewing Empowerment </w:t>
      </w:r>
      <w:r w:rsidR="0037035F">
        <w:t>and</w:t>
      </w:r>
      <w:r w:rsidRPr="001903F2">
        <w:t xml:space="preserve"> Celebrating Women - an International Women’s Day afternoon tea party with social entrepreneur, author and TEDx speaker Debbie Deegan. At </w:t>
      </w:r>
      <w:proofErr w:type="spellStart"/>
      <w:r w:rsidRPr="001903F2">
        <w:t>Castletymon</w:t>
      </w:r>
      <w:proofErr w:type="spellEnd"/>
      <w:r w:rsidRPr="001903F2">
        <w:t xml:space="preserve"> and </w:t>
      </w:r>
      <w:proofErr w:type="spellStart"/>
      <w:r w:rsidRPr="001903F2">
        <w:t>Ballyroan</w:t>
      </w:r>
      <w:proofErr w:type="spellEnd"/>
      <w:r w:rsidRPr="001903F2">
        <w:t xml:space="preserve"> Libraries, there was a focus on women’s history, including a forum on the status of women in independent Ireland. North Clondalkin Library hosted </w:t>
      </w:r>
      <w:proofErr w:type="gramStart"/>
      <w:r w:rsidRPr="001903F2">
        <w:t>Hear</w:t>
      </w:r>
      <w:proofErr w:type="gramEnd"/>
      <w:r w:rsidRPr="001903F2">
        <w:t xml:space="preserve"> my Voice, a music and open mic spoken word event led by Kilkenny born singer, songwriter, poet and folk musician, Bríd Lyons. For this event, the focus was on female </w:t>
      </w:r>
      <w:r w:rsidRPr="001903F2">
        <w:lastRenderedPageBreak/>
        <w:t>songwriters and poets, and members of the public were invited to share their own poems and prose</w:t>
      </w:r>
    </w:p>
    <w:p w14:paraId="77CEE539" w14:textId="044892F7" w:rsidR="007C7CE4" w:rsidRPr="001903F2" w:rsidRDefault="007C7CE4" w:rsidP="007C7CE4">
      <w:pPr>
        <w:jc w:val="both"/>
        <w:rPr>
          <w:b/>
          <w:bCs/>
        </w:rPr>
      </w:pPr>
      <w:r w:rsidRPr="001903F2">
        <w:rPr>
          <w:b/>
          <w:bCs/>
        </w:rPr>
        <w:t>South Dublin Women’s Caucus</w:t>
      </w:r>
    </w:p>
    <w:p w14:paraId="573CB191" w14:textId="77777777" w:rsidR="007C7CE4" w:rsidRPr="001903F2" w:rsidRDefault="007C7CE4" w:rsidP="007C7CE4">
      <w:pPr>
        <w:jc w:val="both"/>
      </w:pPr>
      <w:r w:rsidRPr="001903F2">
        <w:t>The first meeting of the Women’s Caucus following the local elections took place on Thursday 26th of September in the Council Chamber with new members joining their colleagues for the first time. The Women’s Caucus is apolitical and open to current and past female Councillors with the aim of increasing women’s engagement and representation in local politics.</w:t>
      </w:r>
    </w:p>
    <w:p w14:paraId="7923E6C5" w14:textId="2F347A7E" w:rsidR="007C7CE4" w:rsidRPr="001903F2" w:rsidRDefault="007C7CE4" w:rsidP="007C7CE4">
      <w:pPr>
        <w:jc w:val="both"/>
        <w:rPr>
          <w:b/>
          <w:bCs/>
        </w:rPr>
      </w:pPr>
      <w:r w:rsidRPr="001903F2">
        <w:rPr>
          <w:b/>
          <w:bCs/>
        </w:rPr>
        <w:t xml:space="preserve">South Dublin County Council – </w:t>
      </w:r>
      <w:r w:rsidR="00814A35">
        <w:rPr>
          <w:b/>
          <w:bCs/>
        </w:rPr>
        <w:t>m</w:t>
      </w:r>
      <w:r w:rsidRPr="001903F2">
        <w:rPr>
          <w:b/>
          <w:bCs/>
        </w:rPr>
        <w:t xml:space="preserve">ajority </w:t>
      </w:r>
      <w:r w:rsidR="00814A35">
        <w:rPr>
          <w:b/>
          <w:bCs/>
        </w:rPr>
        <w:t>f</w:t>
      </w:r>
      <w:r w:rsidRPr="001903F2">
        <w:rPr>
          <w:b/>
          <w:bCs/>
        </w:rPr>
        <w:t xml:space="preserve">emale </w:t>
      </w:r>
      <w:r w:rsidR="00814A35">
        <w:rPr>
          <w:b/>
          <w:bCs/>
        </w:rPr>
        <w:t>m</w:t>
      </w:r>
      <w:r w:rsidRPr="001903F2">
        <w:rPr>
          <w:b/>
          <w:bCs/>
        </w:rPr>
        <w:t>embership</w:t>
      </w:r>
    </w:p>
    <w:p w14:paraId="71591D0F" w14:textId="77777777" w:rsidR="007C7CE4" w:rsidRPr="001903F2" w:rsidRDefault="007C7CE4" w:rsidP="007C7CE4">
      <w:pPr>
        <w:jc w:val="both"/>
      </w:pPr>
      <w:r w:rsidRPr="001903F2">
        <w:t xml:space="preserve">Following the General Election in November which resulted in three South Dublin County Councillors being elected to Dáil Éireann, three new Councillors, Cllr. Paddy Cosgrave (Labour), Cllr. Jacqueline Sheehy (Fianna </w:t>
      </w:r>
      <w:proofErr w:type="spellStart"/>
      <w:r w:rsidRPr="001903F2">
        <w:t>Fáil</w:t>
      </w:r>
      <w:proofErr w:type="spellEnd"/>
      <w:r w:rsidRPr="001903F2">
        <w:t xml:space="preserve">) and Cllr. Helen Farrell (Independent) </w:t>
      </w:r>
      <w:proofErr w:type="gramStart"/>
      <w:r w:rsidRPr="001903F2">
        <w:t>were</w:t>
      </w:r>
      <w:proofErr w:type="gramEnd"/>
      <w:r w:rsidRPr="001903F2">
        <w:t xml:space="preserve"> co-opted at a Special Meeting of the Council on 19th December. With the addition of Councillors Farrell and Sheehy, South Dublin County Council became the first Council in the history of the State to have majority female membership, with 21 women representing 52.5% of the Council. </w:t>
      </w:r>
    </w:p>
    <w:p w14:paraId="1B76ADF1" w14:textId="641384D8" w:rsidR="007C7CE4" w:rsidRPr="001903F2" w:rsidRDefault="007C7CE4" w:rsidP="007C7CE4">
      <w:pPr>
        <w:jc w:val="both"/>
        <w:rPr>
          <w:b/>
          <w:bCs/>
        </w:rPr>
      </w:pPr>
      <w:r w:rsidRPr="001903F2">
        <w:rPr>
          <w:b/>
          <w:bCs/>
        </w:rPr>
        <w:t xml:space="preserve">International </w:t>
      </w:r>
      <w:r w:rsidR="00814A35">
        <w:rPr>
          <w:b/>
          <w:bCs/>
        </w:rPr>
        <w:t>m</w:t>
      </w:r>
      <w:r w:rsidRPr="001903F2">
        <w:rPr>
          <w:b/>
          <w:bCs/>
        </w:rPr>
        <w:t xml:space="preserve">en’s </w:t>
      </w:r>
      <w:r w:rsidR="00814A35">
        <w:rPr>
          <w:b/>
          <w:bCs/>
        </w:rPr>
        <w:t>d</w:t>
      </w:r>
      <w:r w:rsidRPr="001903F2">
        <w:rPr>
          <w:b/>
          <w:bCs/>
        </w:rPr>
        <w:t>ay</w:t>
      </w:r>
    </w:p>
    <w:p w14:paraId="32FBA95B" w14:textId="77777777" w:rsidR="007C7CE4" w:rsidRPr="001903F2" w:rsidRDefault="007C7CE4" w:rsidP="007C7CE4">
      <w:pPr>
        <w:jc w:val="both"/>
      </w:pPr>
      <w:r w:rsidRPr="001903F2">
        <w:t>International Men’s Day took place on November 19th, 2024. In recognition of this, the Council highlighted the importance of creating awareness and open discussions about men’s health. The Marie Keating Foundation held a Men’s Health webinar on Tuesday November 12th for all staff. The aim of this workshop is to increase knowledge on the most common cancers that affect men. It contained information about the signs and symptoms of these cancer types and how to spot symptoms in addition to information on how men can reduce their risk of these common cancers.</w:t>
      </w:r>
    </w:p>
    <w:p w14:paraId="4B25F6A7" w14:textId="1BA4CFB2" w:rsidR="007C7CE4" w:rsidRPr="001903F2" w:rsidRDefault="007C7CE4" w:rsidP="007C7CE4">
      <w:pPr>
        <w:jc w:val="both"/>
        <w:rPr>
          <w:b/>
          <w:bCs/>
        </w:rPr>
      </w:pPr>
      <w:r w:rsidRPr="001903F2">
        <w:rPr>
          <w:b/>
          <w:bCs/>
        </w:rPr>
        <w:t xml:space="preserve">Gender </w:t>
      </w:r>
      <w:proofErr w:type="gramStart"/>
      <w:r w:rsidR="00814A35">
        <w:rPr>
          <w:b/>
          <w:bCs/>
        </w:rPr>
        <w:t>p</w:t>
      </w:r>
      <w:r w:rsidRPr="001903F2">
        <w:rPr>
          <w:b/>
          <w:bCs/>
        </w:rPr>
        <w:t>ay</w:t>
      </w:r>
      <w:proofErr w:type="gramEnd"/>
      <w:r w:rsidRPr="001903F2">
        <w:rPr>
          <w:b/>
          <w:bCs/>
        </w:rPr>
        <w:t xml:space="preserve"> </w:t>
      </w:r>
      <w:r w:rsidR="00814A35">
        <w:rPr>
          <w:b/>
          <w:bCs/>
        </w:rPr>
        <w:t>g</w:t>
      </w:r>
      <w:r w:rsidRPr="001903F2">
        <w:rPr>
          <w:b/>
          <w:bCs/>
        </w:rPr>
        <w:t xml:space="preserve">ap </w:t>
      </w:r>
      <w:r w:rsidR="00814A35">
        <w:rPr>
          <w:b/>
          <w:bCs/>
        </w:rPr>
        <w:t>r</w:t>
      </w:r>
      <w:r w:rsidRPr="001903F2">
        <w:rPr>
          <w:b/>
          <w:bCs/>
        </w:rPr>
        <w:t>eport</w:t>
      </w:r>
    </w:p>
    <w:p w14:paraId="0A74306D" w14:textId="77777777" w:rsidR="007C7CE4" w:rsidRDefault="007C7CE4" w:rsidP="007C7CE4">
      <w:pPr>
        <w:jc w:val="both"/>
      </w:pPr>
      <w:r w:rsidRPr="001903F2">
        <w:t>South Dublin County Council published its third annual Gender Pay Gap Report, highlighting the percentage difference between what men and women are paid on average in the organisation, irrespective of roles or levels. Our 2024 report shows a Gender Pay Gap of -9.77%. This figure reflects the fact that the average earnings of all females in South Dublin County Council is 9.77% higher than the average earnings of all males in the organisation</w:t>
      </w:r>
      <w:r>
        <w:t>.</w:t>
      </w:r>
    </w:p>
    <w:p w14:paraId="3F256CE8" w14:textId="77777777" w:rsidR="00B05FD3" w:rsidRDefault="007C7CE4" w:rsidP="007C7CE4">
      <w:pPr>
        <w:jc w:val="both"/>
        <w:rPr>
          <w:b/>
          <w:bCs/>
        </w:rPr>
      </w:pPr>
      <w:r w:rsidRPr="001903F2">
        <w:rPr>
          <w:b/>
          <w:bCs/>
        </w:rPr>
        <w:t>EU Access Cities Award</w:t>
      </w:r>
    </w:p>
    <w:p w14:paraId="0E87D781" w14:textId="19CFC358" w:rsidR="007C7CE4" w:rsidRPr="001903F2" w:rsidRDefault="007C7CE4" w:rsidP="007C7CE4">
      <w:pPr>
        <w:jc w:val="both"/>
      </w:pPr>
      <w:r w:rsidRPr="001903F2">
        <w:t>The Access City Award has been created by the European Commission to reward cities that have prioritised accessibility for persons with disabilities. Accessible spaces – both physical and virtual – are the first step to equality. If persons with disabilities cannot access transportation, shops, parks, websites and so on, they cannot make their own choices and take control of their lives. South Dublin County Council was awarded the Special Mention Award for Landscape and Playground Areas at the event which was held in Brussels for our work on developing accessible play spaces in the County.</w:t>
      </w:r>
    </w:p>
    <w:p w14:paraId="30281AD5" w14:textId="77777777" w:rsidR="00B05FD3" w:rsidRDefault="007C7CE4" w:rsidP="007C7CE4">
      <w:pPr>
        <w:jc w:val="both"/>
        <w:rPr>
          <w:b/>
          <w:bCs/>
        </w:rPr>
      </w:pPr>
      <w:r w:rsidRPr="001903F2">
        <w:rPr>
          <w:b/>
          <w:bCs/>
        </w:rPr>
        <w:lastRenderedPageBreak/>
        <w:t>Literacy friendly local authority</w:t>
      </w:r>
    </w:p>
    <w:p w14:paraId="51837B75" w14:textId="1CC096E4" w:rsidR="007C7CE4" w:rsidRDefault="007C7CE4" w:rsidP="007C7CE4">
      <w:pPr>
        <w:jc w:val="both"/>
      </w:pPr>
      <w:r w:rsidRPr="001903F2">
        <w:t xml:space="preserve">Council documents were plain </w:t>
      </w:r>
      <w:proofErr w:type="gramStart"/>
      <w:r w:rsidRPr="001903F2">
        <w:t>English</w:t>
      </w:r>
      <w:proofErr w:type="gramEnd"/>
      <w:r w:rsidRPr="001903F2">
        <w:t xml:space="preserve"> and equality proofed including text for various webpages, Senior Management Team Plan, the Council’s 202</w:t>
      </w:r>
      <w:r>
        <w:t>3</w:t>
      </w:r>
      <w:r w:rsidRPr="001903F2">
        <w:t xml:space="preserve"> Annual Report, recruitment documents, draft Climate Change Action Plan, Health and Safety related policies and notices, various staff policies, and the South Dublin Today and South Circular newslette</w:t>
      </w:r>
      <w:r>
        <w:t>r.</w:t>
      </w:r>
    </w:p>
    <w:p w14:paraId="56469C86" w14:textId="79243954" w:rsidR="009736E4" w:rsidRDefault="009736E4">
      <w:pPr>
        <w:rPr>
          <w:rFonts w:asciiTheme="majorHAnsi" w:eastAsiaTheme="majorEastAsia" w:hAnsiTheme="majorHAnsi" w:cstheme="majorBidi"/>
          <w:color w:val="0F4761" w:themeColor="accent1" w:themeShade="BF"/>
          <w:sz w:val="40"/>
          <w:szCs w:val="40"/>
        </w:rPr>
      </w:pPr>
      <w:r>
        <w:br w:type="page"/>
      </w:r>
    </w:p>
    <w:p w14:paraId="6C376976" w14:textId="4A007C1C" w:rsidR="003A3352" w:rsidRDefault="003A3352" w:rsidP="003A3352">
      <w:pPr>
        <w:pStyle w:val="Heading1"/>
      </w:pPr>
      <w:bookmarkStart w:id="69" w:name="_Toc199244565"/>
      <w:r>
        <w:lastRenderedPageBreak/>
        <w:t>Progress under the Official Languages Act and Irish Language Legislation</w:t>
      </w:r>
      <w:bookmarkEnd w:id="69"/>
    </w:p>
    <w:p w14:paraId="24D5C563" w14:textId="77777777" w:rsidR="003A3352" w:rsidRPr="00A45EAB" w:rsidRDefault="003A3352" w:rsidP="003A3352"/>
    <w:p w14:paraId="380221A2" w14:textId="36C7AFD5" w:rsidR="003A3352" w:rsidRPr="00A45EAB" w:rsidRDefault="003A3352" w:rsidP="006B1FA9">
      <w:pPr>
        <w:ind w:left="48"/>
        <w:rPr>
          <w:lang w:val="en-GB"/>
        </w:rPr>
      </w:pPr>
      <w:r w:rsidRPr="00A45EAB">
        <w:rPr>
          <w:lang w:val="en-GB"/>
        </w:rPr>
        <w:t xml:space="preserve">Appointment of </w:t>
      </w:r>
      <w:r w:rsidR="00833FEA">
        <w:rPr>
          <w:lang w:val="en-GB"/>
        </w:rPr>
        <w:t xml:space="preserve">a </w:t>
      </w:r>
      <w:r w:rsidRPr="00A45EAB">
        <w:rPr>
          <w:lang w:val="en-GB"/>
        </w:rPr>
        <w:t>new Irish Language Officer in March 2024</w:t>
      </w:r>
    </w:p>
    <w:p w14:paraId="44D1264F" w14:textId="651839E3" w:rsidR="003A3352" w:rsidRPr="00A45EAB" w:rsidRDefault="003A3352" w:rsidP="006B1FA9">
      <w:pPr>
        <w:ind w:left="48"/>
        <w:rPr>
          <w:lang w:val="en-GB"/>
        </w:rPr>
      </w:pPr>
      <w:r w:rsidRPr="00A45EAB">
        <w:rPr>
          <w:lang w:val="en-GB"/>
        </w:rPr>
        <w:t xml:space="preserve">In 2024, a total of </w:t>
      </w:r>
      <w:r w:rsidR="00E24F07">
        <w:rPr>
          <w:lang w:val="en-GB"/>
        </w:rPr>
        <w:t>6</w:t>
      </w:r>
      <w:r w:rsidRPr="00A45EAB">
        <w:rPr>
          <w:lang w:val="en-GB"/>
        </w:rPr>
        <w:t xml:space="preserve"> complaints received from An </w:t>
      </w:r>
      <w:proofErr w:type="spellStart"/>
      <w:r w:rsidRPr="00A45EAB">
        <w:rPr>
          <w:lang w:val="en-GB"/>
        </w:rPr>
        <w:t>Coimisinéir</w:t>
      </w:r>
      <w:proofErr w:type="spellEnd"/>
      <w:r w:rsidRPr="00A45EAB">
        <w:rPr>
          <w:lang w:val="en-GB"/>
        </w:rPr>
        <w:t xml:space="preserve"> </w:t>
      </w:r>
      <w:proofErr w:type="spellStart"/>
      <w:r w:rsidRPr="00A45EAB">
        <w:rPr>
          <w:lang w:val="en-GB"/>
        </w:rPr>
        <w:t>Teanga</w:t>
      </w:r>
      <w:proofErr w:type="spellEnd"/>
      <w:r w:rsidRPr="00A45EAB">
        <w:rPr>
          <w:lang w:val="en-GB"/>
        </w:rPr>
        <w:t xml:space="preserve"> (Irish Language Commissioner) were resolved, including 2 complaints carried forward from 2023. These complaints related to signage.</w:t>
      </w:r>
      <w:r w:rsidR="00E24F07">
        <w:rPr>
          <w:lang w:val="en-GB"/>
        </w:rPr>
        <w:t xml:space="preserve"> </w:t>
      </w:r>
      <w:r w:rsidR="00E24F07" w:rsidRPr="00E24F07">
        <w:rPr>
          <w:lang w:val="en-GB"/>
        </w:rPr>
        <w:t>2 additional complaints received in 2024 are in process and have been carried forward to 202</w:t>
      </w:r>
      <w:r w:rsidR="00E24F07">
        <w:rPr>
          <w:lang w:val="en-GB"/>
        </w:rPr>
        <w:t>5.</w:t>
      </w:r>
    </w:p>
    <w:p w14:paraId="26B7721A" w14:textId="77777777" w:rsidR="003A3352" w:rsidRPr="00A45EAB" w:rsidRDefault="003A3352" w:rsidP="006B1FA9">
      <w:pPr>
        <w:ind w:left="48"/>
        <w:rPr>
          <w:lang w:val="en-GB"/>
        </w:rPr>
      </w:pPr>
      <w:r w:rsidRPr="00A45EAB">
        <w:rPr>
          <w:lang w:val="en-GB"/>
        </w:rPr>
        <w:t>Public bodies are obliged to place 20% of their annual advertising in Irish, while 5% of all advertising spend to be placed in Irish language media only.  Reporting on 2024 performance is due for submission in 2025.</w:t>
      </w:r>
    </w:p>
    <w:p w14:paraId="66A11B45" w14:textId="77777777" w:rsidR="003A3352" w:rsidRPr="00A45EAB" w:rsidRDefault="003A3352" w:rsidP="006B1FA9">
      <w:pPr>
        <w:ind w:left="48"/>
        <w:rPr>
          <w:lang w:val="en-GB"/>
        </w:rPr>
      </w:pPr>
      <w:r w:rsidRPr="00A45EAB">
        <w:rPr>
          <w:lang w:val="en-GB"/>
        </w:rPr>
        <w:t>Educational material and compliance guidance for meeting advertising requirements developed and circulated via staff intranet.</w:t>
      </w:r>
    </w:p>
    <w:p w14:paraId="4DA01F60" w14:textId="77777777" w:rsidR="003A3352" w:rsidRPr="00A45EAB" w:rsidRDefault="003A3352" w:rsidP="006B1FA9">
      <w:pPr>
        <w:ind w:left="48"/>
        <w:rPr>
          <w:lang w:val="en-GB"/>
        </w:rPr>
      </w:pPr>
      <w:r w:rsidRPr="00A45EAB">
        <w:rPr>
          <w:lang w:val="en-GB"/>
        </w:rPr>
        <w:t xml:space="preserve">Recommendation received from An </w:t>
      </w:r>
      <w:proofErr w:type="spellStart"/>
      <w:r w:rsidRPr="00A45EAB">
        <w:rPr>
          <w:lang w:val="en-GB"/>
        </w:rPr>
        <w:t>Coimisinéir</w:t>
      </w:r>
      <w:proofErr w:type="spellEnd"/>
      <w:r w:rsidRPr="00A45EAB">
        <w:rPr>
          <w:lang w:val="en-GB"/>
        </w:rPr>
        <w:t xml:space="preserve"> </w:t>
      </w:r>
      <w:proofErr w:type="spellStart"/>
      <w:r w:rsidRPr="00A45EAB">
        <w:rPr>
          <w:lang w:val="en-GB"/>
        </w:rPr>
        <w:t>Teanga</w:t>
      </w:r>
      <w:proofErr w:type="spellEnd"/>
      <w:r w:rsidRPr="00A45EAB">
        <w:rPr>
          <w:lang w:val="en-GB"/>
        </w:rPr>
        <w:t xml:space="preserve"> to review the organisational practices SDCC operates to ensure compliance with subsections 10(b) and 10(c) of the Official Languages </w:t>
      </w:r>
      <w:r w:rsidRPr="00A45EAB">
        <w:rPr>
          <w:rFonts w:ascii="Arial" w:hAnsi="Arial" w:cs="Arial"/>
          <w:lang w:val="en-GB"/>
        </w:rPr>
        <w:t>​​</w:t>
      </w:r>
      <w:r w:rsidRPr="00A45EAB">
        <w:rPr>
          <w:lang w:val="en-GB"/>
        </w:rPr>
        <w:t>Act 2003 in future.</w:t>
      </w:r>
    </w:p>
    <w:p w14:paraId="12E082A4" w14:textId="77777777" w:rsidR="003A3352" w:rsidRPr="00A45EAB" w:rsidRDefault="003A3352" w:rsidP="006B1FA9">
      <w:pPr>
        <w:ind w:left="48"/>
        <w:rPr>
          <w:lang w:val="en-GB"/>
        </w:rPr>
      </w:pPr>
      <w:r w:rsidRPr="00A45EAB">
        <w:rPr>
          <w:lang w:val="en-GB"/>
        </w:rPr>
        <w:t xml:space="preserve">The final provisions of the Official Languages Act (Amendment) 2021 came into effect on 21 December 2024. SDCC will continue to engage with An </w:t>
      </w:r>
      <w:proofErr w:type="spellStart"/>
      <w:r w:rsidRPr="00A45EAB">
        <w:rPr>
          <w:lang w:val="en-GB"/>
        </w:rPr>
        <w:t>Coimisinéir</w:t>
      </w:r>
      <w:proofErr w:type="spellEnd"/>
      <w:r w:rsidRPr="00A45EAB">
        <w:rPr>
          <w:lang w:val="en-GB"/>
        </w:rPr>
        <w:t xml:space="preserve"> </w:t>
      </w:r>
      <w:proofErr w:type="spellStart"/>
      <w:r w:rsidRPr="00A45EAB">
        <w:rPr>
          <w:lang w:val="en-GB"/>
        </w:rPr>
        <w:t>Teanga</w:t>
      </w:r>
      <w:proofErr w:type="spellEnd"/>
      <w:r w:rsidRPr="00A45EAB">
        <w:rPr>
          <w:lang w:val="en-GB"/>
        </w:rPr>
        <w:t xml:space="preserve"> and the Department regarding Irish language services and legislation.</w:t>
      </w:r>
    </w:p>
    <w:p w14:paraId="1417B2EA" w14:textId="77777777" w:rsidR="003A3352" w:rsidRDefault="003A3352">
      <w:pPr>
        <w:rPr>
          <w:rFonts w:asciiTheme="majorHAnsi" w:eastAsiaTheme="majorEastAsia" w:hAnsiTheme="majorHAnsi" w:cstheme="majorBidi"/>
          <w:color w:val="0F4761" w:themeColor="accent1" w:themeShade="BF"/>
          <w:sz w:val="40"/>
          <w:szCs w:val="40"/>
        </w:rPr>
      </w:pPr>
      <w:r>
        <w:br w:type="page"/>
      </w:r>
    </w:p>
    <w:p w14:paraId="5742A179" w14:textId="66DF272E" w:rsidR="001740C1" w:rsidRDefault="001740C1" w:rsidP="00B60676">
      <w:pPr>
        <w:pStyle w:val="Heading1"/>
        <w:jc w:val="both"/>
      </w:pPr>
      <w:bookmarkStart w:id="70" w:name="_Toc199244566"/>
      <w:r>
        <w:lastRenderedPageBreak/>
        <w:t>Council Awards</w:t>
      </w:r>
      <w:r w:rsidR="00871415">
        <w:t xml:space="preserve"> </w:t>
      </w:r>
      <w:r w:rsidR="00833FEA">
        <w:t>and</w:t>
      </w:r>
      <w:r w:rsidR="00871415">
        <w:t xml:space="preserve"> Achievements</w:t>
      </w:r>
      <w:r>
        <w:t xml:space="preserve"> </w:t>
      </w:r>
      <w:r w:rsidR="00833FEA">
        <w:t xml:space="preserve">in </w:t>
      </w:r>
      <w:r>
        <w:t>202</w:t>
      </w:r>
      <w:r w:rsidR="00871415">
        <w:t>4</w:t>
      </w:r>
      <w:bookmarkEnd w:id="70"/>
    </w:p>
    <w:p w14:paraId="1E7C4978" w14:textId="2E6CA593" w:rsidR="002B13EE" w:rsidRPr="00B60676" w:rsidRDefault="002B13EE" w:rsidP="002B13EE">
      <w:pPr>
        <w:jc w:val="both"/>
        <w:rPr>
          <w:b/>
          <w:bCs/>
        </w:rPr>
      </w:pPr>
      <w:r w:rsidRPr="00B60676">
        <w:rPr>
          <w:b/>
          <w:bCs/>
        </w:rPr>
        <w:t>First Council in History of State with Majority Female Membership</w:t>
      </w:r>
    </w:p>
    <w:p w14:paraId="4DAE5527" w14:textId="211B54BE" w:rsidR="002B13EE" w:rsidRDefault="002B13EE" w:rsidP="002B13EE">
      <w:pPr>
        <w:jc w:val="both"/>
      </w:pPr>
      <w:r w:rsidRPr="0033566A">
        <w:t>First Council in Ireland to reach and exceed gender parity. 52.5% women on 40-member Council</w:t>
      </w:r>
    </w:p>
    <w:p w14:paraId="32DDDE94" w14:textId="77777777" w:rsidR="002B13EE" w:rsidRPr="00B60676" w:rsidRDefault="002B13EE" w:rsidP="002B13EE">
      <w:pPr>
        <w:jc w:val="both"/>
        <w:rPr>
          <w:b/>
          <w:bCs/>
        </w:rPr>
      </w:pPr>
      <w:r w:rsidRPr="00B60676">
        <w:rPr>
          <w:b/>
          <w:bCs/>
        </w:rPr>
        <w:t>Tallaght District Heating Scheme Wins Energy Globe Award 2024</w:t>
      </w:r>
    </w:p>
    <w:p w14:paraId="04B09BED" w14:textId="77777777" w:rsidR="002B13EE" w:rsidRDefault="002B13EE" w:rsidP="002B13EE">
      <w:pPr>
        <w:jc w:val="both"/>
      </w:pPr>
      <w:r w:rsidRPr="0033566A">
        <w:t>The Tallaght District Heating Scheme has been awarded the prestigious </w:t>
      </w:r>
      <w:hyperlink r:id="rId11" w:tgtFrame="_blank" w:history="1">
        <w:r w:rsidRPr="0033566A">
          <w:rPr>
            <w:rStyle w:val="Hyperlink"/>
          </w:rPr>
          <w:t>Energy Globe Award 2024</w:t>
        </w:r>
      </w:hyperlink>
      <w:r w:rsidRPr="0033566A">
        <w:t xml:space="preserve"> for Ireland, recognising its significant contribution to sustainable heating and carbon reduction in the Tallaght area. The Energy Globe Award is an environmental prize, awarded to sustainable projects. </w:t>
      </w:r>
      <w:proofErr w:type="spellStart"/>
      <w:r w:rsidRPr="0033566A">
        <w:t>Heatworks</w:t>
      </w:r>
      <w:proofErr w:type="spellEnd"/>
      <w:r w:rsidRPr="0033566A">
        <w:t xml:space="preserve"> will now go forward to represent Ireland at the International Awards Ceremony, held annually in Austria.</w:t>
      </w:r>
    </w:p>
    <w:p w14:paraId="1F4C64B7" w14:textId="77777777" w:rsidR="002B13EE" w:rsidRPr="00B60676" w:rsidRDefault="002B13EE" w:rsidP="002B13EE">
      <w:pPr>
        <w:jc w:val="both"/>
        <w:rPr>
          <w:b/>
          <w:bCs/>
        </w:rPr>
      </w:pPr>
      <w:r w:rsidRPr="00B60676">
        <w:rPr>
          <w:b/>
          <w:bCs/>
        </w:rPr>
        <w:t>Irish Landscape Institute Design Awards</w:t>
      </w:r>
    </w:p>
    <w:p w14:paraId="50C089D6" w14:textId="77777777" w:rsidR="002B13EE" w:rsidRDefault="002B13EE" w:rsidP="002B13EE">
      <w:pPr>
        <w:jc w:val="both"/>
      </w:pPr>
      <w:r w:rsidRPr="0033566A">
        <w:t>South Dublin County Council was recognised for its achievements at the Irish Landscape Institute Design Awards, winning six awards across multiple categories. SDCC took home the top prize in the Built Project – Public Parks category for the newly delivered Tandy’s Lane Park and Airlie Park in Adamstown, with Whitestown Stream Park in Tallaght also highly commended.</w:t>
      </w:r>
    </w:p>
    <w:p w14:paraId="4675D048" w14:textId="77777777" w:rsidR="002B13EE" w:rsidRPr="00B60676" w:rsidRDefault="002B13EE" w:rsidP="002B13EE">
      <w:pPr>
        <w:jc w:val="both"/>
        <w:rPr>
          <w:b/>
          <w:bCs/>
        </w:rPr>
      </w:pPr>
      <w:r w:rsidRPr="00B60676">
        <w:rPr>
          <w:b/>
          <w:bCs/>
        </w:rPr>
        <w:t>National Age Friendly Recognition and Achievement Awards</w:t>
      </w:r>
    </w:p>
    <w:p w14:paraId="27C66BC7" w14:textId="6DEFB3FE" w:rsidR="002B13EE" w:rsidRDefault="002B13EE" w:rsidP="002B13EE">
      <w:pPr>
        <w:jc w:val="both"/>
      </w:pPr>
      <w:r w:rsidRPr="0033566A">
        <w:t>South Dublin County Council’s age friendly housing development at Brady’s Court, Old Bawn, Tallaght has been recognised in the 2024 National Age Friendly Recognition and Achievement Awards winning in the Housing Award category.</w:t>
      </w:r>
    </w:p>
    <w:p w14:paraId="5B4A5FE4" w14:textId="1918B95E" w:rsidR="002B13EE" w:rsidRPr="00B60676" w:rsidRDefault="002B13EE" w:rsidP="002B13EE">
      <w:pPr>
        <w:jc w:val="both"/>
        <w:rPr>
          <w:b/>
          <w:bCs/>
        </w:rPr>
      </w:pPr>
      <w:r w:rsidRPr="00B60676">
        <w:rPr>
          <w:b/>
          <w:bCs/>
        </w:rPr>
        <w:t>Over €1.1m allocated to 28 Projects under the Community Climate Action Programme</w:t>
      </w:r>
    </w:p>
    <w:p w14:paraId="35678D95" w14:textId="1FD90605" w:rsidR="002B13EE" w:rsidRPr="009736E4" w:rsidRDefault="002B13EE" w:rsidP="00B60676">
      <w:pPr>
        <w:jc w:val="both"/>
      </w:pPr>
      <w:r w:rsidRPr="0033566A">
        <w:t>As part of the call for Sports Capital Grant funding in 2023, 31 applications were made for new and upgraded facilities in SDCC’s parks and open spaces. SDCC have recently received notice that all grants applied for facilities in our parks and open spaces have been granted. The projects cross a wide variety of sports and range from small scale to large scale projects.</w:t>
      </w:r>
    </w:p>
    <w:p w14:paraId="6AFDD6F1" w14:textId="489C75FF" w:rsidR="0033566A" w:rsidRPr="00B60676" w:rsidRDefault="0033566A" w:rsidP="00B60676">
      <w:pPr>
        <w:jc w:val="both"/>
        <w:rPr>
          <w:b/>
          <w:bCs/>
        </w:rPr>
      </w:pPr>
      <w:r w:rsidRPr="00B60676">
        <w:rPr>
          <w:b/>
          <w:bCs/>
        </w:rPr>
        <w:t>Five South Dublin Parks receive Green Flag Award</w:t>
      </w:r>
    </w:p>
    <w:p w14:paraId="272BDBC1" w14:textId="77777777" w:rsidR="0033566A" w:rsidRDefault="0033566A" w:rsidP="00B60676">
      <w:pPr>
        <w:jc w:val="both"/>
      </w:pPr>
      <w:r w:rsidRPr="0033566A">
        <w:t xml:space="preserve">The parks honoured with Green Flags are </w:t>
      </w:r>
      <w:proofErr w:type="spellStart"/>
      <w:r w:rsidRPr="0033566A">
        <w:t>Waterstown</w:t>
      </w:r>
      <w:proofErr w:type="spellEnd"/>
      <w:r w:rsidRPr="0033566A">
        <w:t xml:space="preserve"> Park, Sean Walsh Park, Tymon Park, </w:t>
      </w:r>
      <w:proofErr w:type="spellStart"/>
      <w:r w:rsidRPr="0033566A">
        <w:t>Corkagh</w:t>
      </w:r>
      <w:proofErr w:type="spellEnd"/>
      <w:r w:rsidRPr="0033566A">
        <w:t xml:space="preserve"> Park, and Rathfarnham Castle Park. </w:t>
      </w:r>
    </w:p>
    <w:p w14:paraId="78559AA7" w14:textId="7D1875D0" w:rsidR="002B13EE" w:rsidRPr="00B60676" w:rsidRDefault="002B13EE" w:rsidP="002B13EE">
      <w:pPr>
        <w:jc w:val="both"/>
        <w:rPr>
          <w:b/>
          <w:bCs/>
        </w:rPr>
      </w:pPr>
      <w:r w:rsidRPr="00B60676">
        <w:rPr>
          <w:b/>
          <w:bCs/>
        </w:rPr>
        <w:t>Excellence in Local Government Awards</w:t>
      </w:r>
    </w:p>
    <w:p w14:paraId="071AE04C" w14:textId="23B3AA8C" w:rsidR="002B13EE" w:rsidRPr="0033566A" w:rsidRDefault="002B13EE" w:rsidP="002B13EE">
      <w:pPr>
        <w:jc w:val="both"/>
      </w:pPr>
      <w:r w:rsidRPr="0033566A">
        <w:t xml:space="preserve">South Dublin County Council was shortlisted for </w:t>
      </w:r>
      <w:r>
        <w:t xml:space="preserve">nine </w:t>
      </w:r>
      <w:r w:rsidRPr="0033566A">
        <w:t>projects:</w:t>
      </w:r>
    </w:p>
    <w:p w14:paraId="2D1B7F2E" w14:textId="77777777" w:rsidR="002B13EE" w:rsidRPr="0033566A" w:rsidRDefault="002B13EE" w:rsidP="002B13EE">
      <w:pPr>
        <w:pStyle w:val="ListParagraph"/>
        <w:numPr>
          <w:ilvl w:val="0"/>
          <w:numId w:val="5"/>
        </w:numPr>
        <w:jc w:val="both"/>
      </w:pPr>
      <w:r w:rsidRPr="0033566A">
        <w:t>New Urban Squares and Linear Park for Tallaght in Urban Revival</w:t>
      </w:r>
    </w:p>
    <w:p w14:paraId="12EACAB3" w14:textId="77777777" w:rsidR="002B13EE" w:rsidRPr="0033566A" w:rsidRDefault="002B13EE" w:rsidP="002B13EE">
      <w:pPr>
        <w:pStyle w:val="ListParagraph"/>
        <w:numPr>
          <w:ilvl w:val="0"/>
          <w:numId w:val="5"/>
        </w:numPr>
        <w:jc w:val="both"/>
      </w:pPr>
      <w:r w:rsidRPr="0033566A">
        <w:t>Mini Woodland Scheme in South Dublin in Climate Change</w:t>
      </w:r>
    </w:p>
    <w:p w14:paraId="546EF757" w14:textId="77777777" w:rsidR="002B13EE" w:rsidRPr="0033566A" w:rsidRDefault="002B13EE" w:rsidP="002B13EE">
      <w:pPr>
        <w:pStyle w:val="ListParagraph"/>
        <w:numPr>
          <w:ilvl w:val="0"/>
          <w:numId w:val="5"/>
        </w:numPr>
        <w:jc w:val="both"/>
      </w:pPr>
      <w:r w:rsidRPr="0033566A">
        <w:t>Women of South Dublin in Communications</w:t>
      </w:r>
    </w:p>
    <w:p w14:paraId="401394EE" w14:textId="1A3A8F5F" w:rsidR="002B13EE" w:rsidRPr="0033566A" w:rsidRDefault="002B13EE" w:rsidP="002B13EE">
      <w:pPr>
        <w:pStyle w:val="ListParagraph"/>
        <w:numPr>
          <w:ilvl w:val="0"/>
          <w:numId w:val="5"/>
        </w:numPr>
        <w:jc w:val="both"/>
      </w:pPr>
      <w:proofErr w:type="spellStart"/>
      <w:r w:rsidRPr="0033566A">
        <w:t>Teenspace</w:t>
      </w:r>
      <w:proofErr w:type="spellEnd"/>
      <w:r w:rsidRPr="0033566A">
        <w:t xml:space="preserve"> Programme Review in Diversity </w:t>
      </w:r>
      <w:r w:rsidR="0037035F">
        <w:t>and</w:t>
      </w:r>
      <w:r w:rsidRPr="0033566A">
        <w:t xml:space="preserve"> Inclusion</w:t>
      </w:r>
    </w:p>
    <w:p w14:paraId="4A453D83" w14:textId="77777777" w:rsidR="002B13EE" w:rsidRPr="0033566A" w:rsidRDefault="002B13EE" w:rsidP="002B13EE">
      <w:pPr>
        <w:pStyle w:val="ListParagraph"/>
        <w:numPr>
          <w:ilvl w:val="0"/>
          <w:numId w:val="5"/>
        </w:numPr>
        <w:jc w:val="both"/>
      </w:pPr>
      <w:r w:rsidRPr="0033566A">
        <w:t>South Dublin Community Public Services Day in Festival of the Year</w:t>
      </w:r>
    </w:p>
    <w:p w14:paraId="5D559644" w14:textId="77777777" w:rsidR="002B13EE" w:rsidRPr="0033566A" w:rsidRDefault="002B13EE" w:rsidP="002B13EE">
      <w:pPr>
        <w:pStyle w:val="ListParagraph"/>
        <w:numPr>
          <w:ilvl w:val="0"/>
          <w:numId w:val="5"/>
        </w:numPr>
        <w:jc w:val="both"/>
      </w:pPr>
      <w:proofErr w:type="spellStart"/>
      <w:r w:rsidRPr="0033566A">
        <w:lastRenderedPageBreak/>
        <w:t>Saggart</w:t>
      </w:r>
      <w:proofErr w:type="spellEnd"/>
      <w:r w:rsidRPr="0033566A">
        <w:t xml:space="preserve"> Schoolhouse Community Centre in Heritage and Built Environment</w:t>
      </w:r>
    </w:p>
    <w:p w14:paraId="37729A14" w14:textId="77777777" w:rsidR="002B13EE" w:rsidRPr="0033566A" w:rsidRDefault="002B13EE" w:rsidP="002B13EE">
      <w:pPr>
        <w:pStyle w:val="ListParagraph"/>
        <w:numPr>
          <w:ilvl w:val="0"/>
          <w:numId w:val="5"/>
        </w:numPr>
        <w:jc w:val="both"/>
      </w:pPr>
      <w:r w:rsidRPr="0033566A">
        <w:t>Library Labs: STEAM at South Dublin Libraries in Local Authority Innovation</w:t>
      </w:r>
    </w:p>
    <w:p w14:paraId="428DAFE8" w14:textId="77777777" w:rsidR="002B13EE" w:rsidRPr="0033566A" w:rsidRDefault="002B13EE" w:rsidP="002B13EE">
      <w:pPr>
        <w:pStyle w:val="ListParagraph"/>
        <w:numPr>
          <w:ilvl w:val="0"/>
          <w:numId w:val="5"/>
        </w:numPr>
        <w:jc w:val="both"/>
      </w:pPr>
      <w:r w:rsidRPr="0033566A">
        <w:t>Networking of Enterprising Women in South Dublin (NEWS) in Promoting Economic Development</w:t>
      </w:r>
    </w:p>
    <w:p w14:paraId="50A22B6D" w14:textId="77777777" w:rsidR="002B13EE" w:rsidRDefault="002B13EE" w:rsidP="002B13EE">
      <w:pPr>
        <w:pStyle w:val="ListParagraph"/>
        <w:numPr>
          <w:ilvl w:val="0"/>
          <w:numId w:val="5"/>
        </w:numPr>
        <w:jc w:val="both"/>
      </w:pPr>
      <w:r w:rsidRPr="0033566A">
        <w:t>Adamstown: Sustainable by Planning, Design and Implementation in Supporting Sustainable Communities</w:t>
      </w:r>
    </w:p>
    <w:p w14:paraId="6864D773" w14:textId="77777777" w:rsidR="002B13EE" w:rsidRPr="0033566A" w:rsidRDefault="002B13EE" w:rsidP="00B60676">
      <w:pPr>
        <w:jc w:val="both"/>
      </w:pPr>
    </w:p>
    <w:p w14:paraId="589A4CDC" w14:textId="77777777" w:rsidR="0033566A" w:rsidRPr="0033566A" w:rsidRDefault="0033566A" w:rsidP="00B60676">
      <w:pPr>
        <w:jc w:val="both"/>
      </w:pPr>
    </w:p>
    <w:p w14:paraId="02E4AFBE" w14:textId="77777777" w:rsidR="0033566A" w:rsidRDefault="0033566A" w:rsidP="00B60676">
      <w:pPr>
        <w:jc w:val="both"/>
      </w:pPr>
    </w:p>
    <w:p w14:paraId="2A1269E0" w14:textId="77777777" w:rsidR="00B60676" w:rsidRPr="0033566A" w:rsidRDefault="00B60676" w:rsidP="00B60676">
      <w:pPr>
        <w:jc w:val="both"/>
      </w:pPr>
    </w:p>
    <w:p w14:paraId="301DF615" w14:textId="77777777" w:rsidR="0033566A" w:rsidRPr="0033566A" w:rsidRDefault="0033566A" w:rsidP="00B60676">
      <w:pPr>
        <w:jc w:val="both"/>
      </w:pPr>
    </w:p>
    <w:p w14:paraId="63701F41" w14:textId="77777777" w:rsidR="0033566A" w:rsidRDefault="0033566A" w:rsidP="00B60676">
      <w:pPr>
        <w:jc w:val="both"/>
      </w:pPr>
    </w:p>
    <w:p w14:paraId="7DC93F46" w14:textId="77777777" w:rsidR="002B13EE" w:rsidRPr="0033566A" w:rsidRDefault="002B13EE" w:rsidP="00B60676">
      <w:pPr>
        <w:jc w:val="both"/>
      </w:pPr>
    </w:p>
    <w:p w14:paraId="162EDEDB" w14:textId="77777777" w:rsidR="002B13EE" w:rsidRDefault="002B13EE" w:rsidP="00B60676">
      <w:pPr>
        <w:jc w:val="both"/>
      </w:pPr>
    </w:p>
    <w:p w14:paraId="63B68AA8" w14:textId="7D07254C" w:rsidR="001740C1" w:rsidRDefault="001740C1" w:rsidP="00B60676">
      <w:pPr>
        <w:jc w:val="both"/>
      </w:pPr>
      <w:r>
        <w:br w:type="page"/>
      </w:r>
    </w:p>
    <w:p w14:paraId="23DCC4BE" w14:textId="3E4208B4" w:rsidR="001740C1" w:rsidRDefault="00CB3F77" w:rsidP="00B60676">
      <w:pPr>
        <w:pStyle w:val="Heading1"/>
        <w:jc w:val="both"/>
      </w:pPr>
      <w:bookmarkStart w:id="71" w:name="_Toc199244567"/>
      <w:r>
        <w:lastRenderedPageBreak/>
        <w:t xml:space="preserve">Delivery of the 2024 </w:t>
      </w:r>
      <w:r w:rsidR="003B1180">
        <w:t>Service Plan and</w:t>
      </w:r>
      <w:r w:rsidR="001740C1">
        <w:t xml:space="preserve"> </w:t>
      </w:r>
      <w:r>
        <w:t xml:space="preserve">the </w:t>
      </w:r>
      <w:r w:rsidR="001740C1">
        <w:t>Corporate Plan</w:t>
      </w:r>
      <w:bookmarkEnd w:id="71"/>
      <w:r w:rsidR="001740C1">
        <w:t xml:space="preserve"> </w:t>
      </w:r>
    </w:p>
    <w:p w14:paraId="41CA4ABA" w14:textId="26FDE567" w:rsidR="003B1180" w:rsidRPr="003B1180" w:rsidRDefault="00CB3F77" w:rsidP="003B1180">
      <w:r>
        <w:t xml:space="preserve">The following </w:t>
      </w:r>
      <w:r w:rsidR="003D0E54">
        <w:t xml:space="preserve">are the key achievements and progress made under the delivery of the 2024 Service Delivery Plan and the final year of the Corporate Plan 2020 – 2024. </w:t>
      </w:r>
    </w:p>
    <w:p w14:paraId="0EAEE543" w14:textId="77777777" w:rsidR="00833FEA" w:rsidRDefault="00833FEA" w:rsidP="00B60676">
      <w:pPr>
        <w:pStyle w:val="Heading2"/>
        <w:jc w:val="both"/>
      </w:pPr>
    </w:p>
    <w:p w14:paraId="750DDB17" w14:textId="74D0F0B2" w:rsidR="0033566A" w:rsidRPr="0033566A" w:rsidRDefault="0033566A" w:rsidP="00B60676">
      <w:pPr>
        <w:pStyle w:val="Heading2"/>
        <w:jc w:val="both"/>
      </w:pPr>
      <w:bookmarkStart w:id="72" w:name="_Toc195533624"/>
      <w:bookmarkStart w:id="73" w:name="_Toc195533696"/>
      <w:bookmarkStart w:id="74" w:name="_Toc195533973"/>
      <w:bookmarkStart w:id="75" w:name="_Toc195534048"/>
      <w:bookmarkStart w:id="76" w:name="_Toc195534411"/>
      <w:bookmarkStart w:id="77" w:name="_Toc195534612"/>
      <w:bookmarkStart w:id="78" w:name="_Toc199244568"/>
      <w:r w:rsidRPr="0033566A">
        <w:t>Economic, Enterprise and Tourism Development</w:t>
      </w:r>
      <w:bookmarkEnd w:id="72"/>
      <w:bookmarkEnd w:id="73"/>
      <w:bookmarkEnd w:id="74"/>
      <w:bookmarkEnd w:id="75"/>
      <w:bookmarkEnd w:id="76"/>
      <w:bookmarkEnd w:id="77"/>
      <w:bookmarkEnd w:id="78"/>
    </w:p>
    <w:p w14:paraId="104F96A7" w14:textId="77777777" w:rsidR="003D0E54" w:rsidRDefault="003D0E54" w:rsidP="00B60676">
      <w:pPr>
        <w:jc w:val="both"/>
        <w:rPr>
          <w:b/>
          <w:bCs/>
        </w:rPr>
      </w:pPr>
    </w:p>
    <w:p w14:paraId="2F9AE995" w14:textId="75567190" w:rsidR="0033566A" w:rsidRPr="00B60676" w:rsidRDefault="0033566A" w:rsidP="00B60676">
      <w:pPr>
        <w:jc w:val="both"/>
        <w:rPr>
          <w:b/>
          <w:bCs/>
        </w:rPr>
      </w:pPr>
      <w:r w:rsidRPr="00B60676">
        <w:rPr>
          <w:b/>
          <w:bCs/>
        </w:rPr>
        <w:t>Maintain a supportive business environment</w:t>
      </w:r>
    </w:p>
    <w:p w14:paraId="64FFC614" w14:textId="77777777" w:rsidR="0033566A" w:rsidRPr="0033566A" w:rsidRDefault="0033566A" w:rsidP="002B13EE">
      <w:pPr>
        <w:jc w:val="both"/>
      </w:pPr>
      <w:r w:rsidRPr="0033566A">
        <w:t>The LEO South Dublin Evaluation and Approvals Committee approved 37 projects providing the direct creation of 51 new positions with the potential for a total of 230.5 jobs over a three-year period.</w:t>
      </w:r>
    </w:p>
    <w:p w14:paraId="435EDC02" w14:textId="77777777" w:rsidR="0033566A" w:rsidRPr="0033566A" w:rsidRDefault="0033566A" w:rsidP="002B13EE">
      <w:pPr>
        <w:jc w:val="both"/>
      </w:pPr>
      <w:r w:rsidRPr="0033566A">
        <w:t>96 Trading Online Vouchers were approved to help small businesses develop their online trading presence, exceeding our target of 55 set by Enterprise Ireland.</w:t>
      </w:r>
    </w:p>
    <w:p w14:paraId="292B2466" w14:textId="77777777" w:rsidR="0033566A" w:rsidRPr="0033566A" w:rsidRDefault="0033566A" w:rsidP="002B13EE">
      <w:pPr>
        <w:jc w:val="both"/>
      </w:pPr>
      <w:r w:rsidRPr="0033566A">
        <w:t>A full LEO training programme was delivered comprising of 117 courses, which were attended by 1,668 participants. 13 Start Your Own Business courses were successfully delivered to over 183 participants.</w:t>
      </w:r>
    </w:p>
    <w:p w14:paraId="77203791" w14:textId="77777777" w:rsidR="0033566A" w:rsidRPr="0033566A" w:rsidRDefault="0033566A" w:rsidP="002B13EE">
      <w:pPr>
        <w:jc w:val="both"/>
      </w:pPr>
      <w:r w:rsidRPr="0033566A">
        <w:t>Under LEO South Dublin’s targeted training programmes, 15 clients successfully completed the export focused leadership and strategy development programme; 38 projects were approved for consultancy support under the national Green4Micro Programme; 19 companies were approved for the LEAN programme, and 25 companies participated in the Digital Start programme.</w:t>
      </w:r>
    </w:p>
    <w:p w14:paraId="2A009FB3" w14:textId="77777777" w:rsidR="0033566A" w:rsidRPr="0033566A" w:rsidRDefault="0033566A" w:rsidP="002B13EE">
      <w:pPr>
        <w:jc w:val="both"/>
      </w:pPr>
      <w:r w:rsidRPr="0033566A">
        <w:t>23 Technical Assistance for Micro Exporter grants were approved for businesses in sectors such as clothing and manufacturing, food, electronics, and med tech.</w:t>
      </w:r>
    </w:p>
    <w:p w14:paraId="74FB70C3" w14:textId="77777777" w:rsidR="0033566A" w:rsidRPr="0033566A" w:rsidRDefault="0033566A" w:rsidP="002B13EE">
      <w:pPr>
        <w:jc w:val="both"/>
      </w:pPr>
      <w:r w:rsidRPr="0033566A">
        <w:t>675 mentoring assignments were made across all business sectors, including finance, social media/marketing, and business management.</w:t>
      </w:r>
    </w:p>
    <w:p w14:paraId="6D21E7C4" w14:textId="77777777" w:rsidR="0033566A" w:rsidRPr="0033566A" w:rsidRDefault="0033566A" w:rsidP="002B13EE">
      <w:pPr>
        <w:jc w:val="both"/>
      </w:pPr>
      <w:r w:rsidRPr="0033566A">
        <w:t>27 projects were approved for financial support through the Business Support Fund.</w:t>
      </w:r>
    </w:p>
    <w:p w14:paraId="48C53F04" w14:textId="77777777" w:rsidR="0033566A" w:rsidRPr="0033566A" w:rsidRDefault="0033566A" w:rsidP="002B13EE">
      <w:pPr>
        <w:jc w:val="both"/>
      </w:pPr>
      <w:r w:rsidRPr="0033566A">
        <w:t>Seven of South Dublin’s best up and coming craft and design businesses participated in the Showcase Ireland Creative Expo 2024, one of Ireland’s largest international trade shows.</w:t>
      </w:r>
    </w:p>
    <w:p w14:paraId="520F5D2F" w14:textId="77777777" w:rsidR="0033566A" w:rsidRPr="0033566A" w:rsidRDefault="0033566A" w:rsidP="002B13EE">
      <w:pPr>
        <w:jc w:val="both"/>
      </w:pPr>
      <w:r w:rsidRPr="0033566A">
        <w:t>Our Local Enterprise Week 2024 took place in March with LEO South Dublin hosting 16 events, including the South Dublin Local Enterprise Awards which saw Jim Dunne, Smart Studio winning the overall award. They went on to represent South Dublin in the National Enterprise Awards.</w:t>
      </w:r>
    </w:p>
    <w:p w14:paraId="3276C105" w14:textId="77777777" w:rsidR="0033566A" w:rsidRPr="0033566A" w:rsidRDefault="0033566A" w:rsidP="002B13EE">
      <w:pPr>
        <w:jc w:val="both"/>
      </w:pPr>
      <w:r w:rsidRPr="0033566A">
        <w:t>The LEO South Dublin Student Enterprise Programme County Final was held in March in Technological University Dublin, Tallaght, with an estimated 650 students from 20 schools taking part in the annual programme.</w:t>
      </w:r>
    </w:p>
    <w:p w14:paraId="10D7BAB4" w14:textId="44F18F81" w:rsidR="0033566A" w:rsidRPr="0033566A" w:rsidRDefault="0033566A" w:rsidP="002B13EE">
      <w:pPr>
        <w:jc w:val="both"/>
      </w:pPr>
      <w:r w:rsidRPr="0033566A">
        <w:lastRenderedPageBreak/>
        <w:t xml:space="preserve">In September, the Local Enterprise Office held a Network for Enterprising Women in South Dublin (NEWS) event for Women </w:t>
      </w:r>
      <w:proofErr w:type="gramStart"/>
      <w:r w:rsidRPr="0033566A">
        <w:t>In</w:t>
      </w:r>
      <w:proofErr w:type="gramEnd"/>
      <w:r w:rsidRPr="0033566A">
        <w:t xml:space="preserve"> Business in the </w:t>
      </w:r>
      <w:proofErr w:type="spellStart"/>
      <w:r w:rsidRPr="0033566A">
        <w:t>Maldron</w:t>
      </w:r>
      <w:proofErr w:type="spellEnd"/>
      <w:r w:rsidRPr="0033566A">
        <w:t xml:space="preserve"> Hotel, Tallaght and was hosted by Sarita Johnston, Director of Business Planning with Capstone Business Advisors Limited. The event was titled “Stepping Up: Stepping Out </w:t>
      </w:r>
      <w:r w:rsidR="0037035F">
        <w:t>and</w:t>
      </w:r>
      <w:r w:rsidRPr="0033566A">
        <w:t xml:space="preserve"> Empowerment.” The event brought together 80 industry leaders, entrepreneurs, and change-makers to discuss the journey of stepping out, taking risks and empowering others.</w:t>
      </w:r>
    </w:p>
    <w:p w14:paraId="3F2255B8" w14:textId="77777777" w:rsidR="0033566A" w:rsidRPr="0033566A" w:rsidRDefault="0033566A" w:rsidP="002B13EE">
      <w:pPr>
        <w:jc w:val="both"/>
      </w:pPr>
      <w:r w:rsidRPr="0033566A">
        <w:t>In October, the LEO South Dublin Leaders Network was launched at a special event in Work IQ as part of a LEO Certificate Awards ceremony to build on the success of the Strategic Leadership for Growth programme by sustaining the development and growth of these leaders and their businesses.</w:t>
      </w:r>
    </w:p>
    <w:p w14:paraId="233F54E1" w14:textId="77777777" w:rsidR="0033566A" w:rsidRPr="0033566A" w:rsidRDefault="0033566A" w:rsidP="002B13EE">
      <w:pPr>
        <w:jc w:val="both"/>
      </w:pPr>
      <w:r w:rsidRPr="0033566A">
        <w:t xml:space="preserve">LEO supported business networks continued to expand with NEWS membership increasing to 426 and SCENE (South Dublin Creative Economy Network) growing to 295 members. A full programme of events took place throughout 2024 for both networks. The Dublin regional event for the flagship National Women’s Enterprise Day took place in October and was attended by over 240 female entrepreneurs. </w:t>
      </w:r>
    </w:p>
    <w:p w14:paraId="4FA7F7D5" w14:textId="77777777" w:rsidR="0033566A" w:rsidRPr="0033566A" w:rsidRDefault="0033566A" w:rsidP="002B13EE">
      <w:pPr>
        <w:jc w:val="both"/>
      </w:pPr>
      <w:r w:rsidRPr="0033566A">
        <w:t xml:space="preserve">13 participants from the third Strategic Leadership for Growth programme were presented with their Advanced Certificates in SME Strategic Management, following their participation on the six-month programme and submission of their Growth and Export Plans. </w:t>
      </w:r>
    </w:p>
    <w:p w14:paraId="79DB73C7" w14:textId="77777777" w:rsidR="0033566A" w:rsidRDefault="0033566A" w:rsidP="002B13EE">
      <w:pPr>
        <w:jc w:val="both"/>
      </w:pPr>
      <w:r w:rsidRPr="0033566A">
        <w:t>Construction of the new Work IQ €16m Innovation Centre was completed and the 2,980 m2 facility for entrepreneurs, start-ups, and SMEs which will ultimately be home to up to 60 businesses, was officially opened in May 2024 by then Mayor, Cllr. Alan Edge and then Minister of Health, Stephen Donnelly T.D., and currently has 11 businesses in occupation.</w:t>
      </w:r>
    </w:p>
    <w:p w14:paraId="0E38971D" w14:textId="77777777" w:rsidR="003D0E54" w:rsidRPr="0033566A" w:rsidRDefault="003D0E54" w:rsidP="002B13EE">
      <w:pPr>
        <w:jc w:val="both"/>
      </w:pPr>
    </w:p>
    <w:p w14:paraId="50F4E6FE" w14:textId="77777777" w:rsidR="0033566A" w:rsidRPr="00B60676" w:rsidRDefault="0033566A" w:rsidP="00B60676">
      <w:pPr>
        <w:jc w:val="both"/>
        <w:rPr>
          <w:b/>
          <w:bCs/>
        </w:rPr>
      </w:pPr>
      <w:r w:rsidRPr="00B60676">
        <w:rPr>
          <w:b/>
          <w:bCs/>
        </w:rPr>
        <w:t>Support and increase foreign direct and indigenous investment in the county</w:t>
      </w:r>
    </w:p>
    <w:p w14:paraId="5E4E7B1C" w14:textId="77777777" w:rsidR="0033566A" w:rsidRPr="0033566A" w:rsidRDefault="0033566A" w:rsidP="002B13EE">
      <w:pPr>
        <w:jc w:val="both"/>
      </w:pPr>
      <w:r w:rsidRPr="0033566A">
        <w:t>Construction commenced on Phase 2 of the Grange Castle West Access Road as part of the activation of the Grange Castle Masterplan which aims to create up to 12,000 jobs.</w:t>
      </w:r>
    </w:p>
    <w:p w14:paraId="03D5BD0A" w14:textId="77777777" w:rsidR="0033566A" w:rsidRPr="0033566A" w:rsidRDefault="0033566A" w:rsidP="002B13EE">
      <w:pPr>
        <w:jc w:val="both"/>
      </w:pPr>
      <w:r w:rsidRPr="0033566A">
        <w:t>Development and expansion work continued by several major Grange Castle clients leading to increased jobs both during construction and in the longer term.</w:t>
      </w:r>
    </w:p>
    <w:p w14:paraId="39C1D045" w14:textId="77777777" w:rsidR="0033566A" w:rsidRPr="0033566A" w:rsidRDefault="0033566A" w:rsidP="002B13EE">
      <w:pPr>
        <w:jc w:val="both"/>
      </w:pPr>
      <w:r w:rsidRPr="0033566A">
        <w:t>The proposed studio /media park development by Lens Media moved forward with a grant of planning issued in December.</w:t>
      </w:r>
    </w:p>
    <w:p w14:paraId="5B5FC447" w14:textId="77777777" w:rsidR="0033566A" w:rsidRPr="0033566A" w:rsidRDefault="0033566A" w:rsidP="002B13EE">
      <w:pPr>
        <w:jc w:val="both"/>
      </w:pPr>
      <w:r w:rsidRPr="0033566A">
        <w:t>Significant progress was made on progressing the 12</w:t>
      </w:r>
      <w:r w:rsidRPr="0033566A">
        <w:rPr>
          <w:vertAlign w:val="superscript"/>
        </w:rPr>
        <w:t>th</w:t>
      </w:r>
      <w:r w:rsidRPr="0033566A">
        <w:t xml:space="preserve"> Lock Masterplan to create a new economic, cultural, and social quarter. Part 8 approval was granted for the 12</w:t>
      </w:r>
      <w:r w:rsidRPr="0033566A">
        <w:rPr>
          <w:vertAlign w:val="superscript"/>
        </w:rPr>
        <w:t>th</w:t>
      </w:r>
      <w:r w:rsidRPr="0033566A">
        <w:t xml:space="preserve"> Lock Studio and for the Grange Cottage and Outbuildings proposals and an architect-led design team was appointed to lead its development.</w:t>
      </w:r>
    </w:p>
    <w:p w14:paraId="03F9B023" w14:textId="77777777" w:rsidR="0033566A" w:rsidRDefault="0033566A" w:rsidP="002B13EE">
      <w:pPr>
        <w:jc w:val="both"/>
      </w:pPr>
      <w:proofErr w:type="spellStart"/>
      <w:r w:rsidRPr="0033566A">
        <w:lastRenderedPageBreak/>
        <w:t>Mountpark</w:t>
      </w:r>
      <w:proofErr w:type="spellEnd"/>
      <w:r w:rsidRPr="0033566A">
        <w:t xml:space="preserve"> Ltd commenced construction of a new large-scale logistics facility, which is accessed through Grange Castle West. This is a significant investment for the county and the area delivering much needed facilities for the logistics sector.</w:t>
      </w:r>
    </w:p>
    <w:p w14:paraId="1351EB5E" w14:textId="77777777" w:rsidR="003D0E54" w:rsidRPr="0033566A" w:rsidRDefault="003D0E54" w:rsidP="002B13EE">
      <w:pPr>
        <w:jc w:val="both"/>
      </w:pPr>
    </w:p>
    <w:p w14:paraId="61635941" w14:textId="77777777" w:rsidR="0033566A" w:rsidRPr="00B60676" w:rsidRDefault="0033566A" w:rsidP="00B60676">
      <w:pPr>
        <w:jc w:val="both"/>
        <w:rPr>
          <w:b/>
          <w:bCs/>
        </w:rPr>
      </w:pPr>
      <w:r w:rsidRPr="00B60676">
        <w:rPr>
          <w:b/>
          <w:bCs/>
        </w:rPr>
        <w:t>Manage our assets to fully support economic development</w:t>
      </w:r>
    </w:p>
    <w:p w14:paraId="3B63FFB6" w14:textId="77777777" w:rsidR="0033566A" w:rsidRPr="0033566A" w:rsidRDefault="0033566A" w:rsidP="002B13EE">
      <w:pPr>
        <w:jc w:val="both"/>
      </w:pPr>
      <w:r w:rsidRPr="0033566A">
        <w:t xml:space="preserve">Following the completion of the new North Stand which was officially opened at the Shamrock Rovers v. Bohemians League of Ireland fixture in September by Mayor Baby </w:t>
      </w:r>
      <w:proofErr w:type="spellStart"/>
      <w:r w:rsidRPr="0033566A">
        <w:t>Perrepadan</w:t>
      </w:r>
      <w:proofErr w:type="spellEnd"/>
      <w:r w:rsidRPr="0033566A">
        <w:t xml:space="preserve"> and then Minister for Housing, Darragh O’Brien T.D., Tallaght Stadium can now accommodate over 10,000 supporters. The stadium hosted many memorable domestic, continental and international fixtures during the year to record crowds.</w:t>
      </w:r>
    </w:p>
    <w:p w14:paraId="0655AE94" w14:textId="77777777" w:rsidR="0033566A" w:rsidRPr="0033566A" w:rsidRDefault="0033566A" w:rsidP="002B13EE">
      <w:pPr>
        <w:jc w:val="both"/>
      </w:pPr>
      <w:r w:rsidRPr="0033566A">
        <w:t>A new 15-year lease was secured with Shamrock Rovers FC as long-term tenant for Tallaght Stadium while a 5-year Memorandum of Understanding was agreed with the FAI for use of the stadium by international teams.</w:t>
      </w:r>
    </w:p>
    <w:p w14:paraId="201725DB" w14:textId="77777777" w:rsidR="0033566A" w:rsidRPr="0033566A" w:rsidRDefault="0033566A" w:rsidP="002B13EE">
      <w:pPr>
        <w:jc w:val="both"/>
      </w:pPr>
      <w:r w:rsidRPr="0033566A">
        <w:t xml:space="preserve">A competitive process to secure a new tenant for the </w:t>
      </w:r>
      <w:proofErr w:type="spellStart"/>
      <w:r w:rsidRPr="0033566A">
        <w:t>undercroft</w:t>
      </w:r>
      <w:proofErr w:type="spellEnd"/>
      <w:r w:rsidRPr="0033566A">
        <w:t xml:space="preserve"> space of Tallaght Stadium’s North Stand was carried out and Tallaght Martial Arts, a local sports club with a track record of national and international success, will take up occupation in 2025.</w:t>
      </w:r>
    </w:p>
    <w:p w14:paraId="3313FDFA" w14:textId="77777777" w:rsidR="0033566A" w:rsidRDefault="0033566A" w:rsidP="002B13EE">
      <w:pPr>
        <w:jc w:val="both"/>
      </w:pPr>
      <w:r w:rsidRPr="0033566A">
        <w:t xml:space="preserve">The acquisition of Lucan House and accompanying Demesne lands of 30 acres from the Italian government was completed in mid-2024. Procurement of an architect led team to prepare a masterplan for the future use followed. The potential offered by this strategic investment given the history, heritage, and amenity value of the property, is extremely significant for the local area and the wider county. </w:t>
      </w:r>
    </w:p>
    <w:p w14:paraId="6A74BD8D" w14:textId="77777777" w:rsidR="003D0E54" w:rsidRPr="0033566A" w:rsidRDefault="003D0E54" w:rsidP="002B13EE">
      <w:pPr>
        <w:jc w:val="both"/>
      </w:pPr>
    </w:p>
    <w:p w14:paraId="1404375B" w14:textId="77777777" w:rsidR="0033566A" w:rsidRPr="00B60676" w:rsidRDefault="0033566A" w:rsidP="00B60676">
      <w:pPr>
        <w:jc w:val="both"/>
        <w:rPr>
          <w:b/>
          <w:bCs/>
        </w:rPr>
      </w:pPr>
      <w:r w:rsidRPr="00B60676">
        <w:rPr>
          <w:b/>
          <w:bCs/>
        </w:rPr>
        <w:t>Maximise the contribution of arts, libraries, heritage and the Irish language to the citizen and visitor cultural experience</w:t>
      </w:r>
    </w:p>
    <w:p w14:paraId="00CC4746" w14:textId="77777777" w:rsidR="0033566A" w:rsidRPr="0033566A" w:rsidRDefault="0033566A" w:rsidP="009736E4">
      <w:pPr>
        <w:jc w:val="both"/>
      </w:pPr>
      <w:r w:rsidRPr="0033566A">
        <w:t>2024 was another successful year for our libraries with more than 60,000 active members across the branch network engaging in over 1.3m library related transactions during 946,412 visits from members of the public.</w:t>
      </w:r>
    </w:p>
    <w:p w14:paraId="37D6F829" w14:textId="77777777" w:rsidR="0033566A" w:rsidRPr="0033566A" w:rsidRDefault="0033566A" w:rsidP="009736E4">
      <w:pPr>
        <w:jc w:val="both"/>
      </w:pPr>
      <w:r w:rsidRPr="0033566A">
        <w:t>Our libraries continue to deliver a vibrant programme of events, workshops and classes. 7,761 events were held, attracting almost 150,000 attendees.</w:t>
      </w:r>
    </w:p>
    <w:p w14:paraId="4CFB0B6C" w14:textId="77777777" w:rsidR="0033566A" w:rsidRPr="0033566A" w:rsidRDefault="0033566A" w:rsidP="009736E4">
      <w:pPr>
        <w:jc w:val="both"/>
      </w:pPr>
      <w:r w:rsidRPr="0033566A">
        <w:t xml:space="preserve">The My Open Library service launched at Lucan Library in September providing 7 days a week, 365-days a year opening adding an additional 43 opening hours per week, with plans to extend the service to more branches in 2025. </w:t>
      </w:r>
    </w:p>
    <w:p w14:paraId="55F1FAF6" w14:textId="77777777" w:rsidR="0033566A" w:rsidRPr="0033566A" w:rsidRDefault="0033566A" w:rsidP="009736E4">
      <w:pPr>
        <w:jc w:val="both"/>
      </w:pPr>
      <w:r w:rsidRPr="0033566A">
        <w:t>South Dublin Libraries now offers 429 opening hours per week across our branch network of seven libraries, up from 372 in 2022.</w:t>
      </w:r>
    </w:p>
    <w:p w14:paraId="3F358935" w14:textId="77777777" w:rsidR="0033566A" w:rsidRPr="0033566A" w:rsidRDefault="0033566A" w:rsidP="009736E4">
      <w:pPr>
        <w:jc w:val="both"/>
      </w:pPr>
      <w:r w:rsidRPr="0033566A">
        <w:lastRenderedPageBreak/>
        <w:t xml:space="preserve">In addition, visits to mobile library stops in 2024 totalled 35,722, up from 27,284 in 2023, which represented a 31% increase. </w:t>
      </w:r>
    </w:p>
    <w:p w14:paraId="03DD87EE" w14:textId="77777777" w:rsidR="0033566A" w:rsidRPr="0033566A" w:rsidRDefault="0033566A" w:rsidP="009736E4">
      <w:pPr>
        <w:jc w:val="both"/>
      </w:pPr>
      <w:r w:rsidRPr="0033566A">
        <w:t>We continued work to expand the library network with significant progress made on the delivery of Citywest Library, with work due to commence in 2025.  Plans were progressed for access improvements and refurbishment works at Clondalkin Library under the Part 8 planning process while a pre-planning application for Adamstown Library is expected to be lodged in the first half of 2025.</w:t>
      </w:r>
    </w:p>
    <w:p w14:paraId="64B4687C" w14:textId="77777777" w:rsidR="0033566A" w:rsidRPr="0033566A" w:rsidRDefault="0033566A" w:rsidP="009736E4">
      <w:pPr>
        <w:jc w:val="both"/>
      </w:pPr>
      <w:r w:rsidRPr="0033566A">
        <w:t xml:space="preserve">The Red Line Book Festival took place in October. The programme was a true testament to the power of the written word, with 50 events which spanned genres, voices, and perspectives. The events were attended by 5,051 people (up from 2,934 people attending 40 events in 2023). </w:t>
      </w:r>
    </w:p>
    <w:p w14:paraId="781951A2" w14:textId="77777777" w:rsidR="0033566A" w:rsidRPr="0033566A" w:rsidRDefault="0033566A" w:rsidP="009736E4">
      <w:pPr>
        <w:jc w:val="both"/>
      </w:pPr>
      <w:r w:rsidRPr="0033566A">
        <w:t xml:space="preserve">The Parthalán Place naming process was completed and launched in September. The first major public event to take place in the newly developed public square at Parthalán Place was the </w:t>
      </w:r>
      <w:proofErr w:type="spellStart"/>
      <w:r w:rsidRPr="0033566A">
        <w:t>Tallaween</w:t>
      </w:r>
      <w:proofErr w:type="spellEnd"/>
      <w:r w:rsidRPr="0033566A">
        <w:t xml:space="preserve"> launch event on 19</w:t>
      </w:r>
      <w:r w:rsidRPr="0033566A">
        <w:rPr>
          <w:vertAlign w:val="superscript"/>
        </w:rPr>
        <w:t>th</w:t>
      </w:r>
      <w:r w:rsidRPr="0033566A">
        <w:t xml:space="preserve"> October. The </w:t>
      </w:r>
      <w:proofErr w:type="spellStart"/>
      <w:r w:rsidRPr="0033566A">
        <w:t>Tallaween</w:t>
      </w:r>
      <w:proofErr w:type="spellEnd"/>
      <w:r w:rsidRPr="0033566A">
        <w:t xml:space="preserve"> installation was seen by 5,672 people up to its close on 31</w:t>
      </w:r>
      <w:r w:rsidRPr="0033566A">
        <w:rPr>
          <w:vertAlign w:val="superscript"/>
        </w:rPr>
        <w:t>st</w:t>
      </w:r>
      <w:r w:rsidRPr="0033566A">
        <w:t xml:space="preserve"> October. </w:t>
      </w:r>
    </w:p>
    <w:p w14:paraId="7E5DA5F7" w14:textId="77777777" w:rsidR="0033566A" w:rsidRPr="0033566A" w:rsidRDefault="0033566A" w:rsidP="009736E4">
      <w:pPr>
        <w:jc w:val="both"/>
      </w:pPr>
      <w:r w:rsidRPr="0033566A">
        <w:t>The Library Labs programme was introduced in 2024, which is a year-long STEAM (Science, Technology, Engineering, Arts and Maths) events programme, devised to promote digital learning and STEAM amongst all ages across the county. 5,911 people attended 396 STEAM events in libraries in 2024.</w:t>
      </w:r>
    </w:p>
    <w:p w14:paraId="69B4E725" w14:textId="77777777" w:rsidR="0033566A" w:rsidRPr="0033566A" w:rsidRDefault="0033566A" w:rsidP="009736E4">
      <w:pPr>
        <w:jc w:val="both"/>
      </w:pPr>
      <w:r w:rsidRPr="0033566A">
        <w:t>Following its launch in 2022, Think Big Space has continued to engage the local community in digital education. In 2024, over 7,000 students participated in workshops on Lego Robotics and Virtual Reality.</w:t>
      </w:r>
    </w:p>
    <w:p w14:paraId="5C145E5E" w14:textId="77777777" w:rsidR="0033566A" w:rsidRPr="0033566A" w:rsidRDefault="0033566A" w:rsidP="009736E4">
      <w:pPr>
        <w:jc w:val="both"/>
      </w:pPr>
      <w:r w:rsidRPr="0033566A">
        <w:t xml:space="preserve">Our libraries continue to promote the heritage and the history of the county through regular events programmes, including </w:t>
      </w:r>
      <w:proofErr w:type="spellStart"/>
      <w:r w:rsidRPr="0033566A">
        <w:t>Seachtain</w:t>
      </w:r>
      <w:proofErr w:type="spellEnd"/>
      <w:r w:rsidRPr="0033566A">
        <w:t xml:space="preserve"> </w:t>
      </w:r>
      <w:proofErr w:type="spellStart"/>
      <w:r w:rsidRPr="0033566A">
        <w:t>na</w:t>
      </w:r>
      <w:proofErr w:type="spellEnd"/>
      <w:r w:rsidRPr="0033566A">
        <w:t xml:space="preserve"> </w:t>
      </w:r>
      <w:proofErr w:type="spellStart"/>
      <w:r w:rsidRPr="0033566A">
        <w:t>Gaeilge</w:t>
      </w:r>
      <w:proofErr w:type="spellEnd"/>
      <w:r w:rsidRPr="0033566A">
        <w:t xml:space="preserve"> in March, National Heritage Week in August, and with the launch of the South Dublin Stories podcast. 2,374 people attended 118 history events in libraries in 2024. </w:t>
      </w:r>
    </w:p>
    <w:p w14:paraId="14751385" w14:textId="77777777" w:rsidR="0033566A" w:rsidRPr="0033566A" w:rsidRDefault="0033566A" w:rsidP="009736E4">
      <w:pPr>
        <w:jc w:val="both"/>
      </w:pPr>
      <w:r w:rsidRPr="0033566A">
        <w:t>390,161 visits were made to arts centres and venues.</w:t>
      </w:r>
    </w:p>
    <w:p w14:paraId="6A7A80D9" w14:textId="77777777" w:rsidR="0033566A" w:rsidRPr="0033566A" w:rsidRDefault="0033566A" w:rsidP="009736E4">
      <w:pPr>
        <w:jc w:val="both"/>
      </w:pPr>
      <w:r w:rsidRPr="0033566A">
        <w:t xml:space="preserve">The Arts Office presented 119 live performance events, attended by audiences of 34,127 through South Dublin Live, the Night Belongs to Us, Ruaille </w:t>
      </w:r>
      <w:proofErr w:type="spellStart"/>
      <w:r w:rsidRPr="0033566A">
        <w:t>Buaille</w:t>
      </w:r>
      <w:proofErr w:type="spellEnd"/>
      <w:r w:rsidRPr="0033566A">
        <w:t xml:space="preserve"> Lucan </w:t>
      </w:r>
      <w:proofErr w:type="spellStart"/>
      <w:r w:rsidRPr="0033566A">
        <w:t>Childrens</w:t>
      </w:r>
      <w:proofErr w:type="spellEnd"/>
      <w:r w:rsidRPr="0033566A">
        <w:t xml:space="preserve"> Music Festival, Culture Night, and Music Generation South Dublin.</w:t>
      </w:r>
    </w:p>
    <w:p w14:paraId="78ADF320" w14:textId="77777777" w:rsidR="0033566A" w:rsidRPr="0033566A" w:rsidRDefault="0033566A" w:rsidP="009736E4">
      <w:pPr>
        <w:jc w:val="both"/>
      </w:pPr>
      <w:r w:rsidRPr="0033566A">
        <w:t>NOISE Music had a total attendance of 1,884 in 295 DJing, music production and performance workshops held in 30 locations, including schools, libraries and youth centres.  1,623 children and young people participated in music education in various school, community, library and other events and programmes through Music Generation South Dublin.</w:t>
      </w:r>
    </w:p>
    <w:p w14:paraId="4454FADA" w14:textId="77777777" w:rsidR="0033566A" w:rsidRPr="0033566A" w:rsidRDefault="0033566A" w:rsidP="009736E4">
      <w:pPr>
        <w:jc w:val="both"/>
      </w:pPr>
      <w:r w:rsidRPr="0033566A">
        <w:rPr>
          <w:i/>
          <w:iCs/>
        </w:rPr>
        <w:t>Seedlings</w:t>
      </w:r>
      <w:r w:rsidRPr="0033566A">
        <w:t xml:space="preserve"> Children’s and Early Years Arts programme delivered six artists residencies, in early years settings and schools reaching over 120 children.  The </w:t>
      </w:r>
      <w:r w:rsidRPr="0033566A">
        <w:rPr>
          <w:i/>
          <w:iCs/>
        </w:rPr>
        <w:t>MAD Mag</w:t>
      </w:r>
      <w:r w:rsidRPr="0033566A">
        <w:t xml:space="preserve"> Creative Writing programme was initiated for children aged 7 – 12 and took place in three schools and the Mother </w:t>
      </w:r>
      <w:r w:rsidRPr="0033566A">
        <w:lastRenderedPageBreak/>
        <w:t>Tongues Language Explorers programme took place in libraries, community centres and Direct Provision Centres.</w:t>
      </w:r>
    </w:p>
    <w:p w14:paraId="0B284A26" w14:textId="77777777" w:rsidR="0033566A" w:rsidRPr="0033566A" w:rsidRDefault="0033566A" w:rsidP="009736E4">
      <w:pPr>
        <w:jc w:val="both"/>
      </w:pPr>
      <w:r w:rsidRPr="0033566A">
        <w:t xml:space="preserve">33 emerging and established artists of all disciplines received bursaries and awards to develop their practice and create new work, including a new Equality Diversity and Inclusion Artist Bursary Award in partnership with the Abbey Theatre, to theatre and filmmaker Newton Barabara working with residents of Citywest Transit Hub on the drama production </w:t>
      </w:r>
      <w:r w:rsidRPr="0033566A">
        <w:rPr>
          <w:i/>
          <w:iCs/>
        </w:rPr>
        <w:t>Halfway to Heaven.</w:t>
      </w:r>
    </w:p>
    <w:p w14:paraId="23B15C30" w14:textId="77777777" w:rsidR="0033566A" w:rsidRPr="0033566A" w:rsidRDefault="0033566A" w:rsidP="009736E4">
      <w:pPr>
        <w:jc w:val="both"/>
      </w:pPr>
      <w:r w:rsidRPr="0033566A">
        <w:t xml:space="preserve">Through the Creative Ireland South Dublin Programme, we delivered </w:t>
      </w:r>
      <w:proofErr w:type="spellStart"/>
      <w:r w:rsidRPr="0033566A">
        <w:t>Cruinniú</w:t>
      </w:r>
      <w:proofErr w:type="spellEnd"/>
      <w:r w:rsidRPr="0033566A">
        <w:t xml:space="preserve"> </w:t>
      </w:r>
      <w:proofErr w:type="spellStart"/>
      <w:r w:rsidRPr="0033566A">
        <w:t>na</w:t>
      </w:r>
      <w:proofErr w:type="spellEnd"/>
      <w:r w:rsidRPr="0033566A">
        <w:t xml:space="preserve"> </w:t>
      </w:r>
      <w:proofErr w:type="spellStart"/>
      <w:r w:rsidRPr="0033566A">
        <w:t>nÓg</w:t>
      </w:r>
      <w:proofErr w:type="spellEnd"/>
      <w:r w:rsidRPr="0033566A">
        <w:t xml:space="preserve">, the </w:t>
      </w:r>
      <w:proofErr w:type="gramStart"/>
      <w:r w:rsidRPr="0033566A">
        <w:t>national day of children’s</w:t>
      </w:r>
      <w:proofErr w:type="gramEnd"/>
      <w:r w:rsidRPr="0033566A">
        <w:t xml:space="preserve"> creativity, with 2,752 children and young people participating.</w:t>
      </w:r>
    </w:p>
    <w:p w14:paraId="662A62BF" w14:textId="77777777" w:rsidR="0033566A" w:rsidRPr="0033566A" w:rsidRDefault="0033566A" w:rsidP="002B13EE">
      <w:pPr>
        <w:jc w:val="both"/>
        <w:rPr>
          <w:b/>
        </w:rPr>
      </w:pPr>
    </w:p>
    <w:p w14:paraId="031B13E7" w14:textId="77777777" w:rsidR="0033566A" w:rsidRPr="00B60676" w:rsidRDefault="0033566A" w:rsidP="00B60676">
      <w:pPr>
        <w:jc w:val="both"/>
        <w:rPr>
          <w:b/>
          <w:bCs/>
        </w:rPr>
      </w:pPr>
      <w:r w:rsidRPr="00B60676">
        <w:rPr>
          <w:b/>
          <w:bCs/>
        </w:rPr>
        <w:t>Implement a tourism strategy focused on new product and brand development</w:t>
      </w:r>
    </w:p>
    <w:p w14:paraId="40D74894" w14:textId="77777777" w:rsidR="0033566A" w:rsidRPr="0033566A" w:rsidRDefault="0033566A" w:rsidP="002B13EE">
      <w:pPr>
        <w:jc w:val="both"/>
      </w:pPr>
      <w:r w:rsidRPr="0033566A">
        <w:t>A new Tourism Strategy was launched in February, outlining our strategic priorities for tourism development in South Dublin from 2024 to 2029, to build on the importance of tourism to the local economy.</w:t>
      </w:r>
    </w:p>
    <w:p w14:paraId="1E08306F" w14:textId="77777777" w:rsidR="0033566A" w:rsidRPr="0033566A" w:rsidRDefault="0033566A" w:rsidP="002B13EE">
      <w:pPr>
        <w:jc w:val="both"/>
      </w:pPr>
      <w:r w:rsidRPr="0033566A">
        <w:t xml:space="preserve">A three-stage non-statutory public engagement process was undertaken as part of the development of the Rathfarnham Stables masterplan. Over 1,000 people engaged in onsite tours, an online questionnaire, and a series of focus groups. </w:t>
      </w:r>
      <w:proofErr w:type="gramStart"/>
      <w:r w:rsidRPr="0033566A">
        <w:t>A number of</w:t>
      </w:r>
      <w:proofErr w:type="gramEnd"/>
      <w:r w:rsidRPr="0033566A">
        <w:t xml:space="preserve"> building conditions surveys and ground investigations overseen by an archaeologist were undertaken as part of work in relation to the conservation management plan.</w:t>
      </w:r>
    </w:p>
    <w:p w14:paraId="3B36D490" w14:textId="77777777" w:rsidR="0033566A" w:rsidRPr="0033566A" w:rsidRDefault="0033566A" w:rsidP="002B13EE">
      <w:pPr>
        <w:jc w:val="both"/>
      </w:pPr>
      <w:r w:rsidRPr="0033566A">
        <w:t>Consultants continued to work on the detailed design and development of the Dublin Mountains Visitor Centre with works on invasive species at the walled garden in Massey’s Wood being completed in 2024.</w:t>
      </w:r>
    </w:p>
    <w:p w14:paraId="418561AB" w14:textId="77777777" w:rsidR="0033566A" w:rsidRPr="0033566A" w:rsidRDefault="0033566A" w:rsidP="002B13EE">
      <w:pPr>
        <w:jc w:val="both"/>
      </w:pPr>
      <w:r w:rsidRPr="0033566A">
        <w:t>Tender documents and updated cost estimates have now been completed for Tallaght Heritage Centre and are being reviewed before proceeding further with the project.</w:t>
      </w:r>
    </w:p>
    <w:p w14:paraId="3500B04B" w14:textId="77777777" w:rsidR="0033566A" w:rsidRPr="0033566A" w:rsidRDefault="0033566A" w:rsidP="002B13EE">
      <w:pPr>
        <w:jc w:val="both"/>
      </w:pPr>
      <w:r w:rsidRPr="0033566A">
        <w:t xml:space="preserve">74,554 people visited the Round Tower Visitor </w:t>
      </w:r>
      <w:proofErr w:type="gramStart"/>
      <w:r w:rsidRPr="0033566A">
        <w:t>Centre</w:t>
      </w:r>
      <w:proofErr w:type="gramEnd"/>
      <w:r w:rsidRPr="0033566A">
        <w:t xml:space="preserve"> and a new tender was finalised for its operation but unfortunately the operator ceased trading in </w:t>
      </w:r>
      <w:proofErr w:type="gramStart"/>
      <w:r w:rsidRPr="0033566A">
        <w:t>December</w:t>
      </w:r>
      <w:proofErr w:type="gramEnd"/>
      <w:r w:rsidRPr="0033566A">
        <w:t xml:space="preserve"> and a renewed process was initiated.</w:t>
      </w:r>
    </w:p>
    <w:p w14:paraId="7677F88C" w14:textId="77777777" w:rsidR="0033566A" w:rsidRPr="0033566A" w:rsidRDefault="0033566A" w:rsidP="002B13EE">
      <w:pPr>
        <w:jc w:val="both"/>
      </w:pPr>
      <w:r w:rsidRPr="0033566A">
        <w:t>Tymon Park Outdoor Food and Craft Market ran each Saturday from April to June and supported other events such as the Community Department’s Africa Day festival which took place alongside this market in May.</w:t>
      </w:r>
    </w:p>
    <w:p w14:paraId="738701C0" w14:textId="77777777" w:rsidR="0033566A" w:rsidRPr="0033566A" w:rsidRDefault="0033566A" w:rsidP="002B13EE">
      <w:pPr>
        <w:jc w:val="both"/>
      </w:pPr>
      <w:r w:rsidRPr="0033566A">
        <w:t xml:space="preserve">The Tourism Event and Festival Grant Scheme supported 13 events during the year, including Dublin Masters Basketball, Robot Riots, Irish National Scale Model Show and </w:t>
      </w:r>
      <w:proofErr w:type="spellStart"/>
      <w:r w:rsidRPr="0033566A">
        <w:t>BrickCon</w:t>
      </w:r>
      <w:proofErr w:type="spellEnd"/>
      <w:r w:rsidRPr="0033566A">
        <w:t>, which attracted nearly 5,000 visitors to the county. The estimated local economic dividend from the 13 events was €645,291.</w:t>
      </w:r>
    </w:p>
    <w:p w14:paraId="1D5B1C5C" w14:textId="77777777" w:rsidR="0033566A" w:rsidRPr="0033566A" w:rsidRDefault="0033566A" w:rsidP="002B13EE">
      <w:pPr>
        <w:jc w:val="both"/>
      </w:pPr>
      <w:r w:rsidRPr="0033566A">
        <w:t xml:space="preserve">Rathfarnham Castle Christmas Market returned in December attracting over 3,000 visitors to see 40 food and craft traders, live entertainment, promoting local artisan products, food, craft, </w:t>
      </w:r>
      <w:r w:rsidRPr="0033566A">
        <w:lastRenderedPageBreak/>
        <w:t xml:space="preserve">and local businesses. The OPW opened Rathfarnham Castle and was very busy with guided tours. A second Christmas Market took place in Parthalán Place in Tallaght, as a new offering for this location. </w:t>
      </w:r>
    </w:p>
    <w:p w14:paraId="4B5BC7C5" w14:textId="77777777" w:rsidR="0033566A" w:rsidRPr="0033566A" w:rsidRDefault="0033566A" w:rsidP="002B13EE">
      <w:pPr>
        <w:jc w:val="both"/>
      </w:pPr>
      <w:r w:rsidRPr="0033566A">
        <w:t>We launched a dynamic new Dublin Discovery Trails app, bringing trails from across Dublin together for better promotion and coordination and including additional languages for text and audio.  The Templeogue Village Walking Trail launched in September, supporting our suite of walking trails which already included Tallaght, Clondalkin and Rathfarnham.</w:t>
      </w:r>
    </w:p>
    <w:p w14:paraId="1B0B9BF2" w14:textId="77777777" w:rsidR="0033566A" w:rsidRPr="0033566A" w:rsidRDefault="0033566A" w:rsidP="002B13EE">
      <w:pPr>
        <w:jc w:val="both"/>
      </w:pPr>
      <w:bookmarkStart w:id="79" w:name="_Hlk188549834"/>
      <w:r w:rsidRPr="0033566A">
        <w:t>Eight grant applications were received under our Shopfront Improvement Scheme.</w:t>
      </w:r>
    </w:p>
    <w:bookmarkEnd w:id="79"/>
    <w:p w14:paraId="276A626A" w14:textId="77777777" w:rsidR="0033566A" w:rsidRPr="0033566A" w:rsidRDefault="0033566A" w:rsidP="002B13EE">
      <w:pPr>
        <w:jc w:val="both"/>
      </w:pPr>
      <w:r w:rsidRPr="0033566A">
        <w:t xml:space="preserve">Agreement was reached to expand Ireland’s leading trad and folk festival to South Dublin. </w:t>
      </w:r>
      <w:proofErr w:type="spellStart"/>
      <w:r w:rsidRPr="0033566A">
        <w:t>Tradfest</w:t>
      </w:r>
      <w:proofErr w:type="spellEnd"/>
      <w:r w:rsidRPr="0033566A">
        <w:t xml:space="preserve"> In South Dublin took place in </w:t>
      </w:r>
      <w:proofErr w:type="gramStart"/>
      <w:r w:rsidRPr="0033566A">
        <w:t>a number of</w:t>
      </w:r>
      <w:proofErr w:type="gramEnd"/>
      <w:r w:rsidRPr="0033566A">
        <w:t xml:space="preserve"> historic and atmospheric venues across South Dublin in January 2025, with local communities getting to experience trad music in venues such as Áras </w:t>
      </w:r>
      <w:proofErr w:type="spellStart"/>
      <w:r w:rsidRPr="0033566A">
        <w:t>Chrónáin</w:t>
      </w:r>
      <w:proofErr w:type="spellEnd"/>
      <w:r w:rsidRPr="0033566A">
        <w:t xml:space="preserve"> Ionad </w:t>
      </w:r>
      <w:proofErr w:type="spellStart"/>
      <w:r w:rsidRPr="0033566A">
        <w:t>Cultúir</w:t>
      </w:r>
      <w:proofErr w:type="spellEnd"/>
      <w:r w:rsidRPr="0033566A">
        <w:t xml:space="preserve">, </w:t>
      </w:r>
      <w:proofErr w:type="spellStart"/>
      <w:r w:rsidRPr="0033566A">
        <w:t>Glenasmole</w:t>
      </w:r>
      <w:proofErr w:type="spellEnd"/>
      <w:r w:rsidRPr="0033566A">
        <w:t xml:space="preserve"> Community Centre, Brú </w:t>
      </w:r>
      <w:proofErr w:type="spellStart"/>
      <w:r w:rsidRPr="0033566A">
        <w:t>Chrónáin</w:t>
      </w:r>
      <w:proofErr w:type="spellEnd"/>
      <w:r w:rsidRPr="0033566A">
        <w:t xml:space="preserve"> Round Tower Visitor Centre, Court of Petty Sessions in Rathcoole, as well as St </w:t>
      </w:r>
      <w:proofErr w:type="spellStart"/>
      <w:r w:rsidRPr="0033566A">
        <w:t>Maelruain’s</w:t>
      </w:r>
      <w:proofErr w:type="spellEnd"/>
      <w:r w:rsidRPr="0033566A">
        <w:t xml:space="preserve"> Church in Tallaght. </w:t>
      </w:r>
    </w:p>
    <w:tbl>
      <w:tblPr>
        <w:tblW w:w="91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936"/>
        <w:gridCol w:w="2229"/>
      </w:tblGrid>
      <w:tr w:rsidR="0033566A" w:rsidRPr="0033566A" w14:paraId="1DE4A658" w14:textId="77777777" w:rsidTr="006B1FA9">
        <w:trPr>
          <w:trHeight w:val="284"/>
          <w:jc w:val="center"/>
        </w:trPr>
        <w:tc>
          <w:tcPr>
            <w:tcW w:w="6936" w:type="dxa"/>
            <w:tcBorders>
              <w:top w:val="single" w:sz="8" w:space="0" w:color="000000"/>
              <w:left w:val="single" w:sz="8" w:space="0" w:color="000000"/>
              <w:bottom w:val="single" w:sz="8" w:space="0" w:color="000000"/>
              <w:right w:val="single" w:sz="8" w:space="0" w:color="000000"/>
            </w:tcBorders>
            <w:vAlign w:val="center"/>
            <w:hideMark/>
          </w:tcPr>
          <w:p w14:paraId="51B8587F" w14:textId="77777777" w:rsidR="0033566A" w:rsidRPr="00B60676" w:rsidRDefault="0033566A" w:rsidP="00077437">
            <w:pPr>
              <w:spacing w:after="0"/>
              <w:jc w:val="both"/>
              <w:rPr>
                <w:b/>
                <w:bCs/>
                <w:lang w:val="en-US"/>
              </w:rPr>
            </w:pPr>
            <w:proofErr w:type="gramStart"/>
            <w:r w:rsidRPr="00B60676">
              <w:rPr>
                <w:b/>
                <w:bCs/>
                <w:lang w:val="en-US"/>
              </w:rPr>
              <w:t>Economic</w:t>
            </w:r>
            <w:proofErr w:type="gramEnd"/>
            <w:r w:rsidRPr="00B60676">
              <w:rPr>
                <w:b/>
                <w:bCs/>
                <w:lang w:val="en-US"/>
              </w:rPr>
              <w:t>, Enterprise and Tourism Development Key Statistics</w:t>
            </w:r>
          </w:p>
        </w:tc>
        <w:tc>
          <w:tcPr>
            <w:tcW w:w="2229" w:type="dxa"/>
            <w:tcBorders>
              <w:top w:val="single" w:sz="8" w:space="0" w:color="000000"/>
              <w:left w:val="single" w:sz="8" w:space="0" w:color="000000"/>
              <w:bottom w:val="single" w:sz="8" w:space="0" w:color="000000"/>
              <w:right w:val="single" w:sz="8" w:space="0" w:color="000000"/>
            </w:tcBorders>
            <w:vAlign w:val="center"/>
            <w:hideMark/>
          </w:tcPr>
          <w:p w14:paraId="2827E764" w14:textId="77777777" w:rsidR="0033566A" w:rsidRPr="00B60676" w:rsidRDefault="0033566A" w:rsidP="00077437">
            <w:pPr>
              <w:spacing w:after="0"/>
              <w:jc w:val="both"/>
              <w:rPr>
                <w:b/>
                <w:bCs/>
                <w:lang w:val="en-US"/>
              </w:rPr>
            </w:pPr>
            <w:r w:rsidRPr="00B60676">
              <w:rPr>
                <w:b/>
                <w:bCs/>
                <w:lang w:val="en-US"/>
              </w:rPr>
              <w:t>2024 Totals</w:t>
            </w:r>
          </w:p>
        </w:tc>
      </w:tr>
      <w:tr w:rsidR="0033566A" w:rsidRPr="0033566A" w14:paraId="404770DA" w14:textId="77777777" w:rsidTr="006B1FA9">
        <w:trPr>
          <w:trHeight w:val="284"/>
          <w:jc w:val="center"/>
        </w:trPr>
        <w:tc>
          <w:tcPr>
            <w:tcW w:w="6936" w:type="dxa"/>
            <w:tcBorders>
              <w:top w:val="single" w:sz="8" w:space="0" w:color="000000"/>
              <w:left w:val="single" w:sz="8" w:space="0" w:color="000000"/>
              <w:bottom w:val="single" w:sz="8" w:space="0" w:color="000000"/>
              <w:right w:val="single" w:sz="8" w:space="0" w:color="000000"/>
            </w:tcBorders>
            <w:vAlign w:val="bottom"/>
            <w:hideMark/>
          </w:tcPr>
          <w:p w14:paraId="67CE4E97" w14:textId="0EF36956" w:rsidR="0033566A" w:rsidRPr="0033566A" w:rsidRDefault="0033566A" w:rsidP="00077437">
            <w:pPr>
              <w:spacing w:after="0"/>
              <w:jc w:val="both"/>
              <w:rPr>
                <w:lang w:val="en-US"/>
              </w:rPr>
            </w:pPr>
            <w:r w:rsidRPr="0033566A">
              <w:rPr>
                <w:lang w:val="en-US"/>
              </w:rPr>
              <w:t>LEO jobs supported</w:t>
            </w:r>
          </w:p>
        </w:tc>
        <w:tc>
          <w:tcPr>
            <w:tcW w:w="2229" w:type="dxa"/>
            <w:tcBorders>
              <w:top w:val="single" w:sz="8" w:space="0" w:color="000000"/>
              <w:left w:val="single" w:sz="8" w:space="0" w:color="000000"/>
              <w:bottom w:val="single" w:sz="8" w:space="0" w:color="000000"/>
              <w:right w:val="single" w:sz="8" w:space="0" w:color="000000"/>
            </w:tcBorders>
            <w:vAlign w:val="bottom"/>
            <w:hideMark/>
          </w:tcPr>
          <w:p w14:paraId="70A9E1C7" w14:textId="77777777" w:rsidR="0033566A" w:rsidRPr="0033566A" w:rsidRDefault="0033566A" w:rsidP="00077437">
            <w:pPr>
              <w:spacing w:after="0"/>
              <w:jc w:val="right"/>
              <w:rPr>
                <w:lang w:val="en-US"/>
              </w:rPr>
            </w:pPr>
            <w:r w:rsidRPr="0033566A">
              <w:rPr>
                <w:lang w:val="en-US"/>
              </w:rPr>
              <w:t>51</w:t>
            </w:r>
          </w:p>
        </w:tc>
      </w:tr>
      <w:tr w:rsidR="0033566A" w:rsidRPr="0033566A" w14:paraId="50FBF1EE" w14:textId="77777777" w:rsidTr="006B1FA9">
        <w:trPr>
          <w:trHeight w:val="284"/>
          <w:jc w:val="center"/>
        </w:trPr>
        <w:tc>
          <w:tcPr>
            <w:tcW w:w="6936" w:type="dxa"/>
            <w:tcBorders>
              <w:top w:val="single" w:sz="8" w:space="0" w:color="000000"/>
              <w:left w:val="single" w:sz="8" w:space="0" w:color="000000"/>
              <w:bottom w:val="single" w:sz="8" w:space="0" w:color="000000"/>
              <w:right w:val="single" w:sz="8" w:space="0" w:color="000000"/>
            </w:tcBorders>
            <w:vAlign w:val="bottom"/>
            <w:hideMark/>
          </w:tcPr>
          <w:p w14:paraId="0FC121DB" w14:textId="77777777" w:rsidR="0033566A" w:rsidRPr="0033566A" w:rsidRDefault="0033566A" w:rsidP="00077437">
            <w:pPr>
              <w:spacing w:after="0"/>
              <w:jc w:val="both"/>
              <w:rPr>
                <w:lang w:val="en-US"/>
              </w:rPr>
            </w:pPr>
            <w:r w:rsidRPr="0033566A">
              <w:rPr>
                <w:lang w:val="en-US"/>
              </w:rPr>
              <w:t>LEO mentoring participants</w:t>
            </w:r>
          </w:p>
        </w:tc>
        <w:tc>
          <w:tcPr>
            <w:tcW w:w="2229" w:type="dxa"/>
            <w:tcBorders>
              <w:top w:val="single" w:sz="8" w:space="0" w:color="000000"/>
              <w:left w:val="single" w:sz="8" w:space="0" w:color="000000"/>
              <w:bottom w:val="single" w:sz="8" w:space="0" w:color="000000"/>
              <w:right w:val="single" w:sz="8" w:space="0" w:color="000000"/>
            </w:tcBorders>
            <w:vAlign w:val="bottom"/>
            <w:hideMark/>
          </w:tcPr>
          <w:p w14:paraId="7F3C8D0C" w14:textId="77777777" w:rsidR="0033566A" w:rsidRPr="0033566A" w:rsidRDefault="0033566A" w:rsidP="00077437">
            <w:pPr>
              <w:spacing w:after="0"/>
              <w:jc w:val="right"/>
              <w:rPr>
                <w:lang w:val="en-US"/>
              </w:rPr>
            </w:pPr>
            <w:r w:rsidRPr="0033566A">
              <w:rPr>
                <w:lang w:val="en-US"/>
              </w:rPr>
              <w:t>675</w:t>
            </w:r>
          </w:p>
        </w:tc>
      </w:tr>
      <w:tr w:rsidR="0033566A" w:rsidRPr="0033566A" w14:paraId="334E2C2E" w14:textId="77777777" w:rsidTr="006B1FA9">
        <w:trPr>
          <w:trHeight w:val="284"/>
          <w:jc w:val="center"/>
        </w:trPr>
        <w:tc>
          <w:tcPr>
            <w:tcW w:w="6936" w:type="dxa"/>
            <w:tcBorders>
              <w:top w:val="single" w:sz="8" w:space="0" w:color="000000"/>
              <w:left w:val="single" w:sz="8" w:space="0" w:color="000000"/>
              <w:bottom w:val="single" w:sz="8" w:space="0" w:color="000000"/>
              <w:right w:val="single" w:sz="8" w:space="0" w:color="000000"/>
            </w:tcBorders>
            <w:vAlign w:val="bottom"/>
            <w:hideMark/>
          </w:tcPr>
          <w:p w14:paraId="6C7D18F1" w14:textId="77777777" w:rsidR="0033566A" w:rsidRPr="0033566A" w:rsidRDefault="0033566A" w:rsidP="00077437">
            <w:pPr>
              <w:spacing w:after="0"/>
              <w:jc w:val="both"/>
              <w:rPr>
                <w:lang w:val="en-US"/>
              </w:rPr>
            </w:pPr>
            <w:r w:rsidRPr="0033566A">
              <w:rPr>
                <w:lang w:val="en-US"/>
              </w:rPr>
              <w:t>Trading online voucher applications approved</w:t>
            </w:r>
          </w:p>
        </w:tc>
        <w:tc>
          <w:tcPr>
            <w:tcW w:w="2229" w:type="dxa"/>
            <w:tcBorders>
              <w:top w:val="single" w:sz="8" w:space="0" w:color="000000"/>
              <w:left w:val="single" w:sz="8" w:space="0" w:color="000000"/>
              <w:bottom w:val="single" w:sz="8" w:space="0" w:color="000000"/>
              <w:right w:val="single" w:sz="8" w:space="0" w:color="000000"/>
            </w:tcBorders>
            <w:vAlign w:val="bottom"/>
            <w:hideMark/>
          </w:tcPr>
          <w:p w14:paraId="1632BB75" w14:textId="77777777" w:rsidR="0033566A" w:rsidRPr="0033566A" w:rsidRDefault="0033566A" w:rsidP="00077437">
            <w:pPr>
              <w:spacing w:after="0"/>
              <w:jc w:val="right"/>
              <w:rPr>
                <w:lang w:val="en-US"/>
              </w:rPr>
            </w:pPr>
            <w:r w:rsidRPr="0033566A">
              <w:rPr>
                <w:lang w:val="en-US"/>
              </w:rPr>
              <w:t>96</w:t>
            </w:r>
          </w:p>
        </w:tc>
      </w:tr>
      <w:tr w:rsidR="0033566A" w:rsidRPr="0033566A" w14:paraId="4DEE2DBF" w14:textId="77777777" w:rsidTr="006B1FA9">
        <w:trPr>
          <w:trHeight w:val="284"/>
          <w:jc w:val="center"/>
        </w:trPr>
        <w:tc>
          <w:tcPr>
            <w:tcW w:w="6936" w:type="dxa"/>
            <w:tcBorders>
              <w:top w:val="single" w:sz="8" w:space="0" w:color="000000"/>
              <w:left w:val="single" w:sz="8" w:space="0" w:color="000000"/>
              <w:bottom w:val="single" w:sz="8" w:space="0" w:color="000000"/>
              <w:right w:val="single" w:sz="8" w:space="0" w:color="000000"/>
            </w:tcBorders>
            <w:vAlign w:val="bottom"/>
            <w:hideMark/>
          </w:tcPr>
          <w:p w14:paraId="5901AEC9" w14:textId="77777777" w:rsidR="0033566A" w:rsidRPr="0033566A" w:rsidRDefault="0033566A" w:rsidP="00077437">
            <w:pPr>
              <w:spacing w:after="0"/>
              <w:jc w:val="both"/>
              <w:rPr>
                <w:lang w:val="en-US"/>
              </w:rPr>
            </w:pPr>
            <w:r w:rsidRPr="0033566A">
              <w:rPr>
                <w:lang w:val="en-US"/>
              </w:rPr>
              <w:t>Business support grants expenditure</w:t>
            </w:r>
          </w:p>
        </w:tc>
        <w:tc>
          <w:tcPr>
            <w:tcW w:w="2229" w:type="dxa"/>
            <w:tcBorders>
              <w:top w:val="single" w:sz="8" w:space="0" w:color="000000"/>
              <w:left w:val="single" w:sz="8" w:space="0" w:color="000000"/>
              <w:bottom w:val="single" w:sz="8" w:space="0" w:color="000000"/>
              <w:right w:val="single" w:sz="8" w:space="0" w:color="000000"/>
            </w:tcBorders>
            <w:vAlign w:val="bottom"/>
            <w:hideMark/>
          </w:tcPr>
          <w:p w14:paraId="309B3933" w14:textId="77777777" w:rsidR="0033566A" w:rsidRPr="0033566A" w:rsidRDefault="0033566A" w:rsidP="00077437">
            <w:pPr>
              <w:spacing w:after="0"/>
              <w:jc w:val="right"/>
              <w:rPr>
                <w:lang w:val="en-US"/>
              </w:rPr>
            </w:pPr>
            <w:r w:rsidRPr="0033566A">
              <w:rPr>
                <w:lang w:val="en-US"/>
              </w:rPr>
              <w:t>€280,528</w:t>
            </w:r>
          </w:p>
        </w:tc>
      </w:tr>
      <w:tr w:rsidR="0033566A" w:rsidRPr="0033566A" w14:paraId="3B142D3B" w14:textId="77777777" w:rsidTr="006B1FA9">
        <w:trPr>
          <w:trHeight w:val="284"/>
          <w:jc w:val="center"/>
        </w:trPr>
        <w:tc>
          <w:tcPr>
            <w:tcW w:w="6936" w:type="dxa"/>
            <w:tcBorders>
              <w:top w:val="single" w:sz="8" w:space="0" w:color="000000"/>
              <w:left w:val="single" w:sz="8" w:space="0" w:color="000000"/>
              <w:bottom w:val="single" w:sz="8" w:space="0" w:color="000000"/>
              <w:right w:val="single" w:sz="8" w:space="0" w:color="000000"/>
            </w:tcBorders>
            <w:vAlign w:val="bottom"/>
            <w:hideMark/>
          </w:tcPr>
          <w:p w14:paraId="455DD885" w14:textId="77777777" w:rsidR="0033566A" w:rsidRPr="0033566A" w:rsidRDefault="0033566A" w:rsidP="00077437">
            <w:pPr>
              <w:spacing w:after="0"/>
              <w:jc w:val="both"/>
              <w:rPr>
                <w:lang w:val="en-US"/>
              </w:rPr>
            </w:pPr>
            <w:r w:rsidRPr="0033566A">
              <w:rPr>
                <w:lang w:val="en-US"/>
              </w:rPr>
              <w:t>Grange Castle jobs sustained</w:t>
            </w:r>
          </w:p>
        </w:tc>
        <w:tc>
          <w:tcPr>
            <w:tcW w:w="2229" w:type="dxa"/>
            <w:tcBorders>
              <w:top w:val="single" w:sz="8" w:space="0" w:color="000000"/>
              <w:left w:val="single" w:sz="8" w:space="0" w:color="000000"/>
              <w:bottom w:val="single" w:sz="8" w:space="0" w:color="000000"/>
              <w:right w:val="single" w:sz="8" w:space="0" w:color="000000"/>
            </w:tcBorders>
            <w:vAlign w:val="bottom"/>
            <w:hideMark/>
          </w:tcPr>
          <w:p w14:paraId="3C4841E1" w14:textId="77777777" w:rsidR="0033566A" w:rsidRPr="0033566A" w:rsidRDefault="0033566A" w:rsidP="00077437">
            <w:pPr>
              <w:spacing w:after="0"/>
              <w:jc w:val="right"/>
              <w:rPr>
                <w:lang w:val="en-US"/>
              </w:rPr>
            </w:pPr>
            <w:r w:rsidRPr="0033566A">
              <w:rPr>
                <w:lang w:val="en-US"/>
              </w:rPr>
              <w:t>5,328</w:t>
            </w:r>
          </w:p>
        </w:tc>
      </w:tr>
      <w:tr w:rsidR="0033566A" w:rsidRPr="0033566A" w14:paraId="5A9420D7" w14:textId="77777777" w:rsidTr="006B1FA9">
        <w:trPr>
          <w:trHeight w:val="284"/>
          <w:jc w:val="center"/>
        </w:trPr>
        <w:tc>
          <w:tcPr>
            <w:tcW w:w="6936" w:type="dxa"/>
            <w:tcBorders>
              <w:top w:val="single" w:sz="8" w:space="0" w:color="000000"/>
              <w:left w:val="single" w:sz="8" w:space="0" w:color="000000"/>
              <w:bottom w:val="single" w:sz="8" w:space="0" w:color="000000"/>
              <w:right w:val="single" w:sz="8" w:space="0" w:color="000000"/>
            </w:tcBorders>
            <w:vAlign w:val="bottom"/>
            <w:hideMark/>
          </w:tcPr>
          <w:p w14:paraId="1017F7C5" w14:textId="77777777" w:rsidR="0033566A" w:rsidRPr="0033566A" w:rsidRDefault="0033566A" w:rsidP="00077437">
            <w:pPr>
              <w:spacing w:after="0"/>
              <w:jc w:val="both"/>
              <w:rPr>
                <w:lang w:val="en-US"/>
              </w:rPr>
            </w:pPr>
            <w:r w:rsidRPr="0033566A">
              <w:rPr>
                <w:lang w:val="en-US"/>
              </w:rPr>
              <w:t>Active library members</w:t>
            </w:r>
          </w:p>
        </w:tc>
        <w:tc>
          <w:tcPr>
            <w:tcW w:w="2229" w:type="dxa"/>
            <w:tcBorders>
              <w:top w:val="single" w:sz="8" w:space="0" w:color="000000"/>
              <w:left w:val="single" w:sz="8" w:space="0" w:color="000000"/>
              <w:bottom w:val="single" w:sz="8" w:space="0" w:color="000000"/>
              <w:right w:val="single" w:sz="8" w:space="0" w:color="000000"/>
            </w:tcBorders>
            <w:vAlign w:val="bottom"/>
            <w:hideMark/>
          </w:tcPr>
          <w:p w14:paraId="0288F10D" w14:textId="77777777" w:rsidR="0033566A" w:rsidRPr="0033566A" w:rsidRDefault="0033566A" w:rsidP="00077437">
            <w:pPr>
              <w:spacing w:after="0"/>
              <w:jc w:val="right"/>
              <w:rPr>
                <w:lang w:val="en-US"/>
              </w:rPr>
            </w:pPr>
            <w:r w:rsidRPr="0033566A">
              <w:rPr>
                <w:lang w:val="en-US"/>
              </w:rPr>
              <w:t>60,741</w:t>
            </w:r>
          </w:p>
        </w:tc>
      </w:tr>
      <w:tr w:rsidR="0033566A" w:rsidRPr="0033566A" w14:paraId="5584CA4A" w14:textId="77777777" w:rsidTr="006B1FA9">
        <w:trPr>
          <w:trHeight w:val="284"/>
          <w:jc w:val="center"/>
        </w:trPr>
        <w:tc>
          <w:tcPr>
            <w:tcW w:w="6936" w:type="dxa"/>
            <w:tcBorders>
              <w:top w:val="single" w:sz="8" w:space="0" w:color="000000"/>
              <w:left w:val="single" w:sz="8" w:space="0" w:color="000000"/>
              <w:bottom w:val="single" w:sz="8" w:space="0" w:color="000000"/>
              <w:right w:val="single" w:sz="8" w:space="0" w:color="000000"/>
            </w:tcBorders>
            <w:vAlign w:val="bottom"/>
            <w:hideMark/>
          </w:tcPr>
          <w:p w14:paraId="7FBCBCE2" w14:textId="77777777" w:rsidR="0033566A" w:rsidRPr="0033566A" w:rsidRDefault="0033566A" w:rsidP="00077437">
            <w:pPr>
              <w:spacing w:after="0"/>
              <w:jc w:val="both"/>
              <w:rPr>
                <w:lang w:val="en-US"/>
              </w:rPr>
            </w:pPr>
            <w:r w:rsidRPr="0033566A">
              <w:rPr>
                <w:lang w:val="en-US"/>
              </w:rPr>
              <w:t>Expenditure on new library stock</w:t>
            </w:r>
          </w:p>
        </w:tc>
        <w:tc>
          <w:tcPr>
            <w:tcW w:w="2229" w:type="dxa"/>
            <w:tcBorders>
              <w:top w:val="single" w:sz="8" w:space="0" w:color="000000"/>
              <w:left w:val="single" w:sz="8" w:space="0" w:color="000000"/>
              <w:bottom w:val="single" w:sz="8" w:space="0" w:color="000000"/>
              <w:right w:val="single" w:sz="8" w:space="0" w:color="000000"/>
            </w:tcBorders>
            <w:vAlign w:val="bottom"/>
            <w:hideMark/>
          </w:tcPr>
          <w:p w14:paraId="06A726B6" w14:textId="77777777" w:rsidR="0033566A" w:rsidRPr="0033566A" w:rsidRDefault="0033566A" w:rsidP="00077437">
            <w:pPr>
              <w:spacing w:after="0"/>
              <w:jc w:val="right"/>
              <w:rPr>
                <w:lang w:val="en-US"/>
              </w:rPr>
            </w:pPr>
            <w:r w:rsidRPr="0033566A">
              <w:rPr>
                <w:lang w:val="en-US"/>
              </w:rPr>
              <w:t>€531,768</w:t>
            </w:r>
          </w:p>
        </w:tc>
      </w:tr>
      <w:tr w:rsidR="0033566A" w:rsidRPr="0033566A" w14:paraId="56B728DE" w14:textId="77777777" w:rsidTr="006B1FA9">
        <w:trPr>
          <w:trHeight w:val="284"/>
          <w:jc w:val="center"/>
        </w:trPr>
        <w:tc>
          <w:tcPr>
            <w:tcW w:w="6936" w:type="dxa"/>
            <w:tcBorders>
              <w:top w:val="single" w:sz="8" w:space="0" w:color="000000"/>
              <w:left w:val="single" w:sz="8" w:space="0" w:color="000000"/>
              <w:bottom w:val="single" w:sz="8" w:space="0" w:color="000000"/>
              <w:right w:val="single" w:sz="8" w:space="0" w:color="000000"/>
            </w:tcBorders>
            <w:vAlign w:val="bottom"/>
            <w:hideMark/>
          </w:tcPr>
          <w:p w14:paraId="62515F3C" w14:textId="77777777" w:rsidR="0033566A" w:rsidRPr="0033566A" w:rsidRDefault="0033566A" w:rsidP="00077437">
            <w:pPr>
              <w:spacing w:after="0"/>
              <w:jc w:val="both"/>
              <w:rPr>
                <w:lang w:val="en-US"/>
              </w:rPr>
            </w:pPr>
            <w:r w:rsidRPr="0033566A">
              <w:rPr>
                <w:lang w:val="en-US"/>
              </w:rPr>
              <w:t>Library visitors</w:t>
            </w:r>
          </w:p>
        </w:tc>
        <w:tc>
          <w:tcPr>
            <w:tcW w:w="2229" w:type="dxa"/>
            <w:tcBorders>
              <w:top w:val="single" w:sz="8" w:space="0" w:color="000000"/>
              <w:left w:val="single" w:sz="8" w:space="0" w:color="000000"/>
              <w:bottom w:val="single" w:sz="8" w:space="0" w:color="000000"/>
              <w:right w:val="single" w:sz="8" w:space="0" w:color="000000"/>
            </w:tcBorders>
            <w:vAlign w:val="bottom"/>
            <w:hideMark/>
          </w:tcPr>
          <w:p w14:paraId="66BF5F48" w14:textId="77777777" w:rsidR="0033566A" w:rsidRPr="0033566A" w:rsidRDefault="0033566A" w:rsidP="00077437">
            <w:pPr>
              <w:spacing w:after="0"/>
              <w:jc w:val="right"/>
              <w:rPr>
                <w:lang w:val="en-US"/>
              </w:rPr>
            </w:pPr>
            <w:r w:rsidRPr="0033566A">
              <w:rPr>
                <w:lang w:val="en-US"/>
              </w:rPr>
              <w:t>946,412</w:t>
            </w:r>
          </w:p>
        </w:tc>
      </w:tr>
      <w:tr w:rsidR="0033566A" w:rsidRPr="0033566A" w14:paraId="08D90BA7" w14:textId="77777777" w:rsidTr="006B1FA9">
        <w:trPr>
          <w:trHeight w:val="284"/>
          <w:jc w:val="center"/>
        </w:trPr>
        <w:tc>
          <w:tcPr>
            <w:tcW w:w="6936" w:type="dxa"/>
            <w:tcBorders>
              <w:top w:val="single" w:sz="8" w:space="0" w:color="000000"/>
              <w:left w:val="single" w:sz="8" w:space="0" w:color="000000"/>
              <w:bottom w:val="single" w:sz="8" w:space="0" w:color="000000"/>
              <w:right w:val="single" w:sz="8" w:space="0" w:color="000000"/>
            </w:tcBorders>
            <w:vAlign w:val="bottom"/>
            <w:hideMark/>
          </w:tcPr>
          <w:p w14:paraId="4BA7B313" w14:textId="77777777" w:rsidR="0033566A" w:rsidRPr="0033566A" w:rsidRDefault="0033566A" w:rsidP="00077437">
            <w:pPr>
              <w:spacing w:after="0"/>
              <w:jc w:val="both"/>
              <w:rPr>
                <w:lang w:val="en-US"/>
              </w:rPr>
            </w:pPr>
            <w:r w:rsidRPr="0033566A">
              <w:rPr>
                <w:lang w:val="en-US"/>
              </w:rPr>
              <w:t>Library items borrowed</w:t>
            </w:r>
          </w:p>
        </w:tc>
        <w:tc>
          <w:tcPr>
            <w:tcW w:w="2229" w:type="dxa"/>
            <w:tcBorders>
              <w:top w:val="single" w:sz="8" w:space="0" w:color="000000"/>
              <w:left w:val="single" w:sz="8" w:space="0" w:color="000000"/>
              <w:bottom w:val="single" w:sz="8" w:space="0" w:color="000000"/>
              <w:right w:val="single" w:sz="8" w:space="0" w:color="000000"/>
            </w:tcBorders>
            <w:vAlign w:val="bottom"/>
            <w:hideMark/>
          </w:tcPr>
          <w:p w14:paraId="7B8DC55A" w14:textId="77777777" w:rsidR="0033566A" w:rsidRPr="0033566A" w:rsidRDefault="0033566A" w:rsidP="00077437">
            <w:pPr>
              <w:spacing w:after="0"/>
              <w:jc w:val="right"/>
              <w:rPr>
                <w:lang w:val="en-US"/>
              </w:rPr>
            </w:pPr>
            <w:r w:rsidRPr="0033566A">
              <w:rPr>
                <w:lang w:val="en-US"/>
              </w:rPr>
              <w:t>964,295</w:t>
            </w:r>
          </w:p>
        </w:tc>
      </w:tr>
      <w:tr w:rsidR="0033566A" w:rsidRPr="0033566A" w14:paraId="5D2D34E6" w14:textId="77777777" w:rsidTr="006B1FA9">
        <w:trPr>
          <w:trHeight w:val="284"/>
          <w:jc w:val="center"/>
        </w:trPr>
        <w:tc>
          <w:tcPr>
            <w:tcW w:w="6936" w:type="dxa"/>
            <w:tcBorders>
              <w:top w:val="single" w:sz="8" w:space="0" w:color="000000"/>
              <w:left w:val="single" w:sz="8" w:space="0" w:color="000000"/>
              <w:bottom w:val="single" w:sz="8" w:space="0" w:color="000000"/>
              <w:right w:val="single" w:sz="8" w:space="0" w:color="000000"/>
            </w:tcBorders>
            <w:vAlign w:val="bottom"/>
            <w:hideMark/>
          </w:tcPr>
          <w:p w14:paraId="09A0C62F" w14:textId="77777777" w:rsidR="0033566A" w:rsidRPr="0033566A" w:rsidRDefault="0033566A" w:rsidP="00077437">
            <w:pPr>
              <w:spacing w:after="0"/>
              <w:jc w:val="both"/>
              <w:rPr>
                <w:lang w:val="en-US"/>
              </w:rPr>
            </w:pPr>
            <w:r w:rsidRPr="0033566A">
              <w:rPr>
                <w:lang w:val="en-US"/>
              </w:rPr>
              <w:t>Number of festival and tourism events supported</w:t>
            </w:r>
          </w:p>
        </w:tc>
        <w:tc>
          <w:tcPr>
            <w:tcW w:w="2229" w:type="dxa"/>
            <w:tcBorders>
              <w:top w:val="single" w:sz="8" w:space="0" w:color="000000"/>
              <w:left w:val="single" w:sz="8" w:space="0" w:color="000000"/>
              <w:bottom w:val="single" w:sz="8" w:space="0" w:color="000000"/>
              <w:right w:val="single" w:sz="8" w:space="0" w:color="000000"/>
            </w:tcBorders>
            <w:vAlign w:val="bottom"/>
            <w:hideMark/>
          </w:tcPr>
          <w:p w14:paraId="77DFBB9C" w14:textId="77777777" w:rsidR="0033566A" w:rsidRPr="0033566A" w:rsidRDefault="0033566A" w:rsidP="00077437">
            <w:pPr>
              <w:spacing w:after="0"/>
              <w:jc w:val="right"/>
              <w:rPr>
                <w:lang w:val="en-US"/>
              </w:rPr>
            </w:pPr>
            <w:r w:rsidRPr="0033566A">
              <w:rPr>
                <w:lang w:val="en-US"/>
              </w:rPr>
              <w:t>13</w:t>
            </w:r>
          </w:p>
        </w:tc>
      </w:tr>
      <w:tr w:rsidR="0033566A" w:rsidRPr="0033566A" w14:paraId="2F0C6BDF" w14:textId="77777777" w:rsidTr="006B1FA9">
        <w:trPr>
          <w:trHeight w:val="284"/>
          <w:jc w:val="center"/>
        </w:trPr>
        <w:tc>
          <w:tcPr>
            <w:tcW w:w="6936" w:type="dxa"/>
            <w:tcBorders>
              <w:top w:val="single" w:sz="8" w:space="0" w:color="000000"/>
              <w:left w:val="single" w:sz="8" w:space="0" w:color="000000"/>
              <w:bottom w:val="single" w:sz="8" w:space="0" w:color="000000"/>
              <w:right w:val="single" w:sz="8" w:space="0" w:color="000000"/>
            </w:tcBorders>
            <w:vAlign w:val="bottom"/>
            <w:hideMark/>
          </w:tcPr>
          <w:p w14:paraId="2A5344AE" w14:textId="77777777" w:rsidR="0033566A" w:rsidRPr="0033566A" w:rsidRDefault="0033566A" w:rsidP="00077437">
            <w:pPr>
              <w:spacing w:after="0"/>
              <w:jc w:val="both"/>
              <w:rPr>
                <w:lang w:val="en-US"/>
              </w:rPr>
            </w:pPr>
            <w:r w:rsidRPr="0033566A">
              <w:rPr>
                <w:lang w:val="en-US"/>
              </w:rPr>
              <w:t xml:space="preserve">Visitors to </w:t>
            </w:r>
            <w:r w:rsidRPr="0033566A">
              <w:t xml:space="preserve">Brú </w:t>
            </w:r>
            <w:proofErr w:type="spellStart"/>
            <w:r w:rsidRPr="0033566A">
              <w:t>Chrónáin</w:t>
            </w:r>
            <w:proofErr w:type="spellEnd"/>
            <w:r w:rsidRPr="0033566A">
              <w:t xml:space="preserve"> Round Tower Visitor Centre</w:t>
            </w:r>
          </w:p>
        </w:tc>
        <w:tc>
          <w:tcPr>
            <w:tcW w:w="2229" w:type="dxa"/>
            <w:tcBorders>
              <w:top w:val="single" w:sz="8" w:space="0" w:color="000000"/>
              <w:left w:val="single" w:sz="8" w:space="0" w:color="000000"/>
              <w:bottom w:val="single" w:sz="8" w:space="0" w:color="000000"/>
              <w:right w:val="single" w:sz="8" w:space="0" w:color="000000"/>
            </w:tcBorders>
            <w:vAlign w:val="bottom"/>
            <w:hideMark/>
          </w:tcPr>
          <w:p w14:paraId="577E9AFB" w14:textId="77777777" w:rsidR="0033566A" w:rsidRPr="0033566A" w:rsidRDefault="0033566A" w:rsidP="00077437">
            <w:pPr>
              <w:spacing w:after="0"/>
              <w:jc w:val="right"/>
              <w:rPr>
                <w:lang w:val="en-US"/>
              </w:rPr>
            </w:pPr>
            <w:r w:rsidRPr="0033566A">
              <w:rPr>
                <w:lang w:val="en-US"/>
              </w:rPr>
              <w:t>74,554</w:t>
            </w:r>
          </w:p>
        </w:tc>
      </w:tr>
      <w:tr w:rsidR="0033566A" w:rsidRPr="0033566A" w14:paraId="48BDE06C" w14:textId="77777777" w:rsidTr="006B1FA9">
        <w:trPr>
          <w:trHeight w:val="284"/>
          <w:jc w:val="center"/>
        </w:trPr>
        <w:tc>
          <w:tcPr>
            <w:tcW w:w="6936" w:type="dxa"/>
            <w:tcBorders>
              <w:top w:val="single" w:sz="8" w:space="0" w:color="000000"/>
              <w:left w:val="single" w:sz="8" w:space="0" w:color="000000"/>
              <w:bottom w:val="single" w:sz="8" w:space="0" w:color="000000"/>
              <w:right w:val="single" w:sz="8" w:space="0" w:color="000000"/>
            </w:tcBorders>
            <w:vAlign w:val="bottom"/>
            <w:hideMark/>
          </w:tcPr>
          <w:p w14:paraId="0A9317F1" w14:textId="77777777" w:rsidR="0033566A" w:rsidRPr="0033566A" w:rsidRDefault="0033566A" w:rsidP="00077437">
            <w:pPr>
              <w:spacing w:after="0"/>
              <w:jc w:val="both"/>
              <w:rPr>
                <w:lang w:val="en-US"/>
              </w:rPr>
            </w:pPr>
            <w:r w:rsidRPr="0033566A">
              <w:rPr>
                <w:lang w:val="en-US"/>
              </w:rPr>
              <w:t xml:space="preserve">Visitors to arts </w:t>
            </w:r>
            <w:proofErr w:type="spellStart"/>
            <w:r w:rsidRPr="0033566A">
              <w:rPr>
                <w:lang w:val="en-US"/>
              </w:rPr>
              <w:t>centres</w:t>
            </w:r>
            <w:proofErr w:type="spellEnd"/>
          </w:p>
        </w:tc>
        <w:tc>
          <w:tcPr>
            <w:tcW w:w="2229" w:type="dxa"/>
            <w:tcBorders>
              <w:top w:val="single" w:sz="8" w:space="0" w:color="000000"/>
              <w:left w:val="single" w:sz="8" w:space="0" w:color="000000"/>
              <w:bottom w:val="single" w:sz="8" w:space="0" w:color="000000"/>
              <w:right w:val="single" w:sz="8" w:space="0" w:color="000000"/>
            </w:tcBorders>
            <w:vAlign w:val="bottom"/>
            <w:hideMark/>
          </w:tcPr>
          <w:p w14:paraId="480A286E" w14:textId="77777777" w:rsidR="0033566A" w:rsidRPr="0033566A" w:rsidRDefault="0033566A" w:rsidP="00077437">
            <w:pPr>
              <w:spacing w:after="0"/>
              <w:jc w:val="right"/>
              <w:rPr>
                <w:lang w:val="en-US"/>
              </w:rPr>
            </w:pPr>
            <w:r w:rsidRPr="0033566A">
              <w:rPr>
                <w:lang w:val="en-US"/>
              </w:rPr>
              <w:t>390,161</w:t>
            </w:r>
          </w:p>
        </w:tc>
      </w:tr>
      <w:tr w:rsidR="0033566A" w:rsidRPr="0033566A" w14:paraId="7690AFB3" w14:textId="77777777" w:rsidTr="006B1FA9">
        <w:trPr>
          <w:trHeight w:val="284"/>
          <w:jc w:val="center"/>
        </w:trPr>
        <w:tc>
          <w:tcPr>
            <w:tcW w:w="6936" w:type="dxa"/>
            <w:tcBorders>
              <w:top w:val="single" w:sz="8" w:space="0" w:color="000000"/>
              <w:left w:val="single" w:sz="8" w:space="0" w:color="000000"/>
              <w:bottom w:val="single" w:sz="8" w:space="0" w:color="000000"/>
              <w:right w:val="single" w:sz="8" w:space="0" w:color="000000"/>
            </w:tcBorders>
            <w:vAlign w:val="bottom"/>
            <w:hideMark/>
          </w:tcPr>
          <w:p w14:paraId="37576E9E" w14:textId="77777777" w:rsidR="0033566A" w:rsidRPr="0033566A" w:rsidRDefault="0033566A" w:rsidP="00077437">
            <w:pPr>
              <w:spacing w:after="0"/>
              <w:jc w:val="both"/>
              <w:rPr>
                <w:lang w:val="en-US"/>
              </w:rPr>
            </w:pPr>
            <w:r w:rsidRPr="0033566A">
              <w:rPr>
                <w:lang w:val="en-US"/>
              </w:rPr>
              <w:t>Arts grants paid</w:t>
            </w:r>
          </w:p>
        </w:tc>
        <w:tc>
          <w:tcPr>
            <w:tcW w:w="2229" w:type="dxa"/>
            <w:tcBorders>
              <w:top w:val="single" w:sz="8" w:space="0" w:color="000000"/>
              <w:left w:val="single" w:sz="8" w:space="0" w:color="000000"/>
              <w:bottom w:val="single" w:sz="8" w:space="0" w:color="000000"/>
              <w:right w:val="single" w:sz="8" w:space="0" w:color="000000"/>
            </w:tcBorders>
            <w:vAlign w:val="bottom"/>
            <w:hideMark/>
          </w:tcPr>
          <w:p w14:paraId="303B8601" w14:textId="77777777" w:rsidR="0033566A" w:rsidRPr="0033566A" w:rsidRDefault="0033566A" w:rsidP="00077437">
            <w:pPr>
              <w:spacing w:after="0"/>
              <w:jc w:val="right"/>
              <w:rPr>
                <w:lang w:val="en-US"/>
              </w:rPr>
            </w:pPr>
            <w:r w:rsidRPr="0033566A">
              <w:rPr>
                <w:lang w:val="en-US"/>
              </w:rPr>
              <w:t>124</w:t>
            </w:r>
          </w:p>
        </w:tc>
      </w:tr>
      <w:tr w:rsidR="0033566A" w:rsidRPr="0033566A" w14:paraId="75F14669" w14:textId="77777777" w:rsidTr="006B1FA9">
        <w:trPr>
          <w:trHeight w:val="284"/>
          <w:jc w:val="center"/>
        </w:trPr>
        <w:tc>
          <w:tcPr>
            <w:tcW w:w="6936" w:type="dxa"/>
            <w:tcBorders>
              <w:top w:val="single" w:sz="8" w:space="0" w:color="000000"/>
              <w:left w:val="single" w:sz="8" w:space="0" w:color="000000"/>
              <w:bottom w:val="single" w:sz="8" w:space="0" w:color="000000"/>
              <w:right w:val="single" w:sz="8" w:space="0" w:color="000000"/>
            </w:tcBorders>
            <w:vAlign w:val="bottom"/>
            <w:hideMark/>
          </w:tcPr>
          <w:p w14:paraId="27B14FFA" w14:textId="77777777" w:rsidR="0033566A" w:rsidRPr="0033566A" w:rsidRDefault="0033566A" w:rsidP="00077437">
            <w:pPr>
              <w:spacing w:after="0"/>
              <w:jc w:val="both"/>
              <w:rPr>
                <w:lang w:val="en-US"/>
              </w:rPr>
            </w:pPr>
            <w:r w:rsidRPr="0033566A">
              <w:rPr>
                <w:lang w:val="en-US"/>
              </w:rPr>
              <w:t>Value of arts grants paid</w:t>
            </w:r>
          </w:p>
        </w:tc>
        <w:tc>
          <w:tcPr>
            <w:tcW w:w="2229" w:type="dxa"/>
            <w:tcBorders>
              <w:top w:val="single" w:sz="8" w:space="0" w:color="000000"/>
              <w:left w:val="single" w:sz="8" w:space="0" w:color="000000"/>
              <w:bottom w:val="single" w:sz="8" w:space="0" w:color="000000"/>
              <w:right w:val="single" w:sz="8" w:space="0" w:color="000000"/>
            </w:tcBorders>
            <w:vAlign w:val="bottom"/>
            <w:hideMark/>
          </w:tcPr>
          <w:p w14:paraId="5855FDAA" w14:textId="77777777" w:rsidR="0033566A" w:rsidRPr="0033566A" w:rsidRDefault="0033566A" w:rsidP="00077437">
            <w:pPr>
              <w:spacing w:after="0"/>
              <w:jc w:val="right"/>
              <w:rPr>
                <w:lang w:val="en-US"/>
              </w:rPr>
            </w:pPr>
            <w:r w:rsidRPr="0033566A">
              <w:rPr>
                <w:lang w:val="en-US"/>
              </w:rPr>
              <w:t>€1,463,775</w:t>
            </w:r>
          </w:p>
        </w:tc>
      </w:tr>
    </w:tbl>
    <w:p w14:paraId="44271A50" w14:textId="77777777" w:rsidR="0033566A" w:rsidRPr="0033566A" w:rsidRDefault="0033566A" w:rsidP="00B60676">
      <w:pPr>
        <w:jc w:val="both"/>
        <w:rPr>
          <w:b/>
          <w:bCs/>
        </w:rPr>
      </w:pPr>
    </w:p>
    <w:p w14:paraId="2B2945C2" w14:textId="77777777" w:rsidR="0033566A" w:rsidRPr="0033566A" w:rsidRDefault="0033566A" w:rsidP="00B60676">
      <w:pPr>
        <w:jc w:val="both"/>
        <w:rPr>
          <w:b/>
          <w:bCs/>
        </w:rPr>
      </w:pPr>
    </w:p>
    <w:p w14:paraId="4CCBE99A" w14:textId="77777777" w:rsidR="003D0E54" w:rsidRDefault="003D0E54">
      <w:pPr>
        <w:rPr>
          <w:rFonts w:asciiTheme="majorHAnsi" w:eastAsiaTheme="majorEastAsia" w:hAnsiTheme="majorHAnsi" w:cstheme="majorBidi"/>
          <w:color w:val="0F4761" w:themeColor="accent1" w:themeShade="BF"/>
          <w:sz w:val="32"/>
          <w:szCs w:val="32"/>
        </w:rPr>
      </w:pPr>
      <w:r>
        <w:br w:type="page"/>
      </w:r>
    </w:p>
    <w:p w14:paraId="03DCF5D7" w14:textId="1B98B7B2" w:rsidR="0033566A" w:rsidRPr="0033566A" w:rsidRDefault="0033566A" w:rsidP="00B60676">
      <w:pPr>
        <w:pStyle w:val="Heading2"/>
        <w:jc w:val="both"/>
      </w:pPr>
      <w:bookmarkStart w:id="80" w:name="_Toc195533625"/>
      <w:bookmarkStart w:id="81" w:name="_Toc195533697"/>
      <w:bookmarkStart w:id="82" w:name="_Toc195533974"/>
      <w:bookmarkStart w:id="83" w:name="_Toc195534049"/>
      <w:bookmarkStart w:id="84" w:name="_Toc195534412"/>
      <w:bookmarkStart w:id="85" w:name="_Toc195534613"/>
      <w:bookmarkStart w:id="86" w:name="_Toc199244569"/>
      <w:r w:rsidRPr="0033566A">
        <w:lastRenderedPageBreak/>
        <w:t>Land Use, Planning and Transportation</w:t>
      </w:r>
      <w:bookmarkEnd w:id="80"/>
      <w:bookmarkEnd w:id="81"/>
      <w:bookmarkEnd w:id="82"/>
      <w:bookmarkEnd w:id="83"/>
      <w:bookmarkEnd w:id="84"/>
      <w:bookmarkEnd w:id="85"/>
      <w:bookmarkEnd w:id="86"/>
    </w:p>
    <w:p w14:paraId="4ECFF798" w14:textId="77777777" w:rsidR="0033566A" w:rsidRPr="00B60676" w:rsidRDefault="0033566A" w:rsidP="00B60676">
      <w:pPr>
        <w:jc w:val="both"/>
        <w:rPr>
          <w:b/>
          <w:bCs/>
        </w:rPr>
      </w:pPr>
      <w:r w:rsidRPr="00B60676">
        <w:rPr>
          <w:b/>
          <w:bCs/>
        </w:rPr>
        <w:t>Strategic planning for resilient growth</w:t>
      </w:r>
    </w:p>
    <w:p w14:paraId="1B5A6ECB" w14:textId="77777777" w:rsidR="0033566A" w:rsidRPr="0033566A" w:rsidRDefault="0033566A" w:rsidP="00BA5AA8">
      <w:pPr>
        <w:jc w:val="both"/>
      </w:pPr>
      <w:r w:rsidRPr="0033566A">
        <w:t>The Two-Year Progress Report on the delivery of the objectives of the County Development Plan 2022-2028 was presented to Council in December alongside an online Housing Supply Monitor. Good progress has been made with 90% of the 878 objectives being either completed, on-going or starting.</w:t>
      </w:r>
    </w:p>
    <w:p w14:paraId="77591CC9" w14:textId="77777777" w:rsidR="0033566A" w:rsidRPr="0033566A" w:rsidRDefault="0033566A" w:rsidP="00BA5AA8">
      <w:pPr>
        <w:jc w:val="both"/>
      </w:pPr>
      <w:r w:rsidRPr="0033566A">
        <w:t xml:space="preserve">A county-wide employment land review accompanied the Two-Year Progress Report which will facilitate the forthcoming South Dublin Economic Strategy and the identification of future employment zoning needs. </w:t>
      </w:r>
    </w:p>
    <w:p w14:paraId="30B25051" w14:textId="77777777" w:rsidR="0033566A" w:rsidRPr="0033566A" w:rsidRDefault="0033566A" w:rsidP="00BA5AA8">
      <w:pPr>
        <w:jc w:val="both"/>
      </w:pPr>
      <w:r w:rsidRPr="0033566A">
        <w:t>The Residential Zoned Land Tax 2024 final maps were prepared, consulted on, and made ready for publication on 31</w:t>
      </w:r>
      <w:r w:rsidRPr="0033566A">
        <w:rPr>
          <w:vertAlign w:val="superscript"/>
        </w:rPr>
        <w:t>st</w:t>
      </w:r>
      <w:r w:rsidRPr="0033566A">
        <w:t xml:space="preserve"> January 2025. These will be followed by the 2025 draft maps which are being made ready for publication and consultation on 1</w:t>
      </w:r>
      <w:r w:rsidRPr="0033566A">
        <w:rPr>
          <w:vertAlign w:val="superscript"/>
        </w:rPr>
        <w:t>st</w:t>
      </w:r>
      <w:r w:rsidRPr="0033566A">
        <w:t xml:space="preserve"> February 2025. </w:t>
      </w:r>
    </w:p>
    <w:p w14:paraId="43C012A9" w14:textId="77777777" w:rsidR="0033566A" w:rsidRPr="0033566A" w:rsidRDefault="0033566A" w:rsidP="00BA5AA8">
      <w:pPr>
        <w:jc w:val="both"/>
      </w:pPr>
      <w:r w:rsidRPr="0033566A">
        <w:t>856 planning applications were determined, including 13 Large-scale Residential Developments while 825 planning compliances were determined, 462 planning enforcement cases were closed, and six housing estates and roads were taken in charge. 160 Section 247 pre-planning consultations also took place.</w:t>
      </w:r>
    </w:p>
    <w:p w14:paraId="3A98B210" w14:textId="77777777" w:rsidR="0033566A" w:rsidRPr="0033566A" w:rsidRDefault="0033566A" w:rsidP="00BA5AA8">
      <w:pPr>
        <w:jc w:val="both"/>
      </w:pPr>
      <w:r w:rsidRPr="0033566A">
        <w:t>11 Section 254 licences were determined.</w:t>
      </w:r>
    </w:p>
    <w:p w14:paraId="0EF3F365" w14:textId="77777777" w:rsidR="0033566A" w:rsidRPr="0033566A" w:rsidRDefault="0033566A" w:rsidP="00BA5AA8">
      <w:pPr>
        <w:jc w:val="both"/>
      </w:pPr>
      <w:r w:rsidRPr="0033566A">
        <w:t>36 applications for Certificates of Exemption from the provisions of Section 96 of Part V (Housing Supply) of the Planning and Development Act, 2000 were processed and 75 applications for declarations of exemption under Section 5 of the Planning Act were also progressed.</w:t>
      </w:r>
    </w:p>
    <w:p w14:paraId="3FCD2C87" w14:textId="77777777" w:rsidR="0033566A" w:rsidRPr="0033566A" w:rsidRDefault="0033566A" w:rsidP="00BA5AA8">
      <w:pPr>
        <w:jc w:val="both"/>
      </w:pPr>
      <w:r w:rsidRPr="0033566A">
        <w:t xml:space="preserve">By Q3 2024, 5,475 residential units were completed since the Development Plan came into effect, meeting the Core Strategy targets, with planning permission in place for a further 12,649 homes. </w:t>
      </w:r>
    </w:p>
    <w:p w14:paraId="3D3211C8" w14:textId="77777777" w:rsidR="0033566A" w:rsidRPr="0033566A" w:rsidRDefault="0033566A" w:rsidP="00BA5AA8">
      <w:pPr>
        <w:jc w:val="both"/>
      </w:pPr>
      <w:r w:rsidRPr="0033566A">
        <w:t xml:space="preserve">Informal consultation was undertaken for a County Heritage Plan with a draft plan now being prepared for formal public consultation. </w:t>
      </w:r>
    </w:p>
    <w:p w14:paraId="44E0FE39" w14:textId="77777777" w:rsidR="0033566A" w:rsidRPr="0033566A" w:rsidRDefault="0033566A" w:rsidP="00BA5AA8">
      <w:pPr>
        <w:jc w:val="both"/>
      </w:pPr>
      <w:r w:rsidRPr="0033566A">
        <w:t xml:space="preserve">The Office of the Planning Regulator, who has a statutory role in reviewing all planning authorities, completed their South Dublin review and found that all functions are being delivered on a satisfactory basis and that the planning department is delivering on its responsibilities in a highly effective manner in many areas. </w:t>
      </w:r>
    </w:p>
    <w:p w14:paraId="06859F03" w14:textId="77777777" w:rsidR="0033566A" w:rsidRPr="0033566A" w:rsidRDefault="0033566A" w:rsidP="00BA5AA8">
      <w:pPr>
        <w:jc w:val="both"/>
      </w:pPr>
      <w:r w:rsidRPr="0033566A">
        <w:t xml:space="preserve">We made the National Online Planning Portal available, providing applicants and agents with an option to submit their planning applications in electronic format. Uptake of the new system has been strong, with 50% of all planning applications received in 2024 submitted through this system and 75% of all applications received in December submitted electronically. </w:t>
      </w:r>
    </w:p>
    <w:p w14:paraId="4F31E272" w14:textId="77777777" w:rsidR="0033566A" w:rsidRPr="0033566A" w:rsidRDefault="0033566A" w:rsidP="00BA5AA8">
      <w:pPr>
        <w:jc w:val="both"/>
      </w:pPr>
    </w:p>
    <w:p w14:paraId="47C91DA2" w14:textId="77777777" w:rsidR="0033566A" w:rsidRPr="00B60676" w:rsidRDefault="0033566A" w:rsidP="00B60676">
      <w:pPr>
        <w:jc w:val="both"/>
        <w:rPr>
          <w:b/>
          <w:bCs/>
        </w:rPr>
      </w:pPr>
      <w:r w:rsidRPr="00B60676">
        <w:rPr>
          <w:b/>
          <w:bCs/>
        </w:rPr>
        <w:t>Connect places through sustainable mobility projects</w:t>
      </w:r>
    </w:p>
    <w:p w14:paraId="0982B11D" w14:textId="77777777" w:rsidR="0033566A" w:rsidRPr="0033566A" w:rsidRDefault="0033566A" w:rsidP="00B60676">
      <w:pPr>
        <w:jc w:val="both"/>
      </w:pPr>
      <w:r w:rsidRPr="0033566A">
        <w:lastRenderedPageBreak/>
        <w:t xml:space="preserve">We made significant progress in delivering the Cycle South Dublin Programme with National Transport Authority (NTA) funding of €22.8 </w:t>
      </w:r>
      <w:bookmarkStart w:id="87" w:name="_Int_57wz9CnV"/>
      <w:r w:rsidRPr="0033566A">
        <w:t>million</w:t>
      </w:r>
      <w:bookmarkEnd w:id="87"/>
      <w:r w:rsidRPr="0033566A">
        <w:t xml:space="preserve"> spent on the design and delivery of new active travel infrastructure. This was further supplemented with additional funding from the Department of Housing, Local Government and Heritage (DHLGH), as we delivered 22.5km of new and improved cycling routes and 8km of new walking links, while also progressing design work for a further 90km of new and improved walking and cycling routes.</w:t>
      </w:r>
    </w:p>
    <w:p w14:paraId="75D1502B" w14:textId="77777777" w:rsidR="0033566A" w:rsidRPr="0033566A" w:rsidRDefault="0033566A" w:rsidP="00BA5AA8">
      <w:pPr>
        <w:jc w:val="both"/>
      </w:pPr>
      <w:r w:rsidRPr="0033566A">
        <w:t xml:space="preserve">Works were completed on active travel projects at Grange Road, Dodder Valley Greenway Phase 4, </w:t>
      </w:r>
      <w:proofErr w:type="spellStart"/>
      <w:r w:rsidRPr="0033566A">
        <w:t>Templeville</w:t>
      </w:r>
      <w:proofErr w:type="spellEnd"/>
      <w:r w:rsidRPr="0033566A">
        <w:t xml:space="preserve"> Road (Phase 1), </w:t>
      </w:r>
      <w:proofErr w:type="spellStart"/>
      <w:r w:rsidRPr="0033566A">
        <w:t>Griffeen</w:t>
      </w:r>
      <w:proofErr w:type="spellEnd"/>
      <w:r w:rsidRPr="0033566A">
        <w:t xml:space="preserve"> Road, Limekiln Road, </w:t>
      </w:r>
      <w:proofErr w:type="spellStart"/>
      <w:r w:rsidRPr="0033566A">
        <w:t>Castletymon</w:t>
      </w:r>
      <w:proofErr w:type="spellEnd"/>
      <w:r w:rsidRPr="0033566A">
        <w:t xml:space="preserve"> Road (Phase 1), D24 Phase 1 and Rossmore Road.</w:t>
      </w:r>
    </w:p>
    <w:p w14:paraId="79FD6905" w14:textId="77777777" w:rsidR="0033566A" w:rsidRPr="0033566A" w:rsidRDefault="0033566A" w:rsidP="00BA5AA8">
      <w:pPr>
        <w:jc w:val="both"/>
      </w:pPr>
      <w:r w:rsidRPr="0033566A">
        <w:t xml:space="preserve">School street improvement works were completed at several schools including St. Marks in Springfield, </w:t>
      </w:r>
      <w:proofErr w:type="spellStart"/>
      <w:r w:rsidRPr="0033566A">
        <w:t>Scoil</w:t>
      </w:r>
      <w:proofErr w:type="spellEnd"/>
      <w:r w:rsidRPr="0033566A">
        <w:t xml:space="preserve"> </w:t>
      </w:r>
      <w:proofErr w:type="spellStart"/>
      <w:r w:rsidRPr="0033566A">
        <w:t>Maelruain</w:t>
      </w:r>
      <w:proofErr w:type="spellEnd"/>
      <w:r w:rsidRPr="0033566A">
        <w:t xml:space="preserve"> in Tallaght, Coláiste Chillian in Clondalkin, as well as St Lorcan’s and St Brigid’s in Palmerstown.</w:t>
      </w:r>
    </w:p>
    <w:p w14:paraId="09B2D822" w14:textId="77777777" w:rsidR="0033566A" w:rsidRPr="0033566A" w:rsidRDefault="0033566A" w:rsidP="00BA5AA8">
      <w:pPr>
        <w:jc w:val="both"/>
      </w:pPr>
      <w:r w:rsidRPr="0033566A">
        <w:t>The Tallaght Town Centre public realm project was completed and work commenced on the construction of the Airton Road extension in Cookstown.</w:t>
      </w:r>
    </w:p>
    <w:p w14:paraId="2D1A58CF" w14:textId="77777777" w:rsidR="0033566A" w:rsidRPr="0033566A" w:rsidRDefault="0033566A" w:rsidP="00BA5AA8">
      <w:pPr>
        <w:jc w:val="both"/>
      </w:pPr>
      <w:r w:rsidRPr="0033566A">
        <w:t xml:space="preserve">We worked closely with the NTA and Irish Rail on design and planning for new Bus Connects routes and on the plans for the DART+ Southwest Scheme which will both see significant improvements in the level of public transport available in the county.  We also supported Irish Rail on the upgrade of the existing </w:t>
      </w:r>
      <w:proofErr w:type="spellStart"/>
      <w:r w:rsidRPr="0033566A">
        <w:t>Kishogue</w:t>
      </w:r>
      <w:proofErr w:type="spellEnd"/>
      <w:r w:rsidRPr="0033566A">
        <w:t xml:space="preserve"> rail station and surrounding environs at </w:t>
      </w:r>
      <w:proofErr w:type="spellStart"/>
      <w:r w:rsidRPr="0033566A">
        <w:t>Clonburris</w:t>
      </w:r>
      <w:proofErr w:type="spellEnd"/>
      <w:r w:rsidRPr="0033566A">
        <w:t xml:space="preserve"> with the station officially opened in August.</w:t>
      </w:r>
    </w:p>
    <w:p w14:paraId="66CDC979" w14:textId="77777777" w:rsidR="0033566A" w:rsidRPr="0033566A" w:rsidRDefault="0033566A" w:rsidP="00BA5AA8">
      <w:pPr>
        <w:jc w:val="both"/>
      </w:pPr>
      <w:r w:rsidRPr="0033566A">
        <w:t>Four bridges were repaired with expenditure of €500,000 and plans were progressed to repair a further seven bridges in 2025.</w:t>
      </w:r>
    </w:p>
    <w:p w14:paraId="7FB723B6" w14:textId="77777777" w:rsidR="0033566A" w:rsidRPr="0033566A" w:rsidRDefault="0033566A" w:rsidP="00BA5AA8">
      <w:pPr>
        <w:jc w:val="both"/>
      </w:pPr>
      <w:r w:rsidRPr="0033566A">
        <w:t>Our road works programme was fully delivered including 162 improvement works to roads and footpaths while 18 traffic calming projects and 19 new pedestrian crossings were also delivered.</w:t>
      </w:r>
    </w:p>
    <w:p w14:paraId="2FE1E784" w14:textId="77777777" w:rsidR="0033566A" w:rsidRPr="0033566A" w:rsidRDefault="0033566A" w:rsidP="00BA5AA8">
      <w:pPr>
        <w:jc w:val="both"/>
      </w:pPr>
      <w:r w:rsidRPr="0033566A">
        <w:t>1,690 existing public lights were upgraded to LED and 4,757 public lights were repaired.</w:t>
      </w:r>
    </w:p>
    <w:p w14:paraId="066D9E14" w14:textId="77777777" w:rsidR="0033566A" w:rsidRPr="00B60676" w:rsidRDefault="0033566A" w:rsidP="00B60676">
      <w:pPr>
        <w:jc w:val="both"/>
        <w:rPr>
          <w:b/>
          <w:bCs/>
        </w:rPr>
      </w:pPr>
      <w:r w:rsidRPr="00B60676">
        <w:rPr>
          <w:b/>
          <w:bCs/>
        </w:rPr>
        <w:t xml:space="preserve">Through the built environment promote a sense of community in the </w:t>
      </w:r>
      <w:bookmarkStart w:id="88" w:name="_Int_iKMcjwRi"/>
      <w:r w:rsidRPr="00B60676">
        <w:rPr>
          <w:b/>
          <w:bCs/>
        </w:rPr>
        <w:t>different places</w:t>
      </w:r>
      <w:bookmarkEnd w:id="88"/>
      <w:r w:rsidRPr="00B60676">
        <w:rPr>
          <w:b/>
          <w:bCs/>
        </w:rPr>
        <w:t xml:space="preserve"> of South Dublin</w:t>
      </w:r>
    </w:p>
    <w:p w14:paraId="36561333" w14:textId="77777777" w:rsidR="0033566A" w:rsidRPr="0033566A" w:rsidRDefault="0033566A" w:rsidP="00BA5AA8">
      <w:pPr>
        <w:jc w:val="both"/>
      </w:pPr>
      <w:r w:rsidRPr="0033566A">
        <w:t xml:space="preserve">The </w:t>
      </w:r>
      <w:proofErr w:type="spellStart"/>
      <w:r w:rsidRPr="0033566A">
        <w:t>Castletymon</w:t>
      </w:r>
      <w:proofErr w:type="spellEnd"/>
      <w:r w:rsidRPr="0033566A">
        <w:t xml:space="preserve"> and </w:t>
      </w:r>
      <w:proofErr w:type="spellStart"/>
      <w:r w:rsidRPr="0033566A">
        <w:t>Dodsboro</w:t>
      </w:r>
      <w:proofErr w:type="spellEnd"/>
      <w:r w:rsidRPr="0033566A">
        <w:t xml:space="preserve"> District Centre enhancement schemes were completed and works commenced on the Rosemount District Centre.  Works also commenced on the Lucan Village enhancement scheme and major repairs to the boundary wall of Lucan House were completed in December.</w:t>
      </w:r>
    </w:p>
    <w:p w14:paraId="1F2B4C45" w14:textId="77777777" w:rsidR="0033566A" w:rsidRPr="0033566A" w:rsidRDefault="0033566A" w:rsidP="00BA5AA8">
      <w:pPr>
        <w:jc w:val="both"/>
      </w:pPr>
      <w:r w:rsidRPr="0033566A">
        <w:t xml:space="preserve">Part 8 planning permission was secured for the </w:t>
      </w:r>
      <w:proofErr w:type="spellStart"/>
      <w:r w:rsidRPr="0033566A">
        <w:t>Bawnogue</w:t>
      </w:r>
      <w:proofErr w:type="spellEnd"/>
      <w:r w:rsidRPr="0033566A">
        <w:t xml:space="preserve"> District Centre enhancement project, and contractor procurement is underway.</w:t>
      </w:r>
    </w:p>
    <w:p w14:paraId="5B19A425" w14:textId="77777777" w:rsidR="0033566A" w:rsidRPr="0033566A" w:rsidRDefault="0033566A" w:rsidP="00BA5AA8">
      <w:pPr>
        <w:jc w:val="both"/>
      </w:pPr>
      <w:r w:rsidRPr="0033566A">
        <w:t>The preparation of a proposed variation to the County Development Plan for City Edge progressed and public consultation will be carried out in 2025 when the relevant sections of the Planning and Development Act 2024 are commenced.</w:t>
      </w:r>
    </w:p>
    <w:p w14:paraId="01BAF84F" w14:textId="77777777" w:rsidR="0033566A" w:rsidRPr="0033566A" w:rsidRDefault="0033566A" w:rsidP="00BA5AA8">
      <w:pPr>
        <w:jc w:val="both"/>
      </w:pPr>
      <w:r w:rsidRPr="0033566A">
        <w:lastRenderedPageBreak/>
        <w:t>A third round of pre-draft public consultation on the Clondalkin Local Area Plan commenced in November with one-to-one stakeholder meetings. Further consultation workshops will be held in January 2025 to progress delivery of the plan.</w:t>
      </w:r>
    </w:p>
    <w:p w14:paraId="7CD4B282" w14:textId="77777777" w:rsidR="0033566A" w:rsidRPr="0033566A" w:rsidRDefault="0033566A" w:rsidP="00BA5AA8">
      <w:pPr>
        <w:jc w:val="both"/>
      </w:pPr>
      <w:r w:rsidRPr="0033566A">
        <w:t xml:space="preserve">Work </w:t>
      </w:r>
      <w:bookmarkStart w:id="89" w:name="_Int_d6ajGTBW"/>
      <w:proofErr w:type="gramStart"/>
      <w:r w:rsidRPr="0033566A">
        <w:t>continued on</w:t>
      </w:r>
      <w:bookmarkEnd w:id="89"/>
      <w:proofErr w:type="gramEnd"/>
      <w:r w:rsidRPr="0033566A">
        <w:t xml:space="preserve"> developing and implementing the Heritage and Biodiversity Action Plans.</w:t>
      </w:r>
    </w:p>
    <w:p w14:paraId="06D10DD5" w14:textId="77777777" w:rsidR="0033566A" w:rsidRPr="0033566A" w:rsidRDefault="0033566A" w:rsidP="00BA5AA8">
      <w:pPr>
        <w:jc w:val="both"/>
      </w:pPr>
      <w:r w:rsidRPr="0033566A">
        <w:t xml:space="preserve">In </w:t>
      </w:r>
      <w:proofErr w:type="spellStart"/>
      <w:r w:rsidRPr="0033566A">
        <w:t>Clonburris</w:t>
      </w:r>
      <w:proofErr w:type="spellEnd"/>
      <w:r w:rsidRPr="0033566A">
        <w:t xml:space="preserve"> Strategic Development Zone, Stage 1A of the Southern Link Street was completed and opened. Construction commenced on the Stage 1B of the Southern Link Street which received DHLGH Final Business Case approval. 3,427 homes have received planning permission, of which 2,196 are complete or under construction. Planning applications were submitted for the Stage 2 Northern Link Street project and the </w:t>
      </w:r>
      <w:proofErr w:type="spellStart"/>
      <w:r w:rsidRPr="0033566A">
        <w:t>Kishogue</w:t>
      </w:r>
      <w:proofErr w:type="spellEnd"/>
      <w:r w:rsidRPr="0033566A">
        <w:t xml:space="preserve"> train station opened.</w:t>
      </w:r>
    </w:p>
    <w:p w14:paraId="1D0C5E73" w14:textId="77777777" w:rsidR="0033566A" w:rsidRPr="0033566A" w:rsidRDefault="0033566A" w:rsidP="00BA5AA8">
      <w:pPr>
        <w:jc w:val="both"/>
      </w:pPr>
      <w:r w:rsidRPr="0033566A">
        <w:t xml:space="preserve">In Adamstown Strategic Development Zone, capital projects at Tandy’s Lane, Celbridge Link Road, Airlie Park, and Adamstown Plaza have all been completed with funding from DHLGH and the Council. A minor amendment to the SDZ Planning Scheme was approved by An Bord Pleanála. Planning permission was granted for the DHLGH supported Central Boulevard Park and detailed design commenced.  </w:t>
      </w:r>
    </w:p>
    <w:p w14:paraId="7E9032D9" w14:textId="77777777" w:rsidR="0033566A" w:rsidRPr="0033566A" w:rsidRDefault="0033566A" w:rsidP="00BA5AA8">
      <w:pPr>
        <w:jc w:val="both"/>
      </w:pPr>
      <w:r w:rsidRPr="0033566A">
        <w:t>We continued to work proactively with Dun Laoghaire-</w:t>
      </w:r>
      <w:proofErr w:type="spellStart"/>
      <w:r w:rsidRPr="0033566A">
        <w:t>Rathdown</w:t>
      </w:r>
      <w:proofErr w:type="spellEnd"/>
      <w:r w:rsidRPr="0033566A">
        <w:t xml:space="preserve"> County Council on development and promotion of the Dublin Mountain Heritage trail, including holding several walking tours, library talks, archaeology training for volunteers and developing a new </w:t>
      </w:r>
      <w:proofErr w:type="spellStart"/>
      <w:r w:rsidRPr="0033566A">
        <w:t>Storymap</w:t>
      </w:r>
      <w:proofErr w:type="spellEnd"/>
      <w:r w:rsidRPr="0033566A">
        <w:t>.</w:t>
      </w:r>
    </w:p>
    <w:p w14:paraId="7CFB9D33" w14:textId="77777777" w:rsidR="0033566A" w:rsidRPr="0033566A" w:rsidRDefault="0033566A" w:rsidP="00BA5AA8">
      <w:pPr>
        <w:jc w:val="both"/>
      </w:pPr>
      <w:r w:rsidRPr="0033566A">
        <w:t xml:space="preserve">We facilitated the upgrade of St. Finian’s former schoolhouse, </w:t>
      </w:r>
      <w:proofErr w:type="spellStart"/>
      <w:r w:rsidRPr="0033566A">
        <w:t>Peamount</w:t>
      </w:r>
      <w:proofErr w:type="spellEnd"/>
      <w:r w:rsidRPr="0033566A">
        <w:t xml:space="preserve"> Hospital under DHLGH’s Historic Structures Fund and a further seven heritage upgrade projects were supported under the Built Heritage Investment Scheme.</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344"/>
        <w:gridCol w:w="1817"/>
      </w:tblGrid>
      <w:tr w:rsidR="0033566A" w:rsidRPr="0033566A" w14:paraId="72E55451" w14:textId="77777777" w:rsidTr="0033566A">
        <w:trPr>
          <w:trHeight w:val="284"/>
          <w:jc w:val="center"/>
        </w:trPr>
        <w:tc>
          <w:tcPr>
            <w:tcW w:w="7344" w:type="dxa"/>
            <w:tcBorders>
              <w:top w:val="single" w:sz="8" w:space="0" w:color="000000"/>
              <w:left w:val="single" w:sz="8" w:space="0" w:color="000000"/>
              <w:bottom w:val="single" w:sz="8" w:space="0" w:color="000000"/>
              <w:right w:val="single" w:sz="8" w:space="0" w:color="000000"/>
            </w:tcBorders>
            <w:hideMark/>
          </w:tcPr>
          <w:p w14:paraId="06EE0DE9" w14:textId="77777777" w:rsidR="0033566A" w:rsidRPr="00077437" w:rsidRDefault="0033566A" w:rsidP="00077437">
            <w:pPr>
              <w:spacing w:after="0"/>
              <w:jc w:val="both"/>
              <w:rPr>
                <w:lang w:val="en-US"/>
              </w:rPr>
            </w:pPr>
            <w:r w:rsidRPr="00077437">
              <w:rPr>
                <w:lang w:val="en-US"/>
              </w:rPr>
              <w:t>Land Use, Planning and Transportation Key Statistics</w:t>
            </w:r>
          </w:p>
        </w:tc>
        <w:tc>
          <w:tcPr>
            <w:tcW w:w="1817" w:type="dxa"/>
            <w:tcBorders>
              <w:top w:val="single" w:sz="8" w:space="0" w:color="000000"/>
              <w:left w:val="single" w:sz="8" w:space="0" w:color="000000"/>
              <w:bottom w:val="single" w:sz="8" w:space="0" w:color="000000"/>
              <w:right w:val="single" w:sz="8" w:space="0" w:color="000000"/>
            </w:tcBorders>
            <w:hideMark/>
          </w:tcPr>
          <w:p w14:paraId="75986847" w14:textId="77777777" w:rsidR="0033566A" w:rsidRPr="00077437" w:rsidRDefault="0033566A" w:rsidP="00077437">
            <w:pPr>
              <w:spacing w:after="0"/>
              <w:jc w:val="right"/>
              <w:rPr>
                <w:lang w:val="en-US"/>
              </w:rPr>
            </w:pPr>
            <w:r w:rsidRPr="00077437">
              <w:rPr>
                <w:lang w:val="en-US"/>
              </w:rPr>
              <w:t>2024 Totals</w:t>
            </w:r>
          </w:p>
        </w:tc>
      </w:tr>
      <w:tr w:rsidR="0033566A" w:rsidRPr="0033566A" w14:paraId="244AD945" w14:textId="77777777" w:rsidTr="0033566A">
        <w:trPr>
          <w:trHeight w:val="284"/>
          <w:jc w:val="center"/>
        </w:trPr>
        <w:tc>
          <w:tcPr>
            <w:tcW w:w="7344" w:type="dxa"/>
            <w:tcBorders>
              <w:top w:val="single" w:sz="8" w:space="0" w:color="000000"/>
              <w:left w:val="single" w:sz="8" w:space="0" w:color="000000"/>
              <w:bottom w:val="single" w:sz="8" w:space="0" w:color="000000"/>
              <w:right w:val="single" w:sz="8" w:space="0" w:color="000000"/>
            </w:tcBorders>
            <w:hideMark/>
          </w:tcPr>
          <w:p w14:paraId="62E09040" w14:textId="77777777" w:rsidR="0033566A" w:rsidRPr="00077437" w:rsidRDefault="0033566A" w:rsidP="00077437">
            <w:pPr>
              <w:spacing w:after="0"/>
              <w:jc w:val="both"/>
              <w:rPr>
                <w:lang w:val="en-US"/>
              </w:rPr>
            </w:pPr>
            <w:r w:rsidRPr="00077437">
              <w:rPr>
                <w:lang w:val="en-US"/>
              </w:rPr>
              <w:t>Enforcement files closed</w:t>
            </w:r>
          </w:p>
        </w:tc>
        <w:tc>
          <w:tcPr>
            <w:tcW w:w="1817" w:type="dxa"/>
            <w:tcBorders>
              <w:top w:val="single" w:sz="8" w:space="0" w:color="000000"/>
              <w:left w:val="single" w:sz="8" w:space="0" w:color="000000"/>
              <w:bottom w:val="single" w:sz="8" w:space="0" w:color="000000"/>
              <w:right w:val="single" w:sz="8" w:space="0" w:color="000000"/>
            </w:tcBorders>
            <w:hideMark/>
          </w:tcPr>
          <w:p w14:paraId="5C0AC595" w14:textId="77777777" w:rsidR="0033566A" w:rsidRPr="00077437" w:rsidRDefault="0033566A" w:rsidP="00077437">
            <w:pPr>
              <w:spacing w:after="0"/>
              <w:jc w:val="right"/>
              <w:rPr>
                <w:lang w:val="en-US"/>
              </w:rPr>
            </w:pPr>
            <w:r w:rsidRPr="00077437">
              <w:rPr>
                <w:lang w:val="en-US"/>
              </w:rPr>
              <w:t>462</w:t>
            </w:r>
          </w:p>
        </w:tc>
      </w:tr>
      <w:tr w:rsidR="0033566A" w:rsidRPr="0033566A" w14:paraId="7CDEAD9D" w14:textId="77777777" w:rsidTr="0033566A">
        <w:trPr>
          <w:trHeight w:val="284"/>
          <w:jc w:val="center"/>
        </w:trPr>
        <w:tc>
          <w:tcPr>
            <w:tcW w:w="7344" w:type="dxa"/>
            <w:tcBorders>
              <w:top w:val="single" w:sz="8" w:space="0" w:color="000000"/>
              <w:left w:val="single" w:sz="8" w:space="0" w:color="000000"/>
              <w:bottom w:val="single" w:sz="8" w:space="0" w:color="000000"/>
              <w:right w:val="single" w:sz="8" w:space="0" w:color="000000"/>
            </w:tcBorders>
            <w:hideMark/>
          </w:tcPr>
          <w:p w14:paraId="667DF45F" w14:textId="77777777" w:rsidR="0033566A" w:rsidRPr="00077437" w:rsidRDefault="0033566A" w:rsidP="00077437">
            <w:pPr>
              <w:spacing w:after="0"/>
              <w:jc w:val="both"/>
              <w:rPr>
                <w:lang w:val="en-US"/>
              </w:rPr>
            </w:pPr>
            <w:r w:rsidRPr="00077437">
              <w:rPr>
                <w:lang w:val="en-US"/>
              </w:rPr>
              <w:t>Building control inspections (number of units inspected)</w:t>
            </w:r>
          </w:p>
        </w:tc>
        <w:tc>
          <w:tcPr>
            <w:tcW w:w="1817" w:type="dxa"/>
            <w:tcBorders>
              <w:top w:val="single" w:sz="8" w:space="0" w:color="000000"/>
              <w:left w:val="single" w:sz="8" w:space="0" w:color="000000"/>
              <w:bottom w:val="single" w:sz="8" w:space="0" w:color="000000"/>
              <w:right w:val="single" w:sz="8" w:space="0" w:color="000000"/>
            </w:tcBorders>
            <w:hideMark/>
          </w:tcPr>
          <w:p w14:paraId="0914C538" w14:textId="77777777" w:rsidR="0033566A" w:rsidRPr="00077437" w:rsidRDefault="0033566A" w:rsidP="00077437">
            <w:pPr>
              <w:spacing w:after="0"/>
              <w:jc w:val="right"/>
              <w:rPr>
                <w:lang w:val="en-US"/>
              </w:rPr>
            </w:pPr>
            <w:r w:rsidRPr="00077437">
              <w:rPr>
                <w:lang w:val="en-US"/>
              </w:rPr>
              <w:t>428</w:t>
            </w:r>
          </w:p>
        </w:tc>
      </w:tr>
      <w:tr w:rsidR="0033566A" w:rsidRPr="0033566A" w14:paraId="0A9A646C" w14:textId="77777777" w:rsidTr="0033566A">
        <w:trPr>
          <w:trHeight w:val="284"/>
          <w:jc w:val="center"/>
        </w:trPr>
        <w:tc>
          <w:tcPr>
            <w:tcW w:w="7344" w:type="dxa"/>
            <w:tcBorders>
              <w:top w:val="single" w:sz="8" w:space="0" w:color="000000"/>
              <w:left w:val="single" w:sz="8" w:space="0" w:color="000000"/>
              <w:bottom w:val="single" w:sz="8" w:space="0" w:color="000000"/>
              <w:right w:val="single" w:sz="8" w:space="0" w:color="000000"/>
            </w:tcBorders>
            <w:hideMark/>
          </w:tcPr>
          <w:p w14:paraId="05B749B0" w14:textId="77777777" w:rsidR="0033566A" w:rsidRPr="00077437" w:rsidRDefault="0033566A" w:rsidP="00077437">
            <w:pPr>
              <w:spacing w:after="0"/>
              <w:jc w:val="both"/>
              <w:rPr>
                <w:lang w:val="en-US"/>
              </w:rPr>
            </w:pPr>
            <w:r w:rsidRPr="00077437">
              <w:rPr>
                <w:lang w:val="en-US"/>
              </w:rPr>
              <w:t>Public lights repaired</w:t>
            </w:r>
          </w:p>
        </w:tc>
        <w:tc>
          <w:tcPr>
            <w:tcW w:w="1817" w:type="dxa"/>
            <w:tcBorders>
              <w:top w:val="single" w:sz="8" w:space="0" w:color="000000"/>
              <w:left w:val="single" w:sz="8" w:space="0" w:color="000000"/>
              <w:bottom w:val="single" w:sz="8" w:space="0" w:color="000000"/>
              <w:right w:val="single" w:sz="8" w:space="0" w:color="000000"/>
            </w:tcBorders>
            <w:hideMark/>
          </w:tcPr>
          <w:p w14:paraId="63929CE8" w14:textId="77777777" w:rsidR="0033566A" w:rsidRPr="00077437" w:rsidRDefault="0033566A" w:rsidP="00077437">
            <w:pPr>
              <w:spacing w:after="0"/>
              <w:jc w:val="right"/>
              <w:rPr>
                <w:lang w:val="en-US"/>
              </w:rPr>
            </w:pPr>
            <w:r w:rsidRPr="00077437">
              <w:rPr>
                <w:lang w:val="en-US"/>
              </w:rPr>
              <w:t>4,757</w:t>
            </w:r>
          </w:p>
        </w:tc>
      </w:tr>
      <w:tr w:rsidR="0033566A" w:rsidRPr="0033566A" w14:paraId="2647DD61" w14:textId="77777777" w:rsidTr="0033566A">
        <w:trPr>
          <w:trHeight w:val="284"/>
          <w:jc w:val="center"/>
        </w:trPr>
        <w:tc>
          <w:tcPr>
            <w:tcW w:w="7344" w:type="dxa"/>
            <w:tcBorders>
              <w:top w:val="single" w:sz="8" w:space="0" w:color="000000"/>
              <w:left w:val="single" w:sz="8" w:space="0" w:color="000000"/>
              <w:bottom w:val="single" w:sz="8" w:space="0" w:color="000000"/>
              <w:right w:val="single" w:sz="8" w:space="0" w:color="000000"/>
            </w:tcBorders>
            <w:hideMark/>
          </w:tcPr>
          <w:p w14:paraId="600B4B8A" w14:textId="77777777" w:rsidR="0033566A" w:rsidRPr="00077437" w:rsidRDefault="0033566A" w:rsidP="00077437">
            <w:pPr>
              <w:spacing w:after="0"/>
              <w:jc w:val="both"/>
              <w:rPr>
                <w:lang w:val="en-US"/>
              </w:rPr>
            </w:pPr>
            <w:r w:rsidRPr="00077437">
              <w:rPr>
                <w:lang w:val="en-US"/>
              </w:rPr>
              <w:t>Traffic lights repaired</w:t>
            </w:r>
          </w:p>
        </w:tc>
        <w:tc>
          <w:tcPr>
            <w:tcW w:w="1817" w:type="dxa"/>
            <w:tcBorders>
              <w:top w:val="single" w:sz="8" w:space="0" w:color="000000"/>
              <w:left w:val="single" w:sz="8" w:space="0" w:color="000000"/>
              <w:bottom w:val="single" w:sz="8" w:space="0" w:color="000000"/>
              <w:right w:val="single" w:sz="8" w:space="0" w:color="000000"/>
            </w:tcBorders>
            <w:hideMark/>
          </w:tcPr>
          <w:p w14:paraId="2C5DD1D7" w14:textId="77777777" w:rsidR="0033566A" w:rsidRPr="00077437" w:rsidRDefault="0033566A" w:rsidP="00077437">
            <w:pPr>
              <w:spacing w:after="0"/>
              <w:jc w:val="right"/>
              <w:rPr>
                <w:lang w:val="en-US"/>
              </w:rPr>
            </w:pPr>
            <w:r w:rsidRPr="00077437">
              <w:rPr>
                <w:lang w:val="en-US"/>
              </w:rPr>
              <w:t>1,265</w:t>
            </w:r>
          </w:p>
        </w:tc>
      </w:tr>
      <w:tr w:rsidR="0033566A" w:rsidRPr="0033566A" w14:paraId="08ABEB7E" w14:textId="77777777" w:rsidTr="0033566A">
        <w:trPr>
          <w:trHeight w:val="284"/>
          <w:jc w:val="center"/>
        </w:trPr>
        <w:tc>
          <w:tcPr>
            <w:tcW w:w="7344" w:type="dxa"/>
            <w:tcBorders>
              <w:top w:val="single" w:sz="8" w:space="0" w:color="000000"/>
              <w:left w:val="single" w:sz="8" w:space="0" w:color="000000"/>
              <w:bottom w:val="single" w:sz="8" w:space="0" w:color="000000"/>
              <w:right w:val="single" w:sz="8" w:space="0" w:color="000000"/>
            </w:tcBorders>
            <w:hideMark/>
          </w:tcPr>
          <w:p w14:paraId="2E049586" w14:textId="77777777" w:rsidR="0033566A" w:rsidRPr="00077437" w:rsidRDefault="0033566A" w:rsidP="00077437">
            <w:pPr>
              <w:spacing w:after="0"/>
              <w:jc w:val="both"/>
              <w:rPr>
                <w:lang w:val="en-US"/>
              </w:rPr>
            </w:pPr>
            <w:r w:rsidRPr="00077437">
              <w:rPr>
                <w:lang w:val="en-US"/>
              </w:rPr>
              <w:t>Public lighting LED replacements</w:t>
            </w:r>
          </w:p>
        </w:tc>
        <w:tc>
          <w:tcPr>
            <w:tcW w:w="1817" w:type="dxa"/>
            <w:tcBorders>
              <w:top w:val="single" w:sz="8" w:space="0" w:color="000000"/>
              <w:left w:val="single" w:sz="8" w:space="0" w:color="000000"/>
              <w:bottom w:val="single" w:sz="8" w:space="0" w:color="000000"/>
              <w:right w:val="single" w:sz="8" w:space="0" w:color="000000"/>
            </w:tcBorders>
            <w:hideMark/>
          </w:tcPr>
          <w:p w14:paraId="00E913DE" w14:textId="77777777" w:rsidR="0033566A" w:rsidRPr="00077437" w:rsidRDefault="0033566A" w:rsidP="00077437">
            <w:pPr>
              <w:spacing w:after="0"/>
              <w:jc w:val="right"/>
              <w:rPr>
                <w:lang w:val="en-US"/>
              </w:rPr>
            </w:pPr>
            <w:r w:rsidRPr="00077437">
              <w:rPr>
                <w:lang w:val="en-US"/>
              </w:rPr>
              <w:t>1,690</w:t>
            </w:r>
          </w:p>
        </w:tc>
      </w:tr>
      <w:tr w:rsidR="0033566A" w:rsidRPr="0033566A" w14:paraId="512284CB" w14:textId="77777777" w:rsidTr="0033566A">
        <w:trPr>
          <w:trHeight w:val="284"/>
          <w:jc w:val="center"/>
        </w:trPr>
        <w:tc>
          <w:tcPr>
            <w:tcW w:w="7344" w:type="dxa"/>
            <w:tcBorders>
              <w:top w:val="single" w:sz="8" w:space="0" w:color="000000"/>
              <w:left w:val="single" w:sz="8" w:space="0" w:color="000000"/>
              <w:bottom w:val="single" w:sz="8" w:space="0" w:color="000000"/>
              <w:right w:val="single" w:sz="8" w:space="0" w:color="000000"/>
            </w:tcBorders>
            <w:hideMark/>
          </w:tcPr>
          <w:p w14:paraId="4675EAF6" w14:textId="77777777" w:rsidR="0033566A" w:rsidRPr="00077437" w:rsidRDefault="0033566A" w:rsidP="00077437">
            <w:pPr>
              <w:spacing w:after="0"/>
              <w:jc w:val="both"/>
              <w:rPr>
                <w:lang w:val="en-US"/>
              </w:rPr>
            </w:pPr>
            <w:r w:rsidRPr="00077437">
              <w:rPr>
                <w:lang w:val="en-US"/>
              </w:rPr>
              <w:t xml:space="preserve">New and upgraded footpaths (square </w:t>
            </w:r>
            <w:proofErr w:type="spellStart"/>
            <w:r w:rsidRPr="00077437">
              <w:rPr>
                <w:lang w:val="en-US"/>
              </w:rPr>
              <w:t>metres</w:t>
            </w:r>
            <w:proofErr w:type="spellEnd"/>
            <w:r w:rsidRPr="00077437">
              <w:rPr>
                <w:lang w:val="en-US"/>
              </w:rPr>
              <w:t>)</w:t>
            </w:r>
          </w:p>
        </w:tc>
        <w:tc>
          <w:tcPr>
            <w:tcW w:w="1817" w:type="dxa"/>
            <w:tcBorders>
              <w:top w:val="single" w:sz="8" w:space="0" w:color="000000"/>
              <w:left w:val="single" w:sz="8" w:space="0" w:color="000000"/>
              <w:bottom w:val="single" w:sz="8" w:space="0" w:color="000000"/>
              <w:right w:val="single" w:sz="8" w:space="0" w:color="000000"/>
            </w:tcBorders>
            <w:hideMark/>
          </w:tcPr>
          <w:p w14:paraId="34C3A876" w14:textId="77777777" w:rsidR="0033566A" w:rsidRPr="00077437" w:rsidRDefault="0033566A" w:rsidP="00077437">
            <w:pPr>
              <w:spacing w:after="0"/>
              <w:jc w:val="right"/>
              <w:rPr>
                <w:lang w:val="en-US"/>
              </w:rPr>
            </w:pPr>
            <w:r w:rsidRPr="00077437">
              <w:rPr>
                <w:lang w:val="en-US"/>
              </w:rPr>
              <w:t>61,483</w:t>
            </w:r>
          </w:p>
        </w:tc>
      </w:tr>
      <w:tr w:rsidR="0033566A" w:rsidRPr="0033566A" w14:paraId="21B0A6E6" w14:textId="77777777" w:rsidTr="0033566A">
        <w:trPr>
          <w:trHeight w:val="284"/>
          <w:jc w:val="center"/>
        </w:trPr>
        <w:tc>
          <w:tcPr>
            <w:tcW w:w="7344" w:type="dxa"/>
            <w:tcBorders>
              <w:top w:val="single" w:sz="8" w:space="0" w:color="000000"/>
              <w:left w:val="single" w:sz="8" w:space="0" w:color="000000"/>
              <w:bottom w:val="single" w:sz="8" w:space="0" w:color="000000"/>
              <w:right w:val="single" w:sz="8" w:space="0" w:color="000000"/>
            </w:tcBorders>
            <w:hideMark/>
          </w:tcPr>
          <w:p w14:paraId="344D35FD" w14:textId="77777777" w:rsidR="0033566A" w:rsidRPr="00077437" w:rsidRDefault="0033566A" w:rsidP="00077437">
            <w:pPr>
              <w:spacing w:after="0"/>
              <w:jc w:val="both"/>
              <w:rPr>
                <w:lang w:val="en-US"/>
              </w:rPr>
            </w:pPr>
            <w:r w:rsidRPr="00077437">
              <w:rPr>
                <w:lang w:val="en-US"/>
              </w:rPr>
              <w:t xml:space="preserve">New and upgraded cycle lanes (linear </w:t>
            </w:r>
            <w:proofErr w:type="spellStart"/>
            <w:r w:rsidRPr="00077437">
              <w:rPr>
                <w:lang w:val="en-US"/>
              </w:rPr>
              <w:t>metres</w:t>
            </w:r>
            <w:proofErr w:type="spellEnd"/>
            <w:r w:rsidRPr="00077437">
              <w:rPr>
                <w:lang w:val="en-US"/>
              </w:rPr>
              <w:t>)</w:t>
            </w:r>
          </w:p>
        </w:tc>
        <w:tc>
          <w:tcPr>
            <w:tcW w:w="1817" w:type="dxa"/>
            <w:tcBorders>
              <w:top w:val="single" w:sz="8" w:space="0" w:color="000000"/>
              <w:left w:val="single" w:sz="8" w:space="0" w:color="000000"/>
              <w:bottom w:val="single" w:sz="8" w:space="0" w:color="000000"/>
              <w:right w:val="single" w:sz="8" w:space="0" w:color="000000"/>
            </w:tcBorders>
            <w:hideMark/>
          </w:tcPr>
          <w:p w14:paraId="111D0760" w14:textId="77777777" w:rsidR="0033566A" w:rsidRPr="00077437" w:rsidRDefault="0033566A" w:rsidP="00077437">
            <w:pPr>
              <w:spacing w:after="0"/>
              <w:jc w:val="right"/>
              <w:rPr>
                <w:lang w:val="en-US"/>
              </w:rPr>
            </w:pPr>
            <w:r w:rsidRPr="00077437">
              <w:rPr>
                <w:lang w:val="en-US"/>
              </w:rPr>
              <w:t>22,535</w:t>
            </w:r>
          </w:p>
        </w:tc>
      </w:tr>
      <w:tr w:rsidR="0033566A" w:rsidRPr="0033566A" w14:paraId="25EBE15D" w14:textId="77777777" w:rsidTr="0033566A">
        <w:trPr>
          <w:trHeight w:val="284"/>
          <w:jc w:val="center"/>
        </w:trPr>
        <w:tc>
          <w:tcPr>
            <w:tcW w:w="7344" w:type="dxa"/>
            <w:tcBorders>
              <w:top w:val="single" w:sz="8" w:space="0" w:color="000000"/>
              <w:left w:val="single" w:sz="8" w:space="0" w:color="000000"/>
              <w:bottom w:val="single" w:sz="8" w:space="0" w:color="000000"/>
              <w:right w:val="single" w:sz="8" w:space="0" w:color="000000"/>
            </w:tcBorders>
            <w:hideMark/>
          </w:tcPr>
          <w:p w14:paraId="10FF81CD" w14:textId="77777777" w:rsidR="0033566A" w:rsidRPr="00077437" w:rsidRDefault="0033566A" w:rsidP="00077437">
            <w:pPr>
              <w:spacing w:after="0"/>
              <w:jc w:val="both"/>
              <w:rPr>
                <w:lang w:val="en-US"/>
              </w:rPr>
            </w:pPr>
            <w:r w:rsidRPr="00077437">
              <w:rPr>
                <w:lang w:val="en-US"/>
              </w:rPr>
              <w:t>Village and district enhancement expenditure</w:t>
            </w:r>
          </w:p>
        </w:tc>
        <w:tc>
          <w:tcPr>
            <w:tcW w:w="1817" w:type="dxa"/>
            <w:tcBorders>
              <w:top w:val="single" w:sz="8" w:space="0" w:color="000000"/>
              <w:left w:val="single" w:sz="8" w:space="0" w:color="000000"/>
              <w:bottom w:val="single" w:sz="8" w:space="0" w:color="000000"/>
              <w:right w:val="single" w:sz="8" w:space="0" w:color="000000"/>
            </w:tcBorders>
            <w:hideMark/>
          </w:tcPr>
          <w:p w14:paraId="35234A73" w14:textId="77777777" w:rsidR="0033566A" w:rsidRPr="00077437" w:rsidRDefault="0033566A" w:rsidP="00077437">
            <w:pPr>
              <w:spacing w:after="0"/>
              <w:jc w:val="right"/>
              <w:rPr>
                <w:lang w:val="en-US"/>
              </w:rPr>
            </w:pPr>
            <w:r w:rsidRPr="00077437">
              <w:rPr>
                <w:lang w:val="en-US"/>
              </w:rPr>
              <w:t>€2,555,177</w:t>
            </w:r>
          </w:p>
        </w:tc>
      </w:tr>
      <w:tr w:rsidR="0033566A" w:rsidRPr="0033566A" w14:paraId="18ED7578" w14:textId="77777777" w:rsidTr="0033566A">
        <w:trPr>
          <w:trHeight w:val="284"/>
          <w:jc w:val="center"/>
        </w:trPr>
        <w:tc>
          <w:tcPr>
            <w:tcW w:w="7344" w:type="dxa"/>
            <w:tcBorders>
              <w:top w:val="single" w:sz="8" w:space="0" w:color="000000"/>
              <w:left w:val="single" w:sz="8" w:space="0" w:color="000000"/>
              <w:bottom w:val="single" w:sz="8" w:space="0" w:color="000000"/>
              <w:right w:val="single" w:sz="8" w:space="0" w:color="000000"/>
            </w:tcBorders>
            <w:hideMark/>
          </w:tcPr>
          <w:p w14:paraId="6531807A" w14:textId="77777777" w:rsidR="0033566A" w:rsidRPr="00077437" w:rsidRDefault="0033566A" w:rsidP="00077437">
            <w:pPr>
              <w:spacing w:after="0"/>
              <w:jc w:val="both"/>
              <w:rPr>
                <w:lang w:val="en-US"/>
              </w:rPr>
            </w:pPr>
            <w:r w:rsidRPr="00077437">
              <w:rPr>
                <w:lang w:val="en-US"/>
              </w:rPr>
              <w:t>Private homes approved</w:t>
            </w:r>
          </w:p>
        </w:tc>
        <w:tc>
          <w:tcPr>
            <w:tcW w:w="1817" w:type="dxa"/>
            <w:tcBorders>
              <w:top w:val="single" w:sz="8" w:space="0" w:color="000000"/>
              <w:left w:val="single" w:sz="8" w:space="0" w:color="000000"/>
              <w:bottom w:val="single" w:sz="8" w:space="0" w:color="000000"/>
              <w:right w:val="single" w:sz="8" w:space="0" w:color="000000"/>
            </w:tcBorders>
            <w:hideMark/>
          </w:tcPr>
          <w:p w14:paraId="371AC467" w14:textId="77777777" w:rsidR="0033566A" w:rsidRPr="00077437" w:rsidRDefault="0033566A" w:rsidP="00077437">
            <w:pPr>
              <w:spacing w:after="0"/>
              <w:jc w:val="right"/>
              <w:rPr>
                <w:lang w:val="en-US"/>
              </w:rPr>
            </w:pPr>
            <w:r w:rsidRPr="00077437">
              <w:rPr>
                <w:lang w:val="en-US"/>
              </w:rPr>
              <w:t>1,240</w:t>
            </w:r>
          </w:p>
        </w:tc>
      </w:tr>
      <w:tr w:rsidR="0033566A" w:rsidRPr="0033566A" w14:paraId="5B11A8CD" w14:textId="77777777" w:rsidTr="0033566A">
        <w:trPr>
          <w:trHeight w:val="284"/>
          <w:jc w:val="center"/>
        </w:trPr>
        <w:tc>
          <w:tcPr>
            <w:tcW w:w="7344" w:type="dxa"/>
            <w:tcBorders>
              <w:top w:val="single" w:sz="8" w:space="0" w:color="000000"/>
              <w:left w:val="single" w:sz="8" w:space="0" w:color="000000"/>
              <w:bottom w:val="single" w:sz="8" w:space="0" w:color="000000"/>
              <w:right w:val="single" w:sz="8" w:space="0" w:color="000000"/>
            </w:tcBorders>
            <w:hideMark/>
          </w:tcPr>
          <w:p w14:paraId="68C02C19" w14:textId="77777777" w:rsidR="0033566A" w:rsidRPr="00077437" w:rsidRDefault="0033566A" w:rsidP="00077437">
            <w:pPr>
              <w:spacing w:after="0"/>
              <w:jc w:val="both"/>
              <w:rPr>
                <w:lang w:val="en-US"/>
              </w:rPr>
            </w:pPr>
            <w:r w:rsidRPr="00077437">
              <w:rPr>
                <w:lang w:val="en-US"/>
              </w:rPr>
              <w:t>Private homes commenced</w:t>
            </w:r>
          </w:p>
        </w:tc>
        <w:tc>
          <w:tcPr>
            <w:tcW w:w="1817" w:type="dxa"/>
            <w:tcBorders>
              <w:top w:val="single" w:sz="8" w:space="0" w:color="000000"/>
              <w:left w:val="single" w:sz="8" w:space="0" w:color="000000"/>
              <w:bottom w:val="single" w:sz="8" w:space="0" w:color="000000"/>
              <w:right w:val="single" w:sz="8" w:space="0" w:color="000000"/>
            </w:tcBorders>
            <w:hideMark/>
          </w:tcPr>
          <w:p w14:paraId="2F689B11" w14:textId="77777777" w:rsidR="0033566A" w:rsidRPr="00077437" w:rsidRDefault="0033566A" w:rsidP="00077437">
            <w:pPr>
              <w:spacing w:after="0"/>
              <w:jc w:val="right"/>
              <w:rPr>
                <w:lang w:val="en-US"/>
              </w:rPr>
            </w:pPr>
            <w:r w:rsidRPr="00077437">
              <w:rPr>
                <w:lang w:val="en-US"/>
              </w:rPr>
              <w:t>4,882</w:t>
            </w:r>
          </w:p>
        </w:tc>
      </w:tr>
      <w:tr w:rsidR="0033566A" w:rsidRPr="0033566A" w14:paraId="3BA5D3A1" w14:textId="77777777" w:rsidTr="0033566A">
        <w:trPr>
          <w:trHeight w:val="284"/>
          <w:jc w:val="center"/>
        </w:trPr>
        <w:tc>
          <w:tcPr>
            <w:tcW w:w="7344" w:type="dxa"/>
            <w:tcBorders>
              <w:top w:val="single" w:sz="8" w:space="0" w:color="000000"/>
              <w:left w:val="single" w:sz="8" w:space="0" w:color="000000"/>
              <w:bottom w:val="single" w:sz="8" w:space="0" w:color="000000"/>
              <w:right w:val="single" w:sz="8" w:space="0" w:color="000000"/>
            </w:tcBorders>
            <w:hideMark/>
          </w:tcPr>
          <w:p w14:paraId="4F85A134" w14:textId="77777777" w:rsidR="0033566A" w:rsidRPr="00077437" w:rsidRDefault="0033566A" w:rsidP="00077437">
            <w:pPr>
              <w:spacing w:after="0"/>
              <w:jc w:val="both"/>
              <w:rPr>
                <w:lang w:val="en-US"/>
              </w:rPr>
            </w:pPr>
            <w:r w:rsidRPr="00077437">
              <w:rPr>
                <w:lang w:val="en-US"/>
              </w:rPr>
              <w:t>Planning applications received</w:t>
            </w:r>
          </w:p>
        </w:tc>
        <w:tc>
          <w:tcPr>
            <w:tcW w:w="1817" w:type="dxa"/>
            <w:tcBorders>
              <w:top w:val="single" w:sz="8" w:space="0" w:color="000000"/>
              <w:left w:val="single" w:sz="8" w:space="0" w:color="000000"/>
              <w:bottom w:val="single" w:sz="8" w:space="0" w:color="000000"/>
              <w:right w:val="single" w:sz="8" w:space="0" w:color="000000"/>
            </w:tcBorders>
            <w:hideMark/>
          </w:tcPr>
          <w:p w14:paraId="548634D6" w14:textId="77777777" w:rsidR="0033566A" w:rsidRPr="00077437" w:rsidRDefault="0033566A" w:rsidP="00077437">
            <w:pPr>
              <w:spacing w:after="0"/>
              <w:jc w:val="right"/>
              <w:rPr>
                <w:lang w:val="en-US"/>
              </w:rPr>
            </w:pPr>
            <w:r w:rsidRPr="00077437">
              <w:rPr>
                <w:lang w:val="en-US"/>
              </w:rPr>
              <w:t>933</w:t>
            </w:r>
          </w:p>
        </w:tc>
      </w:tr>
      <w:tr w:rsidR="0033566A" w:rsidRPr="0033566A" w14:paraId="507E9C76" w14:textId="77777777" w:rsidTr="0033566A">
        <w:trPr>
          <w:trHeight w:val="284"/>
          <w:jc w:val="center"/>
        </w:trPr>
        <w:tc>
          <w:tcPr>
            <w:tcW w:w="7344" w:type="dxa"/>
            <w:tcBorders>
              <w:top w:val="single" w:sz="8" w:space="0" w:color="000000"/>
              <w:left w:val="single" w:sz="8" w:space="0" w:color="000000"/>
              <w:bottom w:val="single" w:sz="8" w:space="0" w:color="000000"/>
              <w:right w:val="single" w:sz="8" w:space="0" w:color="000000"/>
            </w:tcBorders>
            <w:hideMark/>
          </w:tcPr>
          <w:p w14:paraId="63B491D1" w14:textId="77777777" w:rsidR="0033566A" w:rsidRPr="00077437" w:rsidRDefault="0033566A" w:rsidP="00077437">
            <w:pPr>
              <w:spacing w:after="0"/>
              <w:jc w:val="both"/>
              <w:rPr>
                <w:lang w:val="en-US"/>
              </w:rPr>
            </w:pPr>
            <w:r w:rsidRPr="00077437">
              <w:rPr>
                <w:lang w:val="en-US"/>
              </w:rPr>
              <w:t>% planning applications granted</w:t>
            </w:r>
          </w:p>
        </w:tc>
        <w:tc>
          <w:tcPr>
            <w:tcW w:w="1817" w:type="dxa"/>
            <w:tcBorders>
              <w:top w:val="single" w:sz="8" w:space="0" w:color="000000"/>
              <w:left w:val="single" w:sz="8" w:space="0" w:color="000000"/>
              <w:bottom w:val="single" w:sz="8" w:space="0" w:color="000000"/>
              <w:right w:val="single" w:sz="8" w:space="0" w:color="000000"/>
            </w:tcBorders>
            <w:hideMark/>
          </w:tcPr>
          <w:p w14:paraId="214ADFF6" w14:textId="77777777" w:rsidR="0033566A" w:rsidRPr="00077437" w:rsidRDefault="0033566A" w:rsidP="00077437">
            <w:pPr>
              <w:spacing w:after="0"/>
              <w:jc w:val="right"/>
              <w:rPr>
                <w:lang w:val="en-US"/>
              </w:rPr>
            </w:pPr>
            <w:r w:rsidRPr="00077437">
              <w:rPr>
                <w:lang w:val="en-US"/>
              </w:rPr>
              <w:t>69</w:t>
            </w:r>
          </w:p>
        </w:tc>
      </w:tr>
      <w:tr w:rsidR="0033566A" w:rsidRPr="0033566A" w14:paraId="4276E623" w14:textId="77777777" w:rsidTr="0033566A">
        <w:trPr>
          <w:trHeight w:val="284"/>
          <w:jc w:val="center"/>
        </w:trPr>
        <w:tc>
          <w:tcPr>
            <w:tcW w:w="7344" w:type="dxa"/>
            <w:tcBorders>
              <w:top w:val="single" w:sz="8" w:space="0" w:color="000000"/>
              <w:left w:val="single" w:sz="8" w:space="0" w:color="000000"/>
              <w:bottom w:val="single" w:sz="8" w:space="0" w:color="000000"/>
              <w:right w:val="single" w:sz="8" w:space="0" w:color="000000"/>
            </w:tcBorders>
            <w:hideMark/>
          </w:tcPr>
          <w:p w14:paraId="24452845" w14:textId="77777777" w:rsidR="0033566A" w:rsidRPr="00077437" w:rsidRDefault="0033566A" w:rsidP="00077437">
            <w:pPr>
              <w:spacing w:after="0"/>
              <w:jc w:val="both"/>
              <w:rPr>
                <w:lang w:val="en-US"/>
              </w:rPr>
            </w:pPr>
            <w:r w:rsidRPr="00077437">
              <w:rPr>
                <w:lang w:val="en-US"/>
              </w:rPr>
              <w:t>Pre-planning meetings held within 8 weeks</w:t>
            </w:r>
          </w:p>
        </w:tc>
        <w:tc>
          <w:tcPr>
            <w:tcW w:w="1817" w:type="dxa"/>
            <w:tcBorders>
              <w:top w:val="single" w:sz="8" w:space="0" w:color="000000"/>
              <w:left w:val="single" w:sz="8" w:space="0" w:color="000000"/>
              <w:bottom w:val="single" w:sz="8" w:space="0" w:color="000000"/>
              <w:right w:val="single" w:sz="8" w:space="0" w:color="000000"/>
            </w:tcBorders>
            <w:hideMark/>
          </w:tcPr>
          <w:p w14:paraId="0C26AAE6" w14:textId="77777777" w:rsidR="0033566A" w:rsidRPr="00077437" w:rsidRDefault="0033566A" w:rsidP="00077437">
            <w:pPr>
              <w:spacing w:after="0"/>
              <w:jc w:val="right"/>
              <w:rPr>
                <w:lang w:val="en-US"/>
              </w:rPr>
            </w:pPr>
            <w:r w:rsidRPr="00077437">
              <w:rPr>
                <w:lang w:val="en-US"/>
              </w:rPr>
              <w:t>114</w:t>
            </w:r>
          </w:p>
        </w:tc>
      </w:tr>
    </w:tbl>
    <w:p w14:paraId="6667A979" w14:textId="77777777" w:rsidR="0033566A" w:rsidRPr="0033566A" w:rsidRDefault="0033566A" w:rsidP="00B60676">
      <w:pPr>
        <w:jc w:val="both"/>
      </w:pPr>
    </w:p>
    <w:p w14:paraId="31DD8237" w14:textId="77777777" w:rsidR="0033566A" w:rsidRPr="0033566A" w:rsidRDefault="0033566A" w:rsidP="00B60676">
      <w:pPr>
        <w:jc w:val="both"/>
      </w:pPr>
    </w:p>
    <w:p w14:paraId="3FFCA448" w14:textId="4D268C3E" w:rsidR="0033566A" w:rsidRPr="0033566A" w:rsidRDefault="0033566A" w:rsidP="00B60676">
      <w:pPr>
        <w:pStyle w:val="Heading2"/>
        <w:jc w:val="both"/>
      </w:pPr>
      <w:bookmarkStart w:id="90" w:name="_Toc195533626"/>
      <w:bookmarkStart w:id="91" w:name="_Toc195533698"/>
      <w:bookmarkStart w:id="92" w:name="_Toc195533975"/>
      <w:bookmarkStart w:id="93" w:name="_Toc195534050"/>
      <w:bookmarkStart w:id="94" w:name="_Toc195534413"/>
      <w:bookmarkStart w:id="95" w:name="_Toc195534614"/>
      <w:bookmarkStart w:id="96" w:name="_Toc199244570"/>
      <w:r w:rsidRPr="0033566A">
        <w:lastRenderedPageBreak/>
        <w:t>Housing, Social and Community Development</w:t>
      </w:r>
      <w:bookmarkEnd w:id="90"/>
      <w:bookmarkEnd w:id="91"/>
      <w:bookmarkEnd w:id="92"/>
      <w:bookmarkEnd w:id="93"/>
      <w:bookmarkEnd w:id="94"/>
      <w:bookmarkEnd w:id="95"/>
      <w:bookmarkEnd w:id="96"/>
    </w:p>
    <w:p w14:paraId="5A373A04" w14:textId="77777777" w:rsidR="0033566A" w:rsidRPr="00B60676" w:rsidRDefault="0033566A" w:rsidP="00B60676">
      <w:pPr>
        <w:jc w:val="both"/>
        <w:rPr>
          <w:b/>
          <w:bCs/>
          <w:lang w:val="en"/>
        </w:rPr>
      </w:pPr>
      <w:r w:rsidRPr="00B60676">
        <w:rPr>
          <w:b/>
          <w:bCs/>
          <w:lang w:val="en"/>
        </w:rPr>
        <w:t xml:space="preserve">Deliver quality social and affordable housing to meet housing </w:t>
      </w:r>
      <w:proofErr w:type="gramStart"/>
      <w:r w:rsidRPr="00B60676">
        <w:rPr>
          <w:b/>
          <w:bCs/>
          <w:lang w:val="en"/>
        </w:rPr>
        <w:t>need</w:t>
      </w:r>
      <w:proofErr w:type="gramEnd"/>
      <w:r w:rsidRPr="00B60676">
        <w:rPr>
          <w:b/>
          <w:bCs/>
          <w:lang w:val="en"/>
        </w:rPr>
        <w:t xml:space="preserve"> across the county</w:t>
      </w:r>
    </w:p>
    <w:p w14:paraId="13B99FD2" w14:textId="77777777" w:rsidR="0033566A" w:rsidRPr="00BA5AA8" w:rsidRDefault="0033566A" w:rsidP="00BA5AA8">
      <w:pPr>
        <w:jc w:val="both"/>
        <w:rPr>
          <w:lang w:val="en-GB"/>
        </w:rPr>
      </w:pPr>
      <w:r w:rsidRPr="00BA5AA8">
        <w:rPr>
          <w:lang w:val="en"/>
        </w:rPr>
        <w:t xml:space="preserve">Progress under our Housing Delivery Action Plan (HDAP) continued with the delivery of 1,042 new social and affordable homes across all streams, including 777 new social homes completed through our direct build </w:t>
      </w:r>
      <w:proofErr w:type="spellStart"/>
      <w:r w:rsidRPr="00BA5AA8">
        <w:rPr>
          <w:lang w:val="en"/>
        </w:rPr>
        <w:t>programme</w:t>
      </w:r>
      <w:proofErr w:type="spellEnd"/>
      <w:r w:rsidRPr="00BA5AA8">
        <w:rPr>
          <w:lang w:val="en"/>
        </w:rPr>
        <w:t xml:space="preserve">, Part V, Approved Housing Bodies and turnkey opportunities, 210 properties provided through long- term leases </w:t>
      </w:r>
      <w:r w:rsidRPr="00BA5AA8">
        <w:rPr>
          <w:lang w:val="en-GB"/>
        </w:rPr>
        <w:t xml:space="preserve">and </w:t>
      </w:r>
      <w:r w:rsidRPr="00BA5AA8">
        <w:rPr>
          <w:lang w:val="en"/>
        </w:rPr>
        <w:t>55 new affordable purchase homes.</w:t>
      </w:r>
    </w:p>
    <w:p w14:paraId="5334F223" w14:textId="77777777" w:rsidR="0033566A" w:rsidRPr="00BA5AA8" w:rsidRDefault="0033566A" w:rsidP="00BA5AA8">
      <w:pPr>
        <w:jc w:val="both"/>
        <w:rPr>
          <w:lang w:val="en-GB"/>
        </w:rPr>
      </w:pPr>
      <w:r w:rsidRPr="00BA5AA8">
        <w:rPr>
          <w:lang w:val="en-US"/>
        </w:rPr>
        <w:t xml:space="preserve">In </w:t>
      </w:r>
      <w:proofErr w:type="spellStart"/>
      <w:r w:rsidRPr="00BA5AA8">
        <w:rPr>
          <w:lang w:val="en-US"/>
        </w:rPr>
        <w:t>Clonburris</w:t>
      </w:r>
      <w:proofErr w:type="spellEnd"/>
      <w:r w:rsidRPr="00BA5AA8">
        <w:rPr>
          <w:lang w:val="en-US"/>
        </w:rPr>
        <w:t xml:space="preserve">, construction progressed on 116 social and affordable homes at the Canal Extension site while the tender process for 266 homes at </w:t>
      </w:r>
      <w:proofErr w:type="spellStart"/>
      <w:r w:rsidRPr="00BA5AA8">
        <w:rPr>
          <w:lang w:val="en-US"/>
        </w:rPr>
        <w:t>Kishogue</w:t>
      </w:r>
      <w:proofErr w:type="spellEnd"/>
      <w:r w:rsidRPr="00BA5AA8">
        <w:rPr>
          <w:lang w:val="en-US"/>
        </w:rPr>
        <w:t xml:space="preserve"> concluded with construction to commence on-site shortly. The Part 8 planning application for </w:t>
      </w:r>
      <w:r w:rsidRPr="00BA5AA8">
        <w:rPr>
          <w:lang w:val="en"/>
        </w:rPr>
        <w:t>118 social homes to be delivered through the PPP mechanism was approved in November and a</w:t>
      </w:r>
      <w:r w:rsidRPr="00BA5AA8">
        <w:rPr>
          <w:lang w:val="en-US"/>
        </w:rPr>
        <w:t xml:space="preserve"> Part 10 planning application for approximately 2,500 further homes is nearing completion and will be lodged with An Bord </w:t>
      </w:r>
      <w:proofErr w:type="spellStart"/>
      <w:r w:rsidRPr="00BA5AA8">
        <w:rPr>
          <w:lang w:val="en-US"/>
        </w:rPr>
        <w:t>Pleanála</w:t>
      </w:r>
      <w:proofErr w:type="spellEnd"/>
      <w:r w:rsidRPr="00BA5AA8">
        <w:rPr>
          <w:lang w:val="en-US"/>
        </w:rPr>
        <w:t xml:space="preserve"> in Q1 2025. </w:t>
      </w:r>
    </w:p>
    <w:p w14:paraId="313A010E" w14:textId="77777777" w:rsidR="0033566A" w:rsidRPr="00BA5AA8" w:rsidRDefault="0033566A" w:rsidP="00BA5AA8">
      <w:pPr>
        <w:jc w:val="both"/>
        <w:rPr>
          <w:lang w:val="en"/>
        </w:rPr>
      </w:pPr>
      <w:r w:rsidRPr="00BA5AA8">
        <w:rPr>
          <w:lang w:val="en-US"/>
        </w:rPr>
        <w:t xml:space="preserve">82 social and 29 affordable homes were delivered under the </w:t>
      </w:r>
      <w:proofErr w:type="spellStart"/>
      <w:r w:rsidRPr="00BA5AA8">
        <w:rPr>
          <w:lang w:val="en-US"/>
        </w:rPr>
        <w:t>Kilcarbery</w:t>
      </w:r>
      <w:proofErr w:type="spellEnd"/>
      <w:r w:rsidRPr="00BA5AA8">
        <w:rPr>
          <w:lang w:val="en-US"/>
        </w:rPr>
        <w:t xml:space="preserve"> joint venture development with Phase 3 now substantially complete and Phase 4 to complete in Q3 2025 while development of 88 social and affordable homes on an adjacent site commenced in December following S183 approval by </w:t>
      </w:r>
      <w:proofErr w:type="spellStart"/>
      <w:r w:rsidRPr="00BA5AA8">
        <w:rPr>
          <w:lang w:val="en-US"/>
        </w:rPr>
        <w:t>councillors</w:t>
      </w:r>
      <w:proofErr w:type="spellEnd"/>
      <w:r w:rsidRPr="00BA5AA8">
        <w:rPr>
          <w:lang w:val="en-US"/>
        </w:rPr>
        <w:t xml:space="preserve"> in October.</w:t>
      </w:r>
    </w:p>
    <w:p w14:paraId="194755D9" w14:textId="77777777" w:rsidR="0033566A" w:rsidRPr="00BA5AA8" w:rsidRDefault="0033566A" w:rsidP="00BA5AA8">
      <w:pPr>
        <w:jc w:val="both"/>
        <w:rPr>
          <w:lang w:val="en"/>
        </w:rPr>
      </w:pPr>
      <w:r w:rsidRPr="00BA5AA8">
        <w:rPr>
          <w:lang w:val="en-US"/>
        </w:rPr>
        <w:t xml:space="preserve">Construction </w:t>
      </w:r>
      <w:proofErr w:type="gramStart"/>
      <w:r w:rsidRPr="00BA5AA8">
        <w:rPr>
          <w:lang w:val="en"/>
        </w:rPr>
        <w:t>continued</w:t>
      </w:r>
      <w:r w:rsidRPr="00BA5AA8">
        <w:rPr>
          <w:lang w:val="en-US"/>
        </w:rPr>
        <w:t xml:space="preserve"> on</w:t>
      </w:r>
      <w:proofErr w:type="gramEnd"/>
      <w:r w:rsidRPr="00BA5AA8">
        <w:rPr>
          <w:lang w:val="en-US"/>
        </w:rPr>
        <w:t xml:space="preserve"> </w:t>
      </w:r>
      <w:r w:rsidRPr="00BA5AA8">
        <w:rPr>
          <w:lang w:val="en"/>
        </w:rPr>
        <w:t xml:space="preserve">Innovation Square, our 133-apartment development which is the first local authority funded standalone cost rental development in Ireland, with these homes, situated </w:t>
      </w:r>
      <w:r w:rsidRPr="0033566A">
        <w:t xml:space="preserve">in the </w:t>
      </w:r>
      <w:proofErr w:type="gramStart"/>
      <w:r w:rsidRPr="0033566A">
        <w:t>new Innovation</w:t>
      </w:r>
      <w:proofErr w:type="gramEnd"/>
      <w:r w:rsidRPr="0033566A">
        <w:t xml:space="preserve"> Square urban district of Tallaght, due to be fully completed and </w:t>
      </w:r>
      <w:r w:rsidRPr="00BA5AA8">
        <w:rPr>
          <w:lang w:val="en"/>
        </w:rPr>
        <w:t>launched to the market in Q1 2025 with rents discounted by more than 25%.</w:t>
      </w:r>
    </w:p>
    <w:p w14:paraId="60B51E8D" w14:textId="77777777" w:rsidR="0033566A" w:rsidRPr="00BA5AA8" w:rsidRDefault="0033566A" w:rsidP="00BA5AA8">
      <w:pPr>
        <w:jc w:val="both"/>
        <w:rPr>
          <w:lang w:val="en-US"/>
        </w:rPr>
      </w:pPr>
      <w:r w:rsidRPr="0033566A">
        <w:t xml:space="preserve">Pre-planning compliances were completed and enabling works commenced on site </w:t>
      </w:r>
      <w:r w:rsidRPr="00BA5AA8">
        <w:rPr>
          <w:lang w:val="en-US"/>
        </w:rPr>
        <w:t>for 620 new private, social and affordable homes in the Killinarden Foothills joint venture project while consultants have been appointed to progress the Rathcoole Masterplan through to a Part 10 planning application in 2025.</w:t>
      </w:r>
    </w:p>
    <w:p w14:paraId="1F61F452" w14:textId="77777777" w:rsidR="0033566A" w:rsidRPr="0033566A" w:rsidRDefault="0033566A" w:rsidP="00BA5AA8">
      <w:pPr>
        <w:jc w:val="both"/>
      </w:pPr>
      <w:r w:rsidRPr="0033566A">
        <w:t xml:space="preserve">New homes were </w:t>
      </w:r>
      <w:proofErr w:type="gramStart"/>
      <w:r w:rsidRPr="0033566A">
        <w:t>completed</w:t>
      </w:r>
      <w:proofErr w:type="gramEnd"/>
      <w:r w:rsidRPr="0033566A">
        <w:t xml:space="preserve"> and allocations progressed on social housing developments at </w:t>
      </w:r>
      <w:proofErr w:type="spellStart"/>
      <w:r w:rsidRPr="0033566A">
        <w:t>Balgaddy</w:t>
      </w:r>
      <w:proofErr w:type="spellEnd"/>
      <w:r w:rsidRPr="0033566A">
        <w:t xml:space="preserve">, New </w:t>
      </w:r>
      <w:proofErr w:type="spellStart"/>
      <w:r w:rsidRPr="0033566A">
        <w:t>Nangor</w:t>
      </w:r>
      <w:proofErr w:type="spellEnd"/>
      <w:r w:rsidRPr="0033566A">
        <w:t xml:space="preserve"> Road and Lindisfarne.  Construction is ongoing at </w:t>
      </w:r>
      <w:proofErr w:type="spellStart"/>
      <w:r w:rsidRPr="0033566A">
        <w:t>Homeville</w:t>
      </w:r>
      <w:proofErr w:type="spellEnd"/>
      <w:r w:rsidRPr="0033566A">
        <w:t xml:space="preserve"> and St. </w:t>
      </w:r>
      <w:proofErr w:type="spellStart"/>
      <w:r w:rsidRPr="0033566A">
        <w:t>Aongus</w:t>
      </w:r>
      <w:proofErr w:type="spellEnd"/>
      <w:r w:rsidRPr="0033566A">
        <w:t xml:space="preserve"> Green and contractors were appointed for Part 8 approved developments at St. Ronan’s Crescent and Pearse Brothers Park.</w:t>
      </w:r>
    </w:p>
    <w:p w14:paraId="0BE6B340" w14:textId="77777777" w:rsidR="0033566A" w:rsidRPr="00BA5AA8" w:rsidRDefault="0033566A" w:rsidP="00BA5AA8">
      <w:pPr>
        <w:jc w:val="both"/>
        <w:rPr>
          <w:lang w:val="en-US"/>
        </w:rPr>
      </w:pPr>
      <w:r w:rsidRPr="00BA5AA8">
        <w:rPr>
          <w:lang w:val="en-US"/>
        </w:rPr>
        <w:t xml:space="preserve">Seven proposed housing developments were advertised under Section 179A temporary planning exemption for social and affordable housing with construction/enabling works commenced on six sites by year end and one proposed development delayed due to </w:t>
      </w:r>
      <w:r w:rsidRPr="0033566A">
        <w:t>legal proceedings</w:t>
      </w:r>
      <w:r w:rsidRPr="00BA5AA8">
        <w:rPr>
          <w:lang w:val="en-US"/>
        </w:rPr>
        <w:t>.</w:t>
      </w:r>
    </w:p>
    <w:p w14:paraId="2C776057" w14:textId="77777777" w:rsidR="0033566A" w:rsidRPr="00BA5AA8" w:rsidRDefault="0033566A" w:rsidP="00BA5AA8">
      <w:pPr>
        <w:jc w:val="both"/>
        <w:rPr>
          <w:lang w:val="en-US"/>
        </w:rPr>
      </w:pPr>
      <w:r w:rsidRPr="00BA5AA8">
        <w:rPr>
          <w:lang w:val="en-US"/>
        </w:rPr>
        <w:t xml:space="preserve">Seven homes were delivered </w:t>
      </w:r>
      <w:proofErr w:type="gramStart"/>
      <w:r w:rsidRPr="00BA5AA8">
        <w:rPr>
          <w:lang w:val="en-US"/>
        </w:rPr>
        <w:t>in</w:t>
      </w:r>
      <w:proofErr w:type="gramEnd"/>
      <w:r w:rsidRPr="00BA5AA8">
        <w:rPr>
          <w:lang w:val="en-US"/>
        </w:rPr>
        <w:t xml:space="preserve"> a new </w:t>
      </w:r>
      <w:proofErr w:type="spellStart"/>
      <w:r w:rsidRPr="00BA5AA8">
        <w:rPr>
          <w:lang w:val="en-US"/>
        </w:rPr>
        <w:t>Traveller</w:t>
      </w:r>
      <w:proofErr w:type="spellEnd"/>
      <w:r w:rsidRPr="00BA5AA8">
        <w:rPr>
          <w:lang w:val="en-US"/>
        </w:rPr>
        <w:t xml:space="preserve"> group housing scheme at Fonthill.</w:t>
      </w:r>
    </w:p>
    <w:p w14:paraId="7AB7A505" w14:textId="77777777" w:rsidR="0033566A" w:rsidRPr="0033566A" w:rsidRDefault="0033566A" w:rsidP="00B60676">
      <w:pPr>
        <w:jc w:val="both"/>
        <w:rPr>
          <w:lang w:val="en-US"/>
        </w:rPr>
      </w:pPr>
    </w:p>
    <w:p w14:paraId="7242B297" w14:textId="77777777" w:rsidR="0033566A" w:rsidRPr="00B60676" w:rsidRDefault="0033566A" w:rsidP="00B60676">
      <w:pPr>
        <w:jc w:val="both"/>
        <w:rPr>
          <w:b/>
          <w:bCs/>
          <w:lang w:val="en-US"/>
        </w:rPr>
      </w:pPr>
      <w:r w:rsidRPr="00B60676">
        <w:rPr>
          <w:b/>
          <w:bCs/>
          <w:lang w:val="en-US"/>
        </w:rPr>
        <w:lastRenderedPageBreak/>
        <w:t xml:space="preserve">Provide optimal and innovative housing management, </w:t>
      </w:r>
      <w:proofErr w:type="gramStart"/>
      <w:r w:rsidRPr="00B60676">
        <w:rPr>
          <w:b/>
          <w:bCs/>
          <w:lang w:val="en-US"/>
        </w:rPr>
        <w:t>supports</w:t>
      </w:r>
      <w:proofErr w:type="gramEnd"/>
      <w:r w:rsidRPr="00B60676">
        <w:rPr>
          <w:b/>
          <w:bCs/>
          <w:lang w:val="en-US"/>
        </w:rPr>
        <w:t xml:space="preserve"> and regulations for better </w:t>
      </w:r>
      <w:proofErr w:type="gramStart"/>
      <w:r w:rsidRPr="00B60676">
        <w:rPr>
          <w:b/>
          <w:bCs/>
          <w:lang w:val="en-US"/>
        </w:rPr>
        <w:t>tenancies</w:t>
      </w:r>
      <w:proofErr w:type="gramEnd"/>
      <w:r w:rsidRPr="00B60676">
        <w:rPr>
          <w:b/>
          <w:bCs/>
          <w:lang w:val="en-US"/>
        </w:rPr>
        <w:t xml:space="preserve"> and estates</w:t>
      </w:r>
    </w:p>
    <w:p w14:paraId="03CA3BC7" w14:textId="77777777" w:rsidR="0033566A" w:rsidRPr="00BA5AA8" w:rsidRDefault="0033566A" w:rsidP="00BA5AA8">
      <w:pPr>
        <w:jc w:val="both"/>
        <w:rPr>
          <w:lang w:val="en-GB"/>
        </w:rPr>
      </w:pPr>
      <w:r w:rsidRPr="00BA5AA8">
        <w:rPr>
          <w:lang w:val="en"/>
        </w:rPr>
        <w:t>We continued to manage and maintain our social housing stock of 10,302 and 957 leased properties and supported 4,517 Housing Assistance Payment (HAP) and 737 Rental Accommodation Scheme (RAS) tenancies.</w:t>
      </w:r>
    </w:p>
    <w:p w14:paraId="0063EA95" w14:textId="77777777" w:rsidR="0033566A" w:rsidRPr="00BA5AA8" w:rsidRDefault="0033566A" w:rsidP="00BA5AA8">
      <w:pPr>
        <w:jc w:val="both"/>
        <w:rPr>
          <w:lang w:val="en-GB"/>
        </w:rPr>
      </w:pPr>
      <w:r w:rsidRPr="00BA5AA8">
        <w:rPr>
          <w:lang w:val="en"/>
        </w:rPr>
        <w:t>We made 1,245 housing allocations including 267 allocations to homeless households following 341,103 expressions of interest received through our Choice Based Letting system.</w:t>
      </w:r>
    </w:p>
    <w:p w14:paraId="142B0CD4" w14:textId="77777777" w:rsidR="0033566A" w:rsidRPr="00BA5AA8" w:rsidRDefault="0033566A" w:rsidP="00BA5AA8">
      <w:pPr>
        <w:jc w:val="both"/>
        <w:rPr>
          <w:lang w:val="en-GB"/>
        </w:rPr>
      </w:pPr>
      <w:r w:rsidRPr="0033566A">
        <w:t>118 properties were purchased under the tenant-in situ acquisition scheme with a further 71 progressed to sale agreed/conveyancing.</w:t>
      </w:r>
    </w:p>
    <w:p w14:paraId="5297EB6C" w14:textId="77777777" w:rsidR="0033566A" w:rsidRPr="00BA5AA8" w:rsidRDefault="0033566A" w:rsidP="00BA5AA8">
      <w:pPr>
        <w:jc w:val="both"/>
        <w:rPr>
          <w:lang w:val="en-GB"/>
        </w:rPr>
      </w:pPr>
      <w:r w:rsidRPr="00BA5AA8">
        <w:rPr>
          <w:lang w:val="en"/>
        </w:rPr>
        <w:t>3,287 new applications for social housing support were received along with 191 rightsizing applications from social housing tenants and private homeowners.</w:t>
      </w:r>
    </w:p>
    <w:p w14:paraId="292F5E3E" w14:textId="77777777" w:rsidR="0033566A" w:rsidRPr="00BA5AA8" w:rsidRDefault="0033566A" w:rsidP="00BA5AA8">
      <w:pPr>
        <w:jc w:val="both"/>
        <w:rPr>
          <w:lang w:val="en"/>
        </w:rPr>
      </w:pPr>
      <w:r w:rsidRPr="00BA5AA8">
        <w:rPr>
          <w:lang w:val="en"/>
        </w:rPr>
        <w:t>1,092 households presenting to Homeless Services were supported.</w:t>
      </w:r>
    </w:p>
    <w:p w14:paraId="193F2B92" w14:textId="77777777" w:rsidR="0033566A" w:rsidRPr="00BA5AA8" w:rsidRDefault="0033566A" w:rsidP="00BA5AA8">
      <w:pPr>
        <w:jc w:val="both"/>
        <w:rPr>
          <w:lang w:val="en-GB"/>
        </w:rPr>
      </w:pPr>
      <w:r w:rsidRPr="00BA5AA8">
        <w:rPr>
          <w:lang w:val="en"/>
        </w:rPr>
        <w:t>4,772 private rented properties were subject to initial inspections.</w:t>
      </w:r>
    </w:p>
    <w:p w14:paraId="2777389D" w14:textId="77777777" w:rsidR="0033566A" w:rsidRPr="00BA5AA8" w:rsidRDefault="0033566A" w:rsidP="00BA5AA8">
      <w:pPr>
        <w:jc w:val="both"/>
        <w:rPr>
          <w:lang w:val="en-GB"/>
        </w:rPr>
      </w:pPr>
      <w:r w:rsidRPr="00BA5AA8">
        <w:rPr>
          <w:lang w:val="en"/>
        </w:rPr>
        <w:t>706 private housing grants were approved, and 161 social housing adaptation works were completed.</w:t>
      </w:r>
    </w:p>
    <w:p w14:paraId="23C397D5" w14:textId="77777777" w:rsidR="0033566A" w:rsidRPr="00BA5AA8" w:rsidRDefault="0033566A" w:rsidP="00BA5AA8">
      <w:pPr>
        <w:jc w:val="both"/>
        <w:rPr>
          <w:lang w:val="en-GB"/>
        </w:rPr>
      </w:pPr>
      <w:r w:rsidRPr="00BA5AA8">
        <w:rPr>
          <w:lang w:val="en"/>
        </w:rPr>
        <w:t>97 applications were received for the Local Authority Home Loan scheme with €7.67 million provisionally approved to borrowers.</w:t>
      </w:r>
    </w:p>
    <w:p w14:paraId="21A49415" w14:textId="77777777" w:rsidR="0033566A" w:rsidRPr="00BA5AA8" w:rsidRDefault="0033566A" w:rsidP="00BA5AA8">
      <w:pPr>
        <w:jc w:val="both"/>
        <w:rPr>
          <w:lang w:val="en-GB"/>
        </w:rPr>
      </w:pPr>
      <w:r w:rsidRPr="00BA5AA8">
        <w:rPr>
          <w:lang w:val="en"/>
        </w:rPr>
        <w:t>We allocated 184 re-let properties at an average turnaround time of 20.64 weeks.</w:t>
      </w:r>
    </w:p>
    <w:p w14:paraId="41D1AAF7" w14:textId="77777777" w:rsidR="0033566A" w:rsidRPr="00BA5AA8" w:rsidRDefault="0033566A" w:rsidP="00BA5AA8">
      <w:pPr>
        <w:jc w:val="both"/>
        <w:rPr>
          <w:lang w:val="en-GB"/>
        </w:rPr>
      </w:pPr>
      <w:r w:rsidRPr="00BA5AA8">
        <w:rPr>
          <w:lang w:val="en"/>
        </w:rPr>
        <w:t xml:space="preserve">85 home upgrades were completed under the </w:t>
      </w:r>
      <w:proofErr w:type="gramStart"/>
      <w:r w:rsidRPr="00BA5AA8">
        <w:rPr>
          <w:lang w:val="en"/>
        </w:rPr>
        <w:t>national</w:t>
      </w:r>
      <w:proofErr w:type="gramEnd"/>
      <w:r w:rsidRPr="00BA5AA8">
        <w:rPr>
          <w:lang w:val="en"/>
        </w:rPr>
        <w:t xml:space="preserve"> Energy Efficiency Retrofit </w:t>
      </w:r>
      <w:proofErr w:type="spellStart"/>
      <w:r w:rsidRPr="00BA5AA8">
        <w:rPr>
          <w:lang w:val="en"/>
        </w:rPr>
        <w:t>Programme</w:t>
      </w:r>
      <w:proofErr w:type="spellEnd"/>
      <w:r w:rsidRPr="00BA5AA8">
        <w:rPr>
          <w:lang w:val="en"/>
        </w:rPr>
        <w:t xml:space="preserve">, with a further 263 homes upgraded under our Windows and Doors </w:t>
      </w:r>
      <w:proofErr w:type="spellStart"/>
      <w:r w:rsidRPr="00BA5AA8">
        <w:rPr>
          <w:lang w:val="en"/>
        </w:rPr>
        <w:t>Programme</w:t>
      </w:r>
      <w:proofErr w:type="spellEnd"/>
      <w:r w:rsidRPr="00BA5AA8">
        <w:rPr>
          <w:lang w:val="en"/>
        </w:rPr>
        <w:t>.</w:t>
      </w:r>
    </w:p>
    <w:p w14:paraId="2398AE8F" w14:textId="77777777" w:rsidR="0033566A" w:rsidRPr="00BA5AA8" w:rsidRDefault="0033566A" w:rsidP="00BA5AA8">
      <w:pPr>
        <w:jc w:val="both"/>
        <w:rPr>
          <w:lang w:val="en-GB"/>
        </w:rPr>
      </w:pPr>
      <w:r w:rsidRPr="00BA5AA8">
        <w:rPr>
          <w:lang w:val="en"/>
        </w:rPr>
        <w:t>Our new Housing Customer Centre facilitated 1,893 appointments, and 12,144 housing customers are now registered with our Integrated Housing System to which an online application process for private housing grants was added.</w:t>
      </w:r>
    </w:p>
    <w:p w14:paraId="336D5BD9" w14:textId="77777777" w:rsidR="0033566A" w:rsidRPr="00BA5AA8" w:rsidRDefault="0033566A" w:rsidP="00BA5AA8">
      <w:pPr>
        <w:jc w:val="both"/>
        <w:rPr>
          <w:lang w:val="en-GB"/>
        </w:rPr>
      </w:pPr>
      <w:r w:rsidRPr="00BA5AA8">
        <w:rPr>
          <w:lang w:val="en"/>
        </w:rPr>
        <w:t>17,423 housing maintenance requests were received with 12,243 repairs completed.</w:t>
      </w:r>
    </w:p>
    <w:p w14:paraId="05695AA5" w14:textId="77777777" w:rsidR="0033566A" w:rsidRPr="00BA5AA8" w:rsidRDefault="0033566A" w:rsidP="00BA5AA8">
      <w:pPr>
        <w:jc w:val="both"/>
        <w:rPr>
          <w:lang w:val="en-US"/>
        </w:rPr>
      </w:pPr>
      <w:r w:rsidRPr="00BA5AA8">
        <w:rPr>
          <w:lang w:val="en-US"/>
        </w:rPr>
        <w:t>A county-wide vacant homes survey was undertaken to support our use of DHLGH funding to bring vacant homes back into use and 146 Vacant Homes Refurbishment Grant applications were received, with 64 approved in principle and 37 grants paid to applicants.</w:t>
      </w:r>
    </w:p>
    <w:p w14:paraId="2DF26B14" w14:textId="7C88FF6E" w:rsidR="0033566A" w:rsidRPr="00BA5AA8" w:rsidRDefault="0033566A" w:rsidP="00BA5AA8">
      <w:pPr>
        <w:jc w:val="both"/>
        <w:rPr>
          <w:lang w:val="en-GB"/>
        </w:rPr>
      </w:pPr>
      <w:r w:rsidRPr="00BA5AA8">
        <w:rPr>
          <w:lang w:val="en"/>
        </w:rPr>
        <w:t xml:space="preserve">New estate management structures were introduced with 375 pre-tenancy meetings held, 69 tenancy warnings issued for anti-social </w:t>
      </w:r>
      <w:proofErr w:type="spellStart"/>
      <w:r w:rsidRPr="00BA5AA8">
        <w:rPr>
          <w:lang w:val="en"/>
        </w:rPr>
        <w:t>behaviour</w:t>
      </w:r>
      <w:proofErr w:type="spellEnd"/>
      <w:r w:rsidRPr="00BA5AA8">
        <w:rPr>
          <w:lang w:val="en"/>
        </w:rPr>
        <w:t>, 22 abandonment notices served, and 12 tenancies terminated.</w:t>
      </w:r>
    </w:p>
    <w:p w14:paraId="4802B6AE" w14:textId="77777777" w:rsidR="0033566A" w:rsidRPr="0033566A" w:rsidRDefault="0033566A" w:rsidP="00B60676">
      <w:pPr>
        <w:jc w:val="both"/>
        <w:rPr>
          <w:b/>
          <w:bCs/>
          <w:lang w:val="en"/>
        </w:rPr>
      </w:pPr>
    </w:p>
    <w:p w14:paraId="2B2717F0" w14:textId="77777777" w:rsidR="0033566A" w:rsidRPr="00B60676" w:rsidRDefault="0033566A" w:rsidP="00B60676">
      <w:pPr>
        <w:jc w:val="both"/>
        <w:rPr>
          <w:b/>
          <w:bCs/>
          <w:lang w:val="en-GB"/>
        </w:rPr>
      </w:pPr>
      <w:r w:rsidRPr="00B60676">
        <w:rPr>
          <w:b/>
          <w:bCs/>
          <w:lang w:val="en"/>
        </w:rPr>
        <w:t xml:space="preserve">Lead inclusion, equality and interagency initiatives for integrated and socially connected communities </w:t>
      </w:r>
      <w:r w:rsidRPr="00B60676">
        <w:rPr>
          <w:b/>
          <w:bCs/>
          <w:lang w:val="en-GB"/>
        </w:rPr>
        <w:t> </w:t>
      </w:r>
    </w:p>
    <w:p w14:paraId="15CE2D27" w14:textId="77777777" w:rsidR="0033566A" w:rsidRPr="00BA5AA8" w:rsidRDefault="0033566A" w:rsidP="00BA5AA8">
      <w:pPr>
        <w:jc w:val="both"/>
        <w:rPr>
          <w:lang w:val="en-US"/>
        </w:rPr>
      </w:pPr>
      <w:r w:rsidRPr="00BA5AA8">
        <w:rPr>
          <w:lang w:val="en"/>
        </w:rPr>
        <w:lastRenderedPageBreak/>
        <w:t xml:space="preserve">The implementation of the Social Inclusion Community Activation </w:t>
      </w:r>
      <w:proofErr w:type="spellStart"/>
      <w:r w:rsidRPr="00BA5AA8">
        <w:rPr>
          <w:lang w:val="en"/>
        </w:rPr>
        <w:t>Programme</w:t>
      </w:r>
      <w:proofErr w:type="spellEnd"/>
      <w:r w:rsidRPr="00BA5AA8">
        <w:rPr>
          <w:lang w:val="en"/>
        </w:rPr>
        <w:t xml:space="preserve"> (SICAP) continued under the guidance of the Local Community Development Committee (LCDC). </w:t>
      </w:r>
      <w:r w:rsidRPr="00BA5AA8">
        <w:rPr>
          <w:lang w:val="en-US"/>
        </w:rPr>
        <w:t>South Dublin County Partnership were awarded the contract to deliver SICAP on behalf of the local authority.</w:t>
      </w:r>
    </w:p>
    <w:p w14:paraId="21A6F847" w14:textId="77777777" w:rsidR="0033566A" w:rsidRPr="00BA5AA8" w:rsidRDefault="0033566A" w:rsidP="00BA5AA8">
      <w:pPr>
        <w:jc w:val="both"/>
        <w:rPr>
          <w:lang w:val="en-GB"/>
        </w:rPr>
      </w:pPr>
      <w:r w:rsidRPr="0033566A">
        <w:t>The Community Response Forum was renamed the Community Integration Forum and held 11 meetings for the year with a new focus on interagency services and supports for Beneficiaries of Temporary Protection (BOTPs) and International Protection Applicants (IPAs).</w:t>
      </w:r>
    </w:p>
    <w:p w14:paraId="1D8F7DBB" w14:textId="77777777" w:rsidR="0033566A" w:rsidRPr="00BA5AA8" w:rsidRDefault="0033566A" w:rsidP="00BA5AA8">
      <w:pPr>
        <w:jc w:val="both"/>
        <w:rPr>
          <w:lang w:val="en-GB"/>
        </w:rPr>
      </w:pPr>
      <w:r w:rsidRPr="00BA5AA8">
        <w:rPr>
          <w:lang w:val="en-GB"/>
        </w:rPr>
        <w:t>A new Integration Team was established in May to support IPAs and BOTPs to integrate with local communities. The team have held over 50 clinics in accommodation centres and built a network of relationships with other agencies and hosted a series of events including Refugee Week in June.</w:t>
      </w:r>
    </w:p>
    <w:p w14:paraId="24D742C8" w14:textId="77777777" w:rsidR="0033566A" w:rsidRPr="00BA5AA8" w:rsidRDefault="0033566A" w:rsidP="00BA5AA8">
      <w:pPr>
        <w:jc w:val="both"/>
        <w:rPr>
          <w:lang w:val="en-US"/>
        </w:rPr>
      </w:pPr>
      <w:r w:rsidRPr="00BA5AA8">
        <w:rPr>
          <w:lang w:val="en-US"/>
        </w:rPr>
        <w:t xml:space="preserve">The 19 projects awarded funding under Community Recognition Fund 2023 progressed with 13 completed and the remaining six to be finished in early 2025. An additional €2,249,663 in funding was awarded under the Community Recognition Fund 2024. There were two calls for applications in 2024 with five projects being approved in the first call and seven projects awaiting departmental approval from the second call. </w:t>
      </w:r>
    </w:p>
    <w:p w14:paraId="7129AFF2" w14:textId="77777777" w:rsidR="0033566A" w:rsidRPr="0033566A" w:rsidRDefault="0033566A" w:rsidP="00BA5AA8">
      <w:pPr>
        <w:jc w:val="both"/>
      </w:pPr>
      <w:r w:rsidRPr="00BA5AA8">
        <w:rPr>
          <w:lang w:val="en-GB"/>
        </w:rPr>
        <w:t xml:space="preserve">The South Dublin Older Peoples Council’s key objective was to increase their visibility and awareness through the delivery of the inaugural Age Friendly Expo in South Dublin held in May. Several countywide projects including a digital literacy course, Active Aging and Care and Repair programmes progressed in conjunction with the Age Friendly Alliance and Age Friendly Ireland. </w:t>
      </w:r>
      <w:r w:rsidRPr="0033566A">
        <w:t xml:space="preserve">A 'Dementia Inclusive Community' was established in Rosemount District Centre, </w:t>
      </w:r>
      <w:proofErr w:type="spellStart"/>
      <w:r w:rsidRPr="0033566A">
        <w:t>Ballyroan</w:t>
      </w:r>
      <w:proofErr w:type="spellEnd"/>
      <w:r w:rsidRPr="0033566A">
        <w:t xml:space="preserve"> including the launch in October of a dementia café which runs monthly on the second Tuesday of the month in </w:t>
      </w:r>
      <w:proofErr w:type="spellStart"/>
      <w:r w:rsidRPr="0033566A">
        <w:t>Ballyroan</w:t>
      </w:r>
      <w:proofErr w:type="spellEnd"/>
      <w:r w:rsidRPr="0033566A">
        <w:t xml:space="preserve"> Community and Youth Centre.</w:t>
      </w:r>
    </w:p>
    <w:p w14:paraId="674FC714" w14:textId="77777777" w:rsidR="0033566A" w:rsidRPr="00BA5AA8" w:rsidRDefault="0033566A" w:rsidP="00BA5AA8">
      <w:pPr>
        <w:jc w:val="both"/>
        <w:rPr>
          <w:lang w:val="en"/>
        </w:rPr>
      </w:pPr>
      <w:r w:rsidRPr="00BA5AA8">
        <w:rPr>
          <w:lang w:val="en-GB"/>
        </w:rPr>
        <w:t>A new Traveller Accommodation Programme 2025 – 2029 was approved in October.</w:t>
      </w:r>
    </w:p>
    <w:p w14:paraId="7A954751" w14:textId="77777777" w:rsidR="0033566A" w:rsidRPr="00BA5AA8" w:rsidRDefault="0033566A" w:rsidP="00BA5AA8">
      <w:pPr>
        <w:jc w:val="both"/>
        <w:rPr>
          <w:lang w:val="en"/>
        </w:rPr>
      </w:pPr>
      <w:r w:rsidRPr="00BA5AA8">
        <w:rPr>
          <w:lang w:val="en-GB"/>
        </w:rPr>
        <w:t>The Local Traveller Accommodation Consultative Committee (LTACC) monitored the</w:t>
      </w:r>
      <w:r w:rsidRPr="00BA5AA8">
        <w:rPr>
          <w:lang w:val="en"/>
        </w:rPr>
        <w:t xml:space="preserve"> delivery of the </w:t>
      </w:r>
      <w:proofErr w:type="spellStart"/>
      <w:r w:rsidRPr="00BA5AA8">
        <w:rPr>
          <w:lang w:val="en"/>
        </w:rPr>
        <w:t>Traveller</w:t>
      </w:r>
      <w:proofErr w:type="spellEnd"/>
      <w:r w:rsidRPr="00BA5AA8">
        <w:rPr>
          <w:lang w:val="en"/>
        </w:rPr>
        <w:t xml:space="preserve"> Accommodation </w:t>
      </w:r>
      <w:proofErr w:type="spellStart"/>
      <w:r w:rsidRPr="00BA5AA8">
        <w:rPr>
          <w:lang w:val="en"/>
        </w:rPr>
        <w:t>Programme</w:t>
      </w:r>
      <w:proofErr w:type="spellEnd"/>
      <w:r w:rsidRPr="00BA5AA8">
        <w:rPr>
          <w:lang w:val="en"/>
        </w:rPr>
        <w:t xml:space="preserve">, the Equality Action Plan, the caravan loan scheme, estate/waste management, fire safety, a STEAM project for young people and a new playground facility in </w:t>
      </w:r>
      <w:proofErr w:type="spellStart"/>
      <w:r w:rsidRPr="00BA5AA8">
        <w:rPr>
          <w:lang w:val="en"/>
        </w:rPr>
        <w:t>Owendoher</w:t>
      </w:r>
      <w:proofErr w:type="spellEnd"/>
      <w:r w:rsidRPr="00BA5AA8">
        <w:rPr>
          <w:lang w:val="en"/>
        </w:rPr>
        <w:t xml:space="preserve"> Haven.</w:t>
      </w:r>
    </w:p>
    <w:p w14:paraId="4BDDF4B2" w14:textId="77777777" w:rsidR="0033566A" w:rsidRPr="00BA5AA8" w:rsidRDefault="0033566A" w:rsidP="00BA5AA8">
      <w:pPr>
        <w:jc w:val="both"/>
        <w:rPr>
          <w:lang w:val="en"/>
        </w:rPr>
      </w:pPr>
      <w:r w:rsidRPr="00BA5AA8">
        <w:rPr>
          <w:lang w:val="en-US"/>
        </w:rPr>
        <w:t xml:space="preserve">The Public Services Fun Day took place in July in conjunction with The Square and </w:t>
      </w:r>
      <w:proofErr w:type="gramStart"/>
      <w:r w:rsidRPr="00BA5AA8">
        <w:rPr>
          <w:lang w:val="en-US"/>
        </w:rPr>
        <w:t>An</w:t>
      </w:r>
      <w:proofErr w:type="gramEnd"/>
      <w:r w:rsidRPr="00BA5AA8">
        <w:rPr>
          <w:lang w:val="en-US"/>
        </w:rPr>
        <w:t xml:space="preserve"> Garda Síochána to celebrate and highlight the work of essential services providers at a free family event.</w:t>
      </w:r>
    </w:p>
    <w:p w14:paraId="1D013DB0" w14:textId="77777777" w:rsidR="0033566A" w:rsidRPr="00BA5AA8" w:rsidRDefault="0033566A" w:rsidP="00BA5AA8">
      <w:pPr>
        <w:jc w:val="both"/>
        <w:rPr>
          <w:lang w:val="en"/>
        </w:rPr>
      </w:pPr>
      <w:r w:rsidRPr="00BA5AA8">
        <w:rPr>
          <w:lang w:val="en-US"/>
        </w:rPr>
        <w:t xml:space="preserve">The Community </w:t>
      </w:r>
      <w:r w:rsidRPr="0033566A">
        <w:t>Endeavour Awards recognising and rewarding community effort and achievement was hosted by the Mayor in the Plaza Hotel, Tallaght in October.</w:t>
      </w:r>
    </w:p>
    <w:p w14:paraId="53A8476D" w14:textId="77777777" w:rsidR="0033566A" w:rsidRPr="00BA5AA8" w:rsidRDefault="0033566A" w:rsidP="00BA5AA8">
      <w:pPr>
        <w:jc w:val="both"/>
        <w:rPr>
          <w:lang w:val="en-GB"/>
        </w:rPr>
      </w:pPr>
      <w:r w:rsidRPr="00BA5AA8">
        <w:rPr>
          <w:lang w:val="en-GB"/>
        </w:rPr>
        <w:t>Our Education Bursary Awards in conjunction with the Technological University of Dublin saw 16 students from local schools each awarded €2,500 towards their third-level education expenses.</w:t>
      </w:r>
    </w:p>
    <w:p w14:paraId="79C90D2A" w14:textId="77777777" w:rsidR="0033566A" w:rsidRPr="00BA5AA8" w:rsidRDefault="0033566A" w:rsidP="00BA5AA8">
      <w:pPr>
        <w:jc w:val="both"/>
        <w:rPr>
          <w:lang w:val="en-GB"/>
        </w:rPr>
      </w:pPr>
      <w:r w:rsidRPr="00BA5AA8">
        <w:rPr>
          <w:lang w:val="en"/>
        </w:rPr>
        <w:lastRenderedPageBreak/>
        <w:t xml:space="preserve">Comhairle </w:t>
      </w:r>
      <w:proofErr w:type="spellStart"/>
      <w:r w:rsidRPr="00BA5AA8">
        <w:rPr>
          <w:lang w:val="en-GB"/>
        </w:rPr>
        <w:t>na</w:t>
      </w:r>
      <w:proofErr w:type="spellEnd"/>
      <w:r w:rsidRPr="00BA5AA8">
        <w:rPr>
          <w:lang w:val="en-GB"/>
        </w:rPr>
        <w:t xml:space="preserve"> </w:t>
      </w:r>
      <w:proofErr w:type="spellStart"/>
      <w:r w:rsidRPr="00BA5AA8">
        <w:rPr>
          <w:lang w:val="en-GB"/>
        </w:rPr>
        <w:t>nÓg</w:t>
      </w:r>
      <w:proofErr w:type="spellEnd"/>
      <w:r w:rsidRPr="00BA5AA8">
        <w:rPr>
          <w:lang w:val="en-GB"/>
        </w:rPr>
        <w:t xml:space="preserve"> completed their mental health awareness campaign and directory of services available to teens experiencing mental health. T</w:t>
      </w:r>
      <w:r w:rsidRPr="00BA5AA8">
        <w:rPr>
          <w:lang w:val="en"/>
        </w:rPr>
        <w:t>he Comhairle concluded its business with the Annual Youth Conference which</w:t>
      </w:r>
      <w:r w:rsidRPr="00BA5AA8">
        <w:rPr>
          <w:lang w:val="en-GB"/>
        </w:rPr>
        <w:t xml:space="preserve"> took place in The Plaza Hotel in October and was attended by 80 young people from schools and youth services.</w:t>
      </w:r>
    </w:p>
    <w:p w14:paraId="310B0C07" w14:textId="77777777" w:rsidR="0033566A" w:rsidRPr="00BA5AA8" w:rsidRDefault="0033566A" w:rsidP="00BA5AA8">
      <w:pPr>
        <w:jc w:val="both"/>
        <w:rPr>
          <w:lang w:val="en-GB"/>
        </w:rPr>
      </w:pPr>
      <w:r w:rsidRPr="00BA5AA8">
        <w:rPr>
          <w:lang w:val="en"/>
        </w:rPr>
        <w:t xml:space="preserve">Joint Policing Committee (JPC) and Local Policing Fora meetings were held throughout the year with two </w:t>
      </w:r>
      <w:r w:rsidRPr="00BA5AA8">
        <w:rPr>
          <w:lang w:val="en-GB"/>
        </w:rPr>
        <w:t>JPC Meetings and two JPC Steering Group Committee meetings, three JPC Drugs subcommittee meetings, eight West Tallaght Community Safety Forum meetings, one Clondalkin Local Policing Forum Public meeting, the establishment of the Newcastle Rathcoole, Clondalkin Community Safety Forum, 12 North Clondalkin Community Safety meetings and eight Dublin 12 Local Policing Forum meetings.</w:t>
      </w:r>
    </w:p>
    <w:p w14:paraId="0FD9477B" w14:textId="77777777" w:rsidR="0033566A" w:rsidRPr="00BA5AA8" w:rsidRDefault="0033566A" w:rsidP="00BA5AA8">
      <w:pPr>
        <w:jc w:val="both"/>
        <w:rPr>
          <w:lang w:val="en-GB"/>
        </w:rPr>
      </w:pPr>
      <w:r w:rsidRPr="00BA5AA8">
        <w:rPr>
          <w:lang w:val="en-GB"/>
        </w:rPr>
        <w:t xml:space="preserve">12 Transport Forum meetings took place with councillors and staff present along with representatives from </w:t>
      </w:r>
      <w:proofErr w:type="gramStart"/>
      <w:r w:rsidRPr="00BA5AA8">
        <w:rPr>
          <w:lang w:val="en-GB"/>
        </w:rPr>
        <w:t>An</w:t>
      </w:r>
      <w:proofErr w:type="gramEnd"/>
      <w:r w:rsidRPr="00BA5AA8">
        <w:rPr>
          <w:lang w:val="en-GB"/>
        </w:rPr>
        <w:t xml:space="preserve"> Garda Síochána, Dublin Bus, Go Ahead, Luas and other agencies.</w:t>
      </w:r>
    </w:p>
    <w:p w14:paraId="1D97F27B" w14:textId="77777777" w:rsidR="0033566A" w:rsidRPr="00BA5AA8" w:rsidRDefault="0033566A" w:rsidP="00BA5AA8">
      <w:pPr>
        <w:jc w:val="both"/>
        <w:rPr>
          <w:lang w:val="en-GB"/>
        </w:rPr>
      </w:pPr>
      <w:r w:rsidRPr="00BA5AA8">
        <w:rPr>
          <w:lang w:val="en-GB"/>
        </w:rPr>
        <w:t>Domestic Violence and Abuse Awareness training was delivered by Saoirse Domestic Violence Services to 52 frontline staff members and 10 elected members.</w:t>
      </w:r>
    </w:p>
    <w:p w14:paraId="693E2662" w14:textId="77777777" w:rsidR="0033566A" w:rsidRPr="00BA5AA8" w:rsidRDefault="0033566A" w:rsidP="00BA5AA8">
      <w:pPr>
        <w:jc w:val="both"/>
        <w:rPr>
          <w:lang w:val="en-GB"/>
        </w:rPr>
      </w:pPr>
      <w:r w:rsidRPr="00BA5AA8">
        <w:rPr>
          <w:lang w:val="en-GB"/>
        </w:rPr>
        <w:t xml:space="preserve">The Community Department collaborated with ‘A Playful City’ to deliver a new play street initiative in July and October with residents in Citywest Village, Cremorne, Knocklyon, Anne Devlin Avenue, </w:t>
      </w:r>
      <w:proofErr w:type="spellStart"/>
      <w:r w:rsidRPr="00BA5AA8">
        <w:rPr>
          <w:lang w:val="en-GB"/>
        </w:rPr>
        <w:t>Ballyroan</w:t>
      </w:r>
      <w:proofErr w:type="spellEnd"/>
      <w:r w:rsidRPr="00BA5AA8">
        <w:rPr>
          <w:lang w:val="en-GB"/>
        </w:rPr>
        <w:t xml:space="preserve"> and </w:t>
      </w:r>
      <w:proofErr w:type="spellStart"/>
      <w:r w:rsidRPr="00BA5AA8">
        <w:rPr>
          <w:lang w:val="en-GB"/>
        </w:rPr>
        <w:t>Cushlawn</w:t>
      </w:r>
      <w:proofErr w:type="spellEnd"/>
      <w:r w:rsidRPr="00BA5AA8">
        <w:rPr>
          <w:lang w:val="en-GB"/>
        </w:rPr>
        <w:t xml:space="preserve"> Dale, Tallaght.</w:t>
      </w:r>
    </w:p>
    <w:p w14:paraId="1053654E" w14:textId="77777777" w:rsidR="0033566A" w:rsidRPr="0033566A" w:rsidRDefault="0033566A" w:rsidP="00B60676">
      <w:pPr>
        <w:jc w:val="both"/>
        <w:rPr>
          <w:lang w:val="en-GB"/>
        </w:rPr>
      </w:pPr>
    </w:p>
    <w:p w14:paraId="6A6223CC" w14:textId="77777777" w:rsidR="0033566A" w:rsidRPr="00B60676" w:rsidRDefault="0033566A" w:rsidP="00B60676">
      <w:pPr>
        <w:jc w:val="both"/>
        <w:rPr>
          <w:b/>
          <w:bCs/>
          <w:lang w:val="en-GB"/>
        </w:rPr>
      </w:pPr>
      <w:r w:rsidRPr="00B60676">
        <w:rPr>
          <w:b/>
          <w:bCs/>
          <w:lang w:val="en-GB"/>
        </w:rPr>
        <w:t>Lead a healthy, active and participative county  </w:t>
      </w:r>
    </w:p>
    <w:p w14:paraId="5204275E" w14:textId="77777777" w:rsidR="0033566A" w:rsidRPr="00BA5AA8" w:rsidRDefault="0033566A" w:rsidP="00BA5AA8">
      <w:pPr>
        <w:jc w:val="both"/>
        <w:rPr>
          <w:lang w:val="en-US"/>
        </w:rPr>
      </w:pPr>
      <w:r w:rsidRPr="00BA5AA8">
        <w:rPr>
          <w:lang w:val="en-US"/>
        </w:rPr>
        <w:t>The Local Community Development Committee met seven times and the Local Economic and Community Plan was adopted in December. This integrated plan involving multiple internal and external stakeholders will guide economic and community development over the next six years.</w:t>
      </w:r>
    </w:p>
    <w:p w14:paraId="04672E53" w14:textId="77777777" w:rsidR="0033566A" w:rsidRPr="00BA5AA8" w:rsidRDefault="0033566A" w:rsidP="00BA5AA8">
      <w:pPr>
        <w:jc w:val="both"/>
        <w:rPr>
          <w:lang w:val="en-US"/>
        </w:rPr>
      </w:pPr>
      <w:r w:rsidRPr="00BA5AA8">
        <w:rPr>
          <w:lang w:val="en-US"/>
        </w:rPr>
        <w:t xml:space="preserve">31 community </w:t>
      </w:r>
      <w:proofErr w:type="spellStart"/>
      <w:r w:rsidRPr="00BA5AA8">
        <w:rPr>
          <w:lang w:val="en-US"/>
        </w:rPr>
        <w:t>centre</w:t>
      </w:r>
      <w:proofErr w:type="spellEnd"/>
      <w:r w:rsidRPr="00BA5AA8">
        <w:rPr>
          <w:lang w:val="en-US"/>
        </w:rPr>
        <w:t xml:space="preserve"> management support fund grants were approved totaling €729,245 along with 17 community infrastructure fund grants (€401,750), </w:t>
      </w:r>
      <w:r w:rsidRPr="00BA5AA8">
        <w:rPr>
          <w:lang w:val="en"/>
        </w:rPr>
        <w:t>177 community development grants (€263,990), summer project grants (€77,753) and 100 sports grants (€185,052).</w:t>
      </w:r>
    </w:p>
    <w:p w14:paraId="0568CC38" w14:textId="77777777" w:rsidR="0033566A" w:rsidRPr="00BA5AA8" w:rsidRDefault="0033566A" w:rsidP="00BA5AA8">
      <w:pPr>
        <w:jc w:val="both"/>
        <w:rPr>
          <w:lang w:val="en-US"/>
        </w:rPr>
      </w:pPr>
      <w:r w:rsidRPr="00BA5AA8">
        <w:rPr>
          <w:lang w:val="en-US"/>
        </w:rPr>
        <w:t xml:space="preserve">24 community </w:t>
      </w:r>
      <w:proofErr w:type="spellStart"/>
      <w:r w:rsidRPr="00BA5AA8">
        <w:rPr>
          <w:lang w:val="en-US"/>
        </w:rPr>
        <w:t>centres</w:t>
      </w:r>
      <w:proofErr w:type="spellEnd"/>
      <w:r w:rsidRPr="00BA5AA8">
        <w:rPr>
          <w:lang w:val="en-US"/>
        </w:rPr>
        <w:t xml:space="preserve"> are now using the online booking system which was used by the public to book 89,868 hours in our facilities for 114,931 participants generating €758,975 in revenue.</w:t>
      </w:r>
    </w:p>
    <w:p w14:paraId="206F3E50" w14:textId="77777777" w:rsidR="0033566A" w:rsidRPr="00BA5AA8" w:rsidRDefault="0033566A" w:rsidP="00BA5AA8">
      <w:pPr>
        <w:jc w:val="both"/>
        <w:rPr>
          <w:lang w:val="en-GB"/>
        </w:rPr>
      </w:pPr>
      <w:r w:rsidRPr="00BA5AA8">
        <w:rPr>
          <w:lang w:val="en"/>
        </w:rPr>
        <w:t xml:space="preserve">Work was completed to deliver new community facilities at </w:t>
      </w:r>
      <w:proofErr w:type="spellStart"/>
      <w:r w:rsidRPr="00BA5AA8">
        <w:rPr>
          <w:lang w:val="en"/>
        </w:rPr>
        <w:t>Saggart</w:t>
      </w:r>
      <w:proofErr w:type="spellEnd"/>
      <w:r w:rsidRPr="00BA5AA8">
        <w:rPr>
          <w:lang w:val="en"/>
        </w:rPr>
        <w:t xml:space="preserve"> School House, </w:t>
      </w:r>
      <w:proofErr w:type="spellStart"/>
      <w:r w:rsidRPr="00BA5AA8">
        <w:rPr>
          <w:lang w:val="en"/>
        </w:rPr>
        <w:t>Glenasmole</w:t>
      </w:r>
      <w:proofErr w:type="spellEnd"/>
      <w:r w:rsidRPr="00BA5AA8">
        <w:rPr>
          <w:lang w:val="en"/>
        </w:rPr>
        <w:t xml:space="preserve">, Orchard Lodge Age Friendly Centre and </w:t>
      </w:r>
      <w:proofErr w:type="spellStart"/>
      <w:r w:rsidRPr="00BA5AA8">
        <w:rPr>
          <w:lang w:val="en"/>
        </w:rPr>
        <w:t>Balgaddy</w:t>
      </w:r>
      <w:proofErr w:type="spellEnd"/>
      <w:r w:rsidRPr="00BA5AA8">
        <w:rPr>
          <w:lang w:val="en"/>
        </w:rPr>
        <w:t xml:space="preserve"> along with upgrade works on Rathcoole Courthouse.</w:t>
      </w:r>
    </w:p>
    <w:p w14:paraId="66B63EDA" w14:textId="77777777" w:rsidR="0033566A" w:rsidRPr="00BA5AA8" w:rsidRDefault="0033566A" w:rsidP="00BA5AA8">
      <w:pPr>
        <w:jc w:val="both"/>
        <w:rPr>
          <w:lang w:val="en-GB"/>
        </w:rPr>
      </w:pPr>
      <w:r w:rsidRPr="00BA5AA8">
        <w:rPr>
          <w:lang w:val="en"/>
        </w:rPr>
        <w:t xml:space="preserve">Plans progressed for the Citywest and </w:t>
      </w:r>
      <w:proofErr w:type="spellStart"/>
      <w:r w:rsidRPr="00BA5AA8">
        <w:rPr>
          <w:lang w:val="en"/>
        </w:rPr>
        <w:t>Kilcarbery</w:t>
      </w:r>
      <w:proofErr w:type="spellEnd"/>
      <w:r w:rsidRPr="00BA5AA8">
        <w:rPr>
          <w:lang w:val="en"/>
        </w:rPr>
        <w:t xml:space="preserve"> community facilities, and local engagement and design work continued for upgrades to existing community facilities at Newcastle, </w:t>
      </w:r>
      <w:proofErr w:type="spellStart"/>
      <w:r w:rsidRPr="00BA5AA8">
        <w:rPr>
          <w:lang w:val="en"/>
        </w:rPr>
        <w:t>Ballyroan</w:t>
      </w:r>
      <w:proofErr w:type="spellEnd"/>
      <w:r w:rsidRPr="00BA5AA8">
        <w:rPr>
          <w:lang w:val="en"/>
        </w:rPr>
        <w:t xml:space="preserve"> and The Park Centre.</w:t>
      </w:r>
    </w:p>
    <w:p w14:paraId="78962F72" w14:textId="77777777" w:rsidR="0033566A" w:rsidRPr="00BA5AA8" w:rsidRDefault="0033566A" w:rsidP="00BA5AA8">
      <w:pPr>
        <w:jc w:val="both"/>
        <w:rPr>
          <w:lang w:val="en-GB"/>
        </w:rPr>
      </w:pPr>
      <w:r w:rsidRPr="00BA5AA8">
        <w:rPr>
          <w:lang w:val="en"/>
        </w:rPr>
        <w:t>Works commenced on the all-weather pitch at Belgard Community Centre and design work also began on the proposed Whitechurch Sports Facility.</w:t>
      </w:r>
    </w:p>
    <w:p w14:paraId="34A72B17" w14:textId="77777777" w:rsidR="0033566A" w:rsidRPr="00BA5AA8" w:rsidRDefault="0033566A" w:rsidP="00BA5AA8">
      <w:pPr>
        <w:jc w:val="both"/>
        <w:rPr>
          <w:lang w:val="en"/>
        </w:rPr>
      </w:pPr>
      <w:r w:rsidRPr="00BA5AA8">
        <w:rPr>
          <w:lang w:val="en"/>
        </w:rPr>
        <w:lastRenderedPageBreak/>
        <w:t>Implementation of our Active South Dublin Plan continued with</w:t>
      </w:r>
      <w:r w:rsidRPr="00BA5AA8">
        <w:rPr>
          <w:lang w:val="en-GB"/>
        </w:rPr>
        <w:t xml:space="preserve"> </w:t>
      </w:r>
      <w:r w:rsidRPr="00BA5AA8">
        <w:rPr>
          <w:lang w:val="en"/>
        </w:rPr>
        <w:t xml:space="preserve">delivery of school </w:t>
      </w:r>
      <w:proofErr w:type="spellStart"/>
      <w:r w:rsidRPr="00BA5AA8">
        <w:rPr>
          <w:lang w:val="en"/>
        </w:rPr>
        <w:t>programmes</w:t>
      </w:r>
      <w:proofErr w:type="spellEnd"/>
      <w:r w:rsidRPr="00BA5AA8">
        <w:rPr>
          <w:lang w:val="en"/>
        </w:rPr>
        <w:t xml:space="preserve"> including indoor rowing, athletics, swimming and the ‘Try One Challenge’ in community </w:t>
      </w:r>
      <w:proofErr w:type="spellStart"/>
      <w:r w:rsidRPr="00BA5AA8">
        <w:rPr>
          <w:lang w:val="en"/>
        </w:rPr>
        <w:t>centres</w:t>
      </w:r>
      <w:proofErr w:type="spellEnd"/>
      <w:r w:rsidRPr="00BA5AA8">
        <w:rPr>
          <w:lang w:val="en"/>
        </w:rPr>
        <w:t xml:space="preserve"> and settings</w:t>
      </w:r>
      <w:r w:rsidRPr="00BA5AA8">
        <w:rPr>
          <w:lang w:val="en-GB"/>
        </w:rPr>
        <w:t xml:space="preserve">, along with ongoing support for the Active South Dublin </w:t>
      </w:r>
      <w:r w:rsidRPr="00BA5AA8">
        <w:rPr>
          <w:lang w:val="en"/>
        </w:rPr>
        <w:t xml:space="preserve">amateur sports awards. Additional highlights included the expanded Active Parks </w:t>
      </w:r>
      <w:proofErr w:type="spellStart"/>
      <w:r w:rsidRPr="00BA5AA8">
        <w:rPr>
          <w:lang w:val="en"/>
        </w:rPr>
        <w:t>programme</w:t>
      </w:r>
      <w:proofErr w:type="spellEnd"/>
      <w:r w:rsidRPr="00BA5AA8">
        <w:rPr>
          <w:lang w:val="en"/>
        </w:rPr>
        <w:t xml:space="preserve"> in July and August, the </w:t>
      </w:r>
      <w:proofErr w:type="spellStart"/>
      <w:r w:rsidRPr="00BA5AA8">
        <w:rPr>
          <w:lang w:val="en"/>
        </w:rPr>
        <w:t>Colour</w:t>
      </w:r>
      <w:proofErr w:type="spellEnd"/>
      <w:r w:rsidRPr="00BA5AA8">
        <w:rPr>
          <w:lang w:val="en"/>
        </w:rPr>
        <w:t xml:space="preserve"> Dash in </w:t>
      </w:r>
      <w:proofErr w:type="spellStart"/>
      <w:r w:rsidRPr="00BA5AA8">
        <w:rPr>
          <w:lang w:val="en"/>
        </w:rPr>
        <w:t>Corkagh</w:t>
      </w:r>
      <w:proofErr w:type="spellEnd"/>
      <w:r w:rsidRPr="00BA5AA8">
        <w:rPr>
          <w:lang w:val="en"/>
        </w:rPr>
        <w:t xml:space="preserve"> Park with 1,500 participants in September and a new nine-hole disc golf facility in </w:t>
      </w:r>
      <w:proofErr w:type="spellStart"/>
      <w:r w:rsidRPr="00BA5AA8">
        <w:rPr>
          <w:lang w:val="en"/>
        </w:rPr>
        <w:t>Corkagh</w:t>
      </w:r>
      <w:proofErr w:type="spellEnd"/>
      <w:r w:rsidRPr="00BA5AA8">
        <w:rPr>
          <w:lang w:val="en"/>
        </w:rPr>
        <w:t xml:space="preserve"> Park, the first public course of its kind in Ireland.</w:t>
      </w:r>
    </w:p>
    <w:p w14:paraId="0C2CE2CE" w14:textId="77777777" w:rsidR="0033566A" w:rsidRPr="00BA5AA8" w:rsidRDefault="0033566A" w:rsidP="00BA5AA8">
      <w:pPr>
        <w:jc w:val="both"/>
        <w:rPr>
          <w:lang w:val="en"/>
        </w:rPr>
      </w:pPr>
      <w:r w:rsidRPr="00BA5AA8">
        <w:rPr>
          <w:lang w:val="en"/>
        </w:rPr>
        <w:t xml:space="preserve">Our Healthy Ireland and </w:t>
      </w:r>
      <w:proofErr w:type="spellStart"/>
      <w:r w:rsidRPr="00BA5AA8">
        <w:rPr>
          <w:lang w:val="en"/>
        </w:rPr>
        <w:t>Sláintecare</w:t>
      </w:r>
      <w:proofErr w:type="spellEnd"/>
      <w:r w:rsidRPr="00BA5AA8">
        <w:rPr>
          <w:lang w:val="en"/>
        </w:rPr>
        <w:t xml:space="preserve"> </w:t>
      </w:r>
      <w:proofErr w:type="spellStart"/>
      <w:r w:rsidRPr="00BA5AA8">
        <w:rPr>
          <w:lang w:val="en"/>
        </w:rPr>
        <w:t>programmes</w:t>
      </w:r>
      <w:proofErr w:type="spellEnd"/>
      <w:r w:rsidRPr="00BA5AA8">
        <w:rPr>
          <w:lang w:val="en"/>
        </w:rPr>
        <w:t xml:space="preserve"> continued with a range of initiatives to address energy poverty, community safety including the Community Safety Innovation Fund - Generation Connections Project in Mac Uilliam</w:t>
      </w:r>
      <w:r w:rsidRPr="00BA5AA8">
        <w:rPr>
          <w:lang w:val="en-GB"/>
        </w:rPr>
        <w:t xml:space="preserve">, </w:t>
      </w:r>
      <w:r w:rsidRPr="00BA5AA8">
        <w:rPr>
          <w:lang w:val="en"/>
        </w:rPr>
        <w:t xml:space="preserve">health inequalities, gambling related harm awareness and period poverty. We also supported </w:t>
      </w:r>
      <w:r w:rsidRPr="00BA5AA8">
        <w:rPr>
          <w:lang w:val="en-GB"/>
        </w:rPr>
        <w:t>the ‘</w:t>
      </w:r>
      <w:r w:rsidRPr="00BA5AA8">
        <w:rPr>
          <w:lang w:val="en"/>
        </w:rPr>
        <w:t xml:space="preserve">Grow it Yourself Schools </w:t>
      </w:r>
      <w:proofErr w:type="spellStart"/>
      <w:proofErr w:type="gramStart"/>
      <w:r w:rsidRPr="00BA5AA8">
        <w:rPr>
          <w:lang w:val="en"/>
        </w:rPr>
        <w:t>Programme</w:t>
      </w:r>
      <w:proofErr w:type="spellEnd"/>
      <w:r w:rsidRPr="00BA5AA8">
        <w:rPr>
          <w:lang w:val="en"/>
        </w:rPr>
        <w:t>,’</w:t>
      </w:r>
      <w:proofErr w:type="gramEnd"/>
      <w:r w:rsidRPr="00BA5AA8">
        <w:rPr>
          <w:lang w:val="en-GB"/>
        </w:rPr>
        <w:t xml:space="preserve"> a </w:t>
      </w:r>
      <w:r w:rsidRPr="00BA5AA8">
        <w:rPr>
          <w:lang w:val="en"/>
        </w:rPr>
        <w:t xml:space="preserve">health and wellbeing </w:t>
      </w:r>
      <w:proofErr w:type="spellStart"/>
      <w:r w:rsidRPr="00BA5AA8">
        <w:rPr>
          <w:lang w:val="en"/>
        </w:rPr>
        <w:t>programme</w:t>
      </w:r>
      <w:proofErr w:type="spellEnd"/>
      <w:r w:rsidRPr="00BA5AA8">
        <w:rPr>
          <w:lang w:val="en"/>
        </w:rPr>
        <w:t xml:space="preserve"> held across the community </w:t>
      </w:r>
      <w:proofErr w:type="spellStart"/>
      <w:r w:rsidRPr="00BA5AA8">
        <w:rPr>
          <w:lang w:val="en"/>
        </w:rPr>
        <w:t>centre</w:t>
      </w:r>
      <w:proofErr w:type="spellEnd"/>
      <w:r w:rsidRPr="00BA5AA8">
        <w:rPr>
          <w:lang w:val="en"/>
        </w:rPr>
        <w:t xml:space="preserve"> network and community-based health screening and assisted with the delivery of a new natural playground in </w:t>
      </w:r>
      <w:proofErr w:type="spellStart"/>
      <w:r w:rsidRPr="00BA5AA8">
        <w:rPr>
          <w:lang w:val="en"/>
        </w:rPr>
        <w:t>Jobstown</w:t>
      </w:r>
      <w:proofErr w:type="spellEnd"/>
      <w:r w:rsidRPr="00BA5AA8">
        <w:rPr>
          <w:lang w:val="en"/>
        </w:rPr>
        <w:t xml:space="preserve"> Park.</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344"/>
        <w:gridCol w:w="1817"/>
      </w:tblGrid>
      <w:tr w:rsidR="0033566A" w:rsidRPr="0033566A" w14:paraId="6C833730" w14:textId="77777777" w:rsidTr="0033566A">
        <w:trPr>
          <w:trHeight w:val="284"/>
          <w:jc w:val="center"/>
        </w:trPr>
        <w:tc>
          <w:tcPr>
            <w:tcW w:w="7344" w:type="dxa"/>
            <w:tcBorders>
              <w:top w:val="single" w:sz="8" w:space="0" w:color="000000"/>
              <w:left w:val="single" w:sz="8" w:space="0" w:color="000000"/>
              <w:bottom w:val="single" w:sz="8" w:space="0" w:color="000000"/>
              <w:right w:val="single" w:sz="8" w:space="0" w:color="000000"/>
            </w:tcBorders>
            <w:hideMark/>
          </w:tcPr>
          <w:p w14:paraId="443CCD61" w14:textId="77777777" w:rsidR="0033566A" w:rsidRPr="00B60676" w:rsidRDefault="0033566A" w:rsidP="00077437">
            <w:pPr>
              <w:spacing w:after="0"/>
              <w:jc w:val="both"/>
              <w:rPr>
                <w:b/>
                <w:bCs/>
                <w:lang w:val="en-US"/>
              </w:rPr>
            </w:pPr>
            <w:r w:rsidRPr="00B60676">
              <w:rPr>
                <w:b/>
                <w:bCs/>
                <w:lang w:val="en-US"/>
              </w:rPr>
              <w:t>Housing, Social and Community Development Key Statistics</w:t>
            </w:r>
          </w:p>
        </w:tc>
        <w:tc>
          <w:tcPr>
            <w:tcW w:w="1817" w:type="dxa"/>
            <w:tcBorders>
              <w:top w:val="single" w:sz="8" w:space="0" w:color="000000"/>
              <w:left w:val="single" w:sz="8" w:space="0" w:color="000000"/>
              <w:bottom w:val="single" w:sz="8" w:space="0" w:color="000000"/>
              <w:right w:val="single" w:sz="8" w:space="0" w:color="000000"/>
            </w:tcBorders>
            <w:hideMark/>
          </w:tcPr>
          <w:p w14:paraId="6B9FCCDD" w14:textId="77777777" w:rsidR="0033566A" w:rsidRPr="00B60676" w:rsidRDefault="0033566A" w:rsidP="00077437">
            <w:pPr>
              <w:spacing w:after="0"/>
              <w:jc w:val="both"/>
              <w:rPr>
                <w:b/>
                <w:bCs/>
                <w:lang w:val="en-US"/>
              </w:rPr>
            </w:pPr>
            <w:r w:rsidRPr="00B60676">
              <w:rPr>
                <w:b/>
                <w:bCs/>
                <w:lang w:val="en-US"/>
              </w:rPr>
              <w:t>2024 Totals</w:t>
            </w:r>
          </w:p>
        </w:tc>
      </w:tr>
      <w:tr w:rsidR="0033566A" w:rsidRPr="0033566A" w14:paraId="68A188E1" w14:textId="77777777" w:rsidTr="0033566A">
        <w:trPr>
          <w:trHeight w:val="284"/>
          <w:jc w:val="center"/>
        </w:trPr>
        <w:tc>
          <w:tcPr>
            <w:tcW w:w="7344" w:type="dxa"/>
            <w:tcBorders>
              <w:top w:val="single" w:sz="8" w:space="0" w:color="000000"/>
              <w:left w:val="single" w:sz="8" w:space="0" w:color="000000"/>
              <w:bottom w:val="single" w:sz="8" w:space="0" w:color="000000"/>
              <w:right w:val="single" w:sz="8" w:space="0" w:color="000000"/>
            </w:tcBorders>
            <w:hideMark/>
          </w:tcPr>
          <w:p w14:paraId="00E924DA" w14:textId="77777777" w:rsidR="0033566A" w:rsidRPr="0033566A" w:rsidRDefault="0033566A" w:rsidP="00077437">
            <w:pPr>
              <w:spacing w:after="0"/>
              <w:jc w:val="both"/>
              <w:rPr>
                <w:lang w:val="en-US"/>
              </w:rPr>
            </w:pPr>
            <w:r w:rsidRPr="0033566A">
              <w:rPr>
                <w:lang w:val="en-US"/>
              </w:rPr>
              <w:t>Household housing needs assessed</w:t>
            </w:r>
          </w:p>
        </w:tc>
        <w:tc>
          <w:tcPr>
            <w:tcW w:w="1817" w:type="dxa"/>
            <w:tcBorders>
              <w:top w:val="single" w:sz="8" w:space="0" w:color="000000"/>
              <w:left w:val="single" w:sz="8" w:space="0" w:color="000000"/>
              <w:bottom w:val="single" w:sz="8" w:space="0" w:color="000000"/>
              <w:right w:val="single" w:sz="8" w:space="0" w:color="000000"/>
            </w:tcBorders>
            <w:hideMark/>
          </w:tcPr>
          <w:p w14:paraId="0B376EC7" w14:textId="77777777" w:rsidR="0033566A" w:rsidRPr="0033566A" w:rsidRDefault="0033566A" w:rsidP="00077437">
            <w:pPr>
              <w:spacing w:after="0"/>
              <w:jc w:val="right"/>
              <w:rPr>
                <w:lang w:val="en-US"/>
              </w:rPr>
            </w:pPr>
            <w:r w:rsidRPr="0033566A">
              <w:rPr>
                <w:lang w:val="en-US"/>
              </w:rPr>
              <w:t>7,618</w:t>
            </w:r>
          </w:p>
        </w:tc>
      </w:tr>
      <w:tr w:rsidR="0033566A" w:rsidRPr="0033566A" w14:paraId="29CA5016" w14:textId="77777777" w:rsidTr="0033566A">
        <w:trPr>
          <w:trHeight w:val="284"/>
          <w:jc w:val="center"/>
        </w:trPr>
        <w:tc>
          <w:tcPr>
            <w:tcW w:w="7344" w:type="dxa"/>
            <w:tcBorders>
              <w:top w:val="single" w:sz="8" w:space="0" w:color="000000"/>
              <w:left w:val="single" w:sz="8" w:space="0" w:color="000000"/>
              <w:bottom w:val="single" w:sz="8" w:space="0" w:color="000000"/>
              <w:right w:val="single" w:sz="8" w:space="0" w:color="000000"/>
            </w:tcBorders>
            <w:hideMark/>
          </w:tcPr>
          <w:p w14:paraId="180D1B1C" w14:textId="77777777" w:rsidR="0033566A" w:rsidRPr="0033566A" w:rsidRDefault="0033566A" w:rsidP="00077437">
            <w:pPr>
              <w:spacing w:after="0"/>
              <w:jc w:val="both"/>
              <w:rPr>
                <w:lang w:val="en-US"/>
              </w:rPr>
            </w:pPr>
            <w:r w:rsidRPr="0033566A">
              <w:rPr>
                <w:lang w:val="en-US"/>
              </w:rPr>
              <w:t>Allocations (new tenancies)</w:t>
            </w:r>
          </w:p>
        </w:tc>
        <w:tc>
          <w:tcPr>
            <w:tcW w:w="1817" w:type="dxa"/>
            <w:tcBorders>
              <w:top w:val="single" w:sz="8" w:space="0" w:color="000000"/>
              <w:left w:val="single" w:sz="8" w:space="0" w:color="000000"/>
              <w:bottom w:val="single" w:sz="8" w:space="0" w:color="000000"/>
              <w:right w:val="single" w:sz="8" w:space="0" w:color="000000"/>
            </w:tcBorders>
            <w:hideMark/>
          </w:tcPr>
          <w:p w14:paraId="49D5CA9A" w14:textId="77777777" w:rsidR="0033566A" w:rsidRPr="0033566A" w:rsidRDefault="0033566A" w:rsidP="00077437">
            <w:pPr>
              <w:spacing w:after="0"/>
              <w:jc w:val="right"/>
              <w:rPr>
                <w:lang w:val="en-US"/>
              </w:rPr>
            </w:pPr>
            <w:r w:rsidRPr="0033566A">
              <w:rPr>
                <w:lang w:val="en-US"/>
              </w:rPr>
              <w:t>1,043</w:t>
            </w:r>
          </w:p>
        </w:tc>
      </w:tr>
      <w:tr w:rsidR="0033566A" w:rsidRPr="0033566A" w14:paraId="71521356" w14:textId="77777777" w:rsidTr="0033566A">
        <w:trPr>
          <w:trHeight w:val="284"/>
          <w:jc w:val="center"/>
        </w:trPr>
        <w:tc>
          <w:tcPr>
            <w:tcW w:w="7344" w:type="dxa"/>
            <w:tcBorders>
              <w:top w:val="single" w:sz="8" w:space="0" w:color="000000"/>
              <w:left w:val="single" w:sz="8" w:space="0" w:color="000000"/>
              <w:bottom w:val="single" w:sz="8" w:space="0" w:color="000000"/>
              <w:right w:val="single" w:sz="8" w:space="0" w:color="000000"/>
            </w:tcBorders>
            <w:hideMark/>
          </w:tcPr>
          <w:p w14:paraId="516F232C" w14:textId="77777777" w:rsidR="0033566A" w:rsidRPr="0033566A" w:rsidRDefault="0033566A" w:rsidP="00077437">
            <w:pPr>
              <w:spacing w:after="0"/>
              <w:jc w:val="both"/>
              <w:rPr>
                <w:lang w:val="en-US"/>
              </w:rPr>
            </w:pPr>
            <w:r w:rsidRPr="0033566A">
              <w:rPr>
                <w:lang w:val="en-US"/>
              </w:rPr>
              <w:t>Homeless households</w:t>
            </w:r>
          </w:p>
        </w:tc>
        <w:tc>
          <w:tcPr>
            <w:tcW w:w="1817" w:type="dxa"/>
            <w:tcBorders>
              <w:top w:val="single" w:sz="8" w:space="0" w:color="000000"/>
              <w:left w:val="single" w:sz="8" w:space="0" w:color="000000"/>
              <w:bottom w:val="single" w:sz="8" w:space="0" w:color="000000"/>
              <w:right w:val="single" w:sz="8" w:space="0" w:color="000000"/>
            </w:tcBorders>
            <w:hideMark/>
          </w:tcPr>
          <w:p w14:paraId="2FA53E41" w14:textId="77777777" w:rsidR="0033566A" w:rsidRPr="0033566A" w:rsidRDefault="0033566A" w:rsidP="00077437">
            <w:pPr>
              <w:spacing w:after="0"/>
              <w:jc w:val="right"/>
              <w:rPr>
                <w:lang w:val="en-US"/>
              </w:rPr>
            </w:pPr>
            <w:r w:rsidRPr="0033566A">
              <w:rPr>
                <w:lang w:val="en-US"/>
              </w:rPr>
              <w:t>498</w:t>
            </w:r>
          </w:p>
        </w:tc>
      </w:tr>
      <w:tr w:rsidR="0033566A" w:rsidRPr="0033566A" w14:paraId="2D2B0370" w14:textId="77777777" w:rsidTr="0033566A">
        <w:trPr>
          <w:trHeight w:val="284"/>
          <w:jc w:val="center"/>
        </w:trPr>
        <w:tc>
          <w:tcPr>
            <w:tcW w:w="7344" w:type="dxa"/>
            <w:tcBorders>
              <w:top w:val="single" w:sz="8" w:space="0" w:color="000000"/>
              <w:left w:val="single" w:sz="8" w:space="0" w:color="000000"/>
              <w:bottom w:val="single" w:sz="8" w:space="0" w:color="000000"/>
              <w:right w:val="single" w:sz="8" w:space="0" w:color="000000"/>
            </w:tcBorders>
            <w:hideMark/>
          </w:tcPr>
          <w:p w14:paraId="74BCAE45" w14:textId="77777777" w:rsidR="0033566A" w:rsidRPr="0033566A" w:rsidRDefault="0033566A" w:rsidP="00077437">
            <w:pPr>
              <w:spacing w:after="0"/>
              <w:jc w:val="both"/>
              <w:rPr>
                <w:lang w:val="en-US"/>
              </w:rPr>
            </w:pPr>
            <w:r w:rsidRPr="0033566A">
              <w:rPr>
                <w:lang w:val="en-US"/>
              </w:rPr>
              <w:t>Homeless exits / preventions</w:t>
            </w:r>
          </w:p>
        </w:tc>
        <w:tc>
          <w:tcPr>
            <w:tcW w:w="1817" w:type="dxa"/>
            <w:tcBorders>
              <w:top w:val="single" w:sz="8" w:space="0" w:color="000000"/>
              <w:left w:val="single" w:sz="8" w:space="0" w:color="000000"/>
              <w:bottom w:val="single" w:sz="8" w:space="0" w:color="000000"/>
              <w:right w:val="single" w:sz="8" w:space="0" w:color="000000"/>
            </w:tcBorders>
            <w:hideMark/>
          </w:tcPr>
          <w:p w14:paraId="057679CB" w14:textId="77777777" w:rsidR="0033566A" w:rsidRPr="0033566A" w:rsidRDefault="0033566A" w:rsidP="00077437">
            <w:pPr>
              <w:spacing w:after="0"/>
              <w:jc w:val="right"/>
              <w:rPr>
                <w:lang w:val="en-US"/>
              </w:rPr>
            </w:pPr>
            <w:r w:rsidRPr="0033566A">
              <w:rPr>
                <w:lang w:val="en-US"/>
              </w:rPr>
              <w:t>720</w:t>
            </w:r>
          </w:p>
        </w:tc>
      </w:tr>
      <w:tr w:rsidR="0033566A" w:rsidRPr="0033566A" w14:paraId="5405FB4B" w14:textId="77777777" w:rsidTr="0033566A">
        <w:trPr>
          <w:trHeight w:val="284"/>
          <w:jc w:val="center"/>
        </w:trPr>
        <w:tc>
          <w:tcPr>
            <w:tcW w:w="7344" w:type="dxa"/>
            <w:tcBorders>
              <w:top w:val="single" w:sz="8" w:space="0" w:color="000000"/>
              <w:left w:val="single" w:sz="8" w:space="0" w:color="000000"/>
              <w:bottom w:val="single" w:sz="8" w:space="0" w:color="000000"/>
              <w:right w:val="single" w:sz="8" w:space="0" w:color="000000"/>
            </w:tcBorders>
            <w:hideMark/>
          </w:tcPr>
          <w:p w14:paraId="662FBD59" w14:textId="77777777" w:rsidR="0033566A" w:rsidRPr="0033566A" w:rsidRDefault="0033566A" w:rsidP="00077437">
            <w:pPr>
              <w:spacing w:after="0"/>
              <w:jc w:val="both"/>
              <w:rPr>
                <w:lang w:val="en-US"/>
              </w:rPr>
            </w:pPr>
            <w:r w:rsidRPr="0033566A">
              <w:rPr>
                <w:lang w:val="en-US"/>
              </w:rPr>
              <w:t>Homes in local authority ownership</w:t>
            </w:r>
          </w:p>
        </w:tc>
        <w:tc>
          <w:tcPr>
            <w:tcW w:w="1817" w:type="dxa"/>
            <w:tcBorders>
              <w:top w:val="single" w:sz="8" w:space="0" w:color="000000"/>
              <w:left w:val="single" w:sz="8" w:space="0" w:color="000000"/>
              <w:bottom w:val="single" w:sz="8" w:space="0" w:color="000000"/>
              <w:right w:val="single" w:sz="8" w:space="0" w:color="000000"/>
            </w:tcBorders>
            <w:hideMark/>
          </w:tcPr>
          <w:p w14:paraId="507FDB1E" w14:textId="77777777" w:rsidR="0033566A" w:rsidRPr="0033566A" w:rsidRDefault="0033566A" w:rsidP="00077437">
            <w:pPr>
              <w:spacing w:after="0"/>
              <w:jc w:val="right"/>
              <w:rPr>
                <w:lang w:val="en-US"/>
              </w:rPr>
            </w:pPr>
            <w:r w:rsidRPr="0033566A">
              <w:rPr>
                <w:lang w:val="en-US"/>
              </w:rPr>
              <w:t>10,302</w:t>
            </w:r>
          </w:p>
        </w:tc>
      </w:tr>
      <w:tr w:rsidR="0033566A" w:rsidRPr="0033566A" w14:paraId="50EB2F36" w14:textId="77777777" w:rsidTr="0033566A">
        <w:trPr>
          <w:trHeight w:val="284"/>
          <w:jc w:val="center"/>
        </w:trPr>
        <w:tc>
          <w:tcPr>
            <w:tcW w:w="7344" w:type="dxa"/>
            <w:tcBorders>
              <w:top w:val="single" w:sz="8" w:space="0" w:color="000000"/>
              <w:left w:val="single" w:sz="8" w:space="0" w:color="000000"/>
              <w:bottom w:val="single" w:sz="8" w:space="0" w:color="000000"/>
              <w:right w:val="single" w:sz="8" w:space="0" w:color="000000"/>
            </w:tcBorders>
            <w:hideMark/>
          </w:tcPr>
          <w:p w14:paraId="04864D95" w14:textId="77777777" w:rsidR="0033566A" w:rsidRPr="0033566A" w:rsidRDefault="0033566A" w:rsidP="00077437">
            <w:pPr>
              <w:spacing w:after="0"/>
              <w:jc w:val="both"/>
              <w:rPr>
                <w:lang w:val="en-US"/>
              </w:rPr>
            </w:pPr>
            <w:r w:rsidRPr="0033566A">
              <w:rPr>
                <w:lang w:val="en-US"/>
              </w:rPr>
              <w:t>Social and affordable homes under construction</w:t>
            </w:r>
          </w:p>
        </w:tc>
        <w:tc>
          <w:tcPr>
            <w:tcW w:w="1817" w:type="dxa"/>
            <w:tcBorders>
              <w:top w:val="single" w:sz="8" w:space="0" w:color="000000"/>
              <w:left w:val="single" w:sz="8" w:space="0" w:color="000000"/>
              <w:bottom w:val="single" w:sz="8" w:space="0" w:color="000000"/>
              <w:right w:val="single" w:sz="8" w:space="0" w:color="000000"/>
            </w:tcBorders>
            <w:hideMark/>
          </w:tcPr>
          <w:p w14:paraId="2F5AFEBC" w14:textId="77777777" w:rsidR="0033566A" w:rsidRPr="0033566A" w:rsidRDefault="0033566A" w:rsidP="00077437">
            <w:pPr>
              <w:spacing w:after="0"/>
              <w:jc w:val="right"/>
              <w:rPr>
                <w:lang w:val="en-US"/>
              </w:rPr>
            </w:pPr>
            <w:r w:rsidRPr="0033566A">
              <w:rPr>
                <w:lang w:val="en-US"/>
              </w:rPr>
              <w:t>473</w:t>
            </w:r>
          </w:p>
        </w:tc>
      </w:tr>
      <w:tr w:rsidR="0033566A" w:rsidRPr="0033566A" w14:paraId="2A092204" w14:textId="77777777" w:rsidTr="0033566A">
        <w:trPr>
          <w:trHeight w:val="284"/>
          <w:jc w:val="center"/>
        </w:trPr>
        <w:tc>
          <w:tcPr>
            <w:tcW w:w="7344" w:type="dxa"/>
            <w:tcBorders>
              <w:top w:val="single" w:sz="8" w:space="0" w:color="000000"/>
              <w:left w:val="single" w:sz="8" w:space="0" w:color="000000"/>
              <w:bottom w:val="single" w:sz="8" w:space="0" w:color="000000"/>
              <w:right w:val="single" w:sz="8" w:space="0" w:color="000000"/>
            </w:tcBorders>
            <w:hideMark/>
          </w:tcPr>
          <w:p w14:paraId="697F1E4E" w14:textId="77777777" w:rsidR="0033566A" w:rsidRPr="0033566A" w:rsidRDefault="0033566A" w:rsidP="00077437">
            <w:pPr>
              <w:spacing w:after="0"/>
              <w:jc w:val="both"/>
              <w:rPr>
                <w:lang w:val="en-US"/>
              </w:rPr>
            </w:pPr>
            <w:r w:rsidRPr="0033566A">
              <w:rPr>
                <w:lang w:val="en-US"/>
              </w:rPr>
              <w:t>Local authority homes vacant</w:t>
            </w:r>
          </w:p>
        </w:tc>
        <w:tc>
          <w:tcPr>
            <w:tcW w:w="1817" w:type="dxa"/>
            <w:tcBorders>
              <w:top w:val="single" w:sz="8" w:space="0" w:color="000000"/>
              <w:left w:val="single" w:sz="8" w:space="0" w:color="000000"/>
              <w:bottom w:val="single" w:sz="8" w:space="0" w:color="000000"/>
              <w:right w:val="single" w:sz="8" w:space="0" w:color="000000"/>
            </w:tcBorders>
            <w:hideMark/>
          </w:tcPr>
          <w:p w14:paraId="4CBA818F" w14:textId="77777777" w:rsidR="0033566A" w:rsidRPr="0033566A" w:rsidRDefault="0033566A" w:rsidP="00077437">
            <w:pPr>
              <w:spacing w:after="0"/>
              <w:jc w:val="right"/>
              <w:rPr>
                <w:lang w:val="en-US"/>
              </w:rPr>
            </w:pPr>
            <w:r w:rsidRPr="0033566A">
              <w:rPr>
                <w:lang w:val="en-US"/>
              </w:rPr>
              <w:t>95</w:t>
            </w:r>
          </w:p>
        </w:tc>
      </w:tr>
      <w:tr w:rsidR="0033566A" w:rsidRPr="0033566A" w14:paraId="1D8F2C0C" w14:textId="77777777" w:rsidTr="0033566A">
        <w:trPr>
          <w:trHeight w:val="284"/>
          <w:jc w:val="center"/>
        </w:trPr>
        <w:tc>
          <w:tcPr>
            <w:tcW w:w="7344" w:type="dxa"/>
            <w:tcBorders>
              <w:top w:val="single" w:sz="8" w:space="0" w:color="000000"/>
              <w:left w:val="single" w:sz="8" w:space="0" w:color="000000"/>
              <w:bottom w:val="single" w:sz="8" w:space="0" w:color="000000"/>
              <w:right w:val="single" w:sz="8" w:space="0" w:color="000000"/>
            </w:tcBorders>
            <w:hideMark/>
          </w:tcPr>
          <w:p w14:paraId="3B6ACFD7" w14:textId="77777777" w:rsidR="0033566A" w:rsidRPr="0033566A" w:rsidRDefault="0033566A" w:rsidP="00077437">
            <w:pPr>
              <w:spacing w:after="0"/>
              <w:jc w:val="both"/>
              <w:rPr>
                <w:lang w:val="en-US"/>
              </w:rPr>
            </w:pPr>
            <w:r w:rsidRPr="0033566A">
              <w:rPr>
                <w:lang w:val="en-US"/>
              </w:rPr>
              <w:t>Average re-let time (weeks)</w:t>
            </w:r>
          </w:p>
        </w:tc>
        <w:tc>
          <w:tcPr>
            <w:tcW w:w="1817" w:type="dxa"/>
            <w:tcBorders>
              <w:top w:val="single" w:sz="8" w:space="0" w:color="000000"/>
              <w:left w:val="single" w:sz="8" w:space="0" w:color="000000"/>
              <w:bottom w:val="single" w:sz="8" w:space="0" w:color="000000"/>
              <w:right w:val="single" w:sz="8" w:space="0" w:color="000000"/>
            </w:tcBorders>
            <w:hideMark/>
          </w:tcPr>
          <w:p w14:paraId="0BB44386" w14:textId="77777777" w:rsidR="0033566A" w:rsidRPr="0033566A" w:rsidRDefault="0033566A" w:rsidP="00077437">
            <w:pPr>
              <w:spacing w:after="0"/>
              <w:jc w:val="right"/>
              <w:rPr>
                <w:lang w:val="en-US"/>
              </w:rPr>
            </w:pPr>
            <w:r w:rsidRPr="0033566A">
              <w:rPr>
                <w:lang w:val="en-US"/>
              </w:rPr>
              <w:t>20.64</w:t>
            </w:r>
          </w:p>
        </w:tc>
      </w:tr>
      <w:tr w:rsidR="0033566A" w:rsidRPr="0033566A" w14:paraId="7F8DFA41" w14:textId="77777777" w:rsidTr="0033566A">
        <w:trPr>
          <w:trHeight w:val="284"/>
          <w:jc w:val="center"/>
        </w:trPr>
        <w:tc>
          <w:tcPr>
            <w:tcW w:w="7344" w:type="dxa"/>
            <w:tcBorders>
              <w:top w:val="single" w:sz="8" w:space="0" w:color="000000"/>
              <w:left w:val="single" w:sz="8" w:space="0" w:color="000000"/>
              <w:bottom w:val="single" w:sz="8" w:space="0" w:color="000000"/>
              <w:right w:val="single" w:sz="8" w:space="0" w:color="000000"/>
            </w:tcBorders>
            <w:hideMark/>
          </w:tcPr>
          <w:p w14:paraId="18997CF6" w14:textId="77777777" w:rsidR="0033566A" w:rsidRPr="0033566A" w:rsidRDefault="0033566A" w:rsidP="00077437">
            <w:pPr>
              <w:spacing w:after="0"/>
              <w:jc w:val="both"/>
              <w:rPr>
                <w:lang w:val="en-US"/>
              </w:rPr>
            </w:pPr>
            <w:r w:rsidRPr="0033566A">
              <w:rPr>
                <w:lang w:val="en-US"/>
              </w:rPr>
              <w:t>Expenditure on planned maintenance</w:t>
            </w:r>
          </w:p>
        </w:tc>
        <w:tc>
          <w:tcPr>
            <w:tcW w:w="1817" w:type="dxa"/>
            <w:tcBorders>
              <w:top w:val="single" w:sz="8" w:space="0" w:color="000000"/>
              <w:left w:val="single" w:sz="8" w:space="0" w:color="000000"/>
              <w:bottom w:val="single" w:sz="8" w:space="0" w:color="000000"/>
              <w:right w:val="single" w:sz="8" w:space="0" w:color="000000"/>
            </w:tcBorders>
            <w:hideMark/>
          </w:tcPr>
          <w:p w14:paraId="535BB079" w14:textId="77777777" w:rsidR="0033566A" w:rsidRPr="0033566A" w:rsidRDefault="0033566A" w:rsidP="00077437">
            <w:pPr>
              <w:spacing w:after="0"/>
              <w:jc w:val="right"/>
              <w:rPr>
                <w:lang w:val="en-US"/>
              </w:rPr>
            </w:pPr>
            <w:r w:rsidRPr="0033566A">
              <w:rPr>
                <w:lang w:val="en-US"/>
              </w:rPr>
              <w:t>€7,783,968</w:t>
            </w:r>
          </w:p>
        </w:tc>
      </w:tr>
      <w:tr w:rsidR="0033566A" w:rsidRPr="0033566A" w14:paraId="19D98D97" w14:textId="77777777" w:rsidTr="0033566A">
        <w:trPr>
          <w:trHeight w:val="284"/>
          <w:jc w:val="center"/>
        </w:trPr>
        <w:tc>
          <w:tcPr>
            <w:tcW w:w="7344" w:type="dxa"/>
            <w:tcBorders>
              <w:top w:val="single" w:sz="8" w:space="0" w:color="000000"/>
              <w:left w:val="single" w:sz="8" w:space="0" w:color="000000"/>
              <w:bottom w:val="single" w:sz="8" w:space="0" w:color="000000"/>
              <w:right w:val="single" w:sz="8" w:space="0" w:color="000000"/>
            </w:tcBorders>
            <w:hideMark/>
          </w:tcPr>
          <w:p w14:paraId="04C689D3" w14:textId="77777777" w:rsidR="0033566A" w:rsidRPr="0033566A" w:rsidRDefault="0033566A" w:rsidP="00077437">
            <w:pPr>
              <w:spacing w:after="0"/>
              <w:jc w:val="both"/>
              <w:rPr>
                <w:lang w:val="en-US"/>
              </w:rPr>
            </w:pPr>
            <w:r w:rsidRPr="0033566A">
              <w:rPr>
                <w:lang w:val="en-US"/>
              </w:rPr>
              <w:t xml:space="preserve">Homes completed under Energy Efficiency Retrofit </w:t>
            </w:r>
            <w:proofErr w:type="spellStart"/>
            <w:r w:rsidRPr="0033566A">
              <w:rPr>
                <w:lang w:val="en-US"/>
              </w:rPr>
              <w:t>Programme</w:t>
            </w:r>
            <w:proofErr w:type="spellEnd"/>
          </w:p>
        </w:tc>
        <w:tc>
          <w:tcPr>
            <w:tcW w:w="1817" w:type="dxa"/>
            <w:tcBorders>
              <w:top w:val="single" w:sz="8" w:space="0" w:color="000000"/>
              <w:left w:val="single" w:sz="8" w:space="0" w:color="000000"/>
              <w:bottom w:val="single" w:sz="8" w:space="0" w:color="000000"/>
              <w:right w:val="single" w:sz="8" w:space="0" w:color="000000"/>
            </w:tcBorders>
            <w:hideMark/>
          </w:tcPr>
          <w:p w14:paraId="4FA22105" w14:textId="77777777" w:rsidR="0033566A" w:rsidRPr="0033566A" w:rsidRDefault="0033566A" w:rsidP="00077437">
            <w:pPr>
              <w:spacing w:after="0"/>
              <w:jc w:val="right"/>
              <w:rPr>
                <w:lang w:val="en-US"/>
              </w:rPr>
            </w:pPr>
            <w:r w:rsidRPr="0033566A">
              <w:rPr>
                <w:lang w:val="en-US"/>
              </w:rPr>
              <w:t>85</w:t>
            </w:r>
          </w:p>
        </w:tc>
      </w:tr>
      <w:tr w:rsidR="0033566A" w:rsidRPr="0033566A" w14:paraId="52868459" w14:textId="77777777" w:rsidTr="0033566A">
        <w:trPr>
          <w:trHeight w:val="284"/>
          <w:jc w:val="center"/>
        </w:trPr>
        <w:tc>
          <w:tcPr>
            <w:tcW w:w="7344" w:type="dxa"/>
            <w:tcBorders>
              <w:top w:val="single" w:sz="8" w:space="0" w:color="000000"/>
              <w:left w:val="single" w:sz="8" w:space="0" w:color="000000"/>
              <w:bottom w:val="single" w:sz="8" w:space="0" w:color="000000"/>
              <w:right w:val="single" w:sz="8" w:space="0" w:color="000000"/>
            </w:tcBorders>
            <w:hideMark/>
          </w:tcPr>
          <w:p w14:paraId="4A19AC5A" w14:textId="77777777" w:rsidR="0033566A" w:rsidRPr="0033566A" w:rsidRDefault="0033566A" w:rsidP="00077437">
            <w:pPr>
              <w:spacing w:after="0"/>
              <w:jc w:val="both"/>
              <w:rPr>
                <w:lang w:val="en-US"/>
              </w:rPr>
            </w:pPr>
            <w:r w:rsidRPr="0033566A">
              <w:rPr>
                <w:lang w:val="en-US"/>
              </w:rPr>
              <w:t>Maintenance requests received</w:t>
            </w:r>
          </w:p>
        </w:tc>
        <w:tc>
          <w:tcPr>
            <w:tcW w:w="1817" w:type="dxa"/>
            <w:tcBorders>
              <w:top w:val="single" w:sz="8" w:space="0" w:color="000000"/>
              <w:left w:val="single" w:sz="8" w:space="0" w:color="000000"/>
              <w:bottom w:val="single" w:sz="8" w:space="0" w:color="000000"/>
              <w:right w:val="single" w:sz="8" w:space="0" w:color="000000"/>
            </w:tcBorders>
            <w:hideMark/>
          </w:tcPr>
          <w:p w14:paraId="55F5D202" w14:textId="77777777" w:rsidR="0033566A" w:rsidRPr="0033566A" w:rsidRDefault="0033566A" w:rsidP="00077437">
            <w:pPr>
              <w:spacing w:after="0"/>
              <w:jc w:val="right"/>
              <w:rPr>
                <w:lang w:val="en-US"/>
              </w:rPr>
            </w:pPr>
            <w:r w:rsidRPr="0033566A">
              <w:rPr>
                <w:lang w:val="en-US"/>
              </w:rPr>
              <w:t>17,423</w:t>
            </w:r>
          </w:p>
        </w:tc>
      </w:tr>
      <w:tr w:rsidR="0033566A" w:rsidRPr="0033566A" w14:paraId="74F46BF6" w14:textId="77777777" w:rsidTr="0033566A">
        <w:trPr>
          <w:trHeight w:val="284"/>
          <w:jc w:val="center"/>
        </w:trPr>
        <w:tc>
          <w:tcPr>
            <w:tcW w:w="7344" w:type="dxa"/>
            <w:tcBorders>
              <w:top w:val="single" w:sz="8" w:space="0" w:color="000000"/>
              <w:left w:val="single" w:sz="8" w:space="0" w:color="000000"/>
              <w:bottom w:val="single" w:sz="8" w:space="0" w:color="000000"/>
              <w:right w:val="single" w:sz="8" w:space="0" w:color="000000"/>
            </w:tcBorders>
            <w:hideMark/>
          </w:tcPr>
          <w:p w14:paraId="0D901A36" w14:textId="77777777" w:rsidR="0033566A" w:rsidRPr="0033566A" w:rsidRDefault="0033566A" w:rsidP="00077437">
            <w:pPr>
              <w:spacing w:after="0"/>
              <w:jc w:val="both"/>
              <w:rPr>
                <w:lang w:val="en-US"/>
              </w:rPr>
            </w:pPr>
            <w:r w:rsidRPr="0033566A">
              <w:rPr>
                <w:lang w:val="en-US"/>
              </w:rPr>
              <w:t>Maintenance requests completed</w:t>
            </w:r>
          </w:p>
        </w:tc>
        <w:tc>
          <w:tcPr>
            <w:tcW w:w="1817" w:type="dxa"/>
            <w:tcBorders>
              <w:top w:val="single" w:sz="8" w:space="0" w:color="000000"/>
              <w:left w:val="single" w:sz="8" w:space="0" w:color="000000"/>
              <w:bottom w:val="single" w:sz="8" w:space="0" w:color="000000"/>
              <w:right w:val="single" w:sz="8" w:space="0" w:color="000000"/>
            </w:tcBorders>
            <w:hideMark/>
          </w:tcPr>
          <w:p w14:paraId="6C4A2EDB" w14:textId="77777777" w:rsidR="0033566A" w:rsidRPr="0033566A" w:rsidRDefault="0033566A" w:rsidP="00077437">
            <w:pPr>
              <w:spacing w:after="0"/>
              <w:jc w:val="right"/>
              <w:rPr>
                <w:lang w:val="en-US"/>
              </w:rPr>
            </w:pPr>
            <w:r w:rsidRPr="0033566A">
              <w:rPr>
                <w:lang w:val="en-US"/>
              </w:rPr>
              <w:t>12,243</w:t>
            </w:r>
          </w:p>
        </w:tc>
      </w:tr>
      <w:tr w:rsidR="0033566A" w:rsidRPr="0033566A" w14:paraId="6B27DF0D" w14:textId="77777777" w:rsidTr="0033566A">
        <w:trPr>
          <w:trHeight w:val="284"/>
          <w:jc w:val="center"/>
        </w:trPr>
        <w:tc>
          <w:tcPr>
            <w:tcW w:w="7344" w:type="dxa"/>
            <w:tcBorders>
              <w:top w:val="single" w:sz="8" w:space="0" w:color="000000"/>
              <w:left w:val="single" w:sz="8" w:space="0" w:color="000000"/>
              <w:bottom w:val="single" w:sz="8" w:space="0" w:color="000000"/>
              <w:right w:val="single" w:sz="8" w:space="0" w:color="000000"/>
            </w:tcBorders>
            <w:hideMark/>
          </w:tcPr>
          <w:p w14:paraId="5FDEA57D" w14:textId="77777777" w:rsidR="0033566A" w:rsidRPr="0033566A" w:rsidRDefault="0033566A" w:rsidP="00077437">
            <w:pPr>
              <w:spacing w:after="0"/>
              <w:jc w:val="both"/>
              <w:rPr>
                <w:lang w:val="en-US"/>
              </w:rPr>
            </w:pPr>
            <w:r w:rsidRPr="0033566A">
              <w:rPr>
                <w:lang w:val="en-US"/>
              </w:rPr>
              <w:t>HAP/ RAS tenancies</w:t>
            </w:r>
          </w:p>
        </w:tc>
        <w:tc>
          <w:tcPr>
            <w:tcW w:w="1817" w:type="dxa"/>
            <w:tcBorders>
              <w:top w:val="single" w:sz="8" w:space="0" w:color="000000"/>
              <w:left w:val="single" w:sz="8" w:space="0" w:color="000000"/>
              <w:bottom w:val="single" w:sz="8" w:space="0" w:color="000000"/>
              <w:right w:val="single" w:sz="8" w:space="0" w:color="000000"/>
            </w:tcBorders>
            <w:hideMark/>
          </w:tcPr>
          <w:p w14:paraId="7B7FA69D" w14:textId="77777777" w:rsidR="0033566A" w:rsidRPr="0033566A" w:rsidRDefault="0033566A" w:rsidP="00077437">
            <w:pPr>
              <w:spacing w:after="0"/>
              <w:jc w:val="right"/>
              <w:rPr>
                <w:lang w:val="en-US"/>
              </w:rPr>
            </w:pPr>
            <w:r w:rsidRPr="0033566A">
              <w:rPr>
                <w:lang w:val="en-US"/>
              </w:rPr>
              <w:t>5,254</w:t>
            </w:r>
          </w:p>
        </w:tc>
      </w:tr>
      <w:tr w:rsidR="0033566A" w:rsidRPr="0033566A" w14:paraId="366FCC15" w14:textId="77777777" w:rsidTr="0033566A">
        <w:trPr>
          <w:trHeight w:val="284"/>
          <w:jc w:val="center"/>
        </w:trPr>
        <w:tc>
          <w:tcPr>
            <w:tcW w:w="7344" w:type="dxa"/>
            <w:tcBorders>
              <w:top w:val="single" w:sz="8" w:space="0" w:color="000000"/>
              <w:left w:val="single" w:sz="8" w:space="0" w:color="000000"/>
              <w:bottom w:val="single" w:sz="8" w:space="0" w:color="000000"/>
              <w:right w:val="single" w:sz="8" w:space="0" w:color="000000"/>
            </w:tcBorders>
            <w:hideMark/>
          </w:tcPr>
          <w:p w14:paraId="73A4E60A" w14:textId="77777777" w:rsidR="0033566A" w:rsidRPr="0033566A" w:rsidRDefault="0033566A" w:rsidP="00077437">
            <w:pPr>
              <w:spacing w:after="0"/>
              <w:jc w:val="both"/>
              <w:rPr>
                <w:lang w:val="en-US"/>
              </w:rPr>
            </w:pPr>
            <w:r w:rsidRPr="0033566A">
              <w:rPr>
                <w:lang w:val="en-US"/>
              </w:rPr>
              <w:t>Private rented dwelling inspections</w:t>
            </w:r>
          </w:p>
        </w:tc>
        <w:tc>
          <w:tcPr>
            <w:tcW w:w="1817" w:type="dxa"/>
            <w:tcBorders>
              <w:top w:val="single" w:sz="8" w:space="0" w:color="000000"/>
              <w:left w:val="single" w:sz="8" w:space="0" w:color="000000"/>
              <w:bottom w:val="single" w:sz="8" w:space="0" w:color="000000"/>
              <w:right w:val="single" w:sz="8" w:space="0" w:color="000000"/>
            </w:tcBorders>
            <w:hideMark/>
          </w:tcPr>
          <w:p w14:paraId="1819F244" w14:textId="77777777" w:rsidR="0033566A" w:rsidRPr="0033566A" w:rsidRDefault="0033566A" w:rsidP="00077437">
            <w:pPr>
              <w:spacing w:after="0"/>
              <w:jc w:val="right"/>
              <w:rPr>
                <w:lang w:val="en-US"/>
              </w:rPr>
            </w:pPr>
            <w:r w:rsidRPr="0033566A">
              <w:rPr>
                <w:lang w:val="en-US"/>
              </w:rPr>
              <w:t>4,772</w:t>
            </w:r>
          </w:p>
        </w:tc>
      </w:tr>
      <w:tr w:rsidR="0033566A" w:rsidRPr="0033566A" w14:paraId="7B016CE5" w14:textId="77777777" w:rsidTr="0033566A">
        <w:trPr>
          <w:trHeight w:val="284"/>
          <w:jc w:val="center"/>
        </w:trPr>
        <w:tc>
          <w:tcPr>
            <w:tcW w:w="7344" w:type="dxa"/>
            <w:tcBorders>
              <w:top w:val="single" w:sz="8" w:space="0" w:color="000000"/>
              <w:left w:val="single" w:sz="8" w:space="0" w:color="000000"/>
              <w:bottom w:val="single" w:sz="8" w:space="0" w:color="000000"/>
              <w:right w:val="single" w:sz="8" w:space="0" w:color="000000"/>
            </w:tcBorders>
            <w:hideMark/>
          </w:tcPr>
          <w:p w14:paraId="79F51000" w14:textId="77777777" w:rsidR="0033566A" w:rsidRPr="0033566A" w:rsidRDefault="0033566A" w:rsidP="00077437">
            <w:pPr>
              <w:spacing w:after="0"/>
              <w:jc w:val="both"/>
              <w:rPr>
                <w:lang w:val="en-US"/>
              </w:rPr>
            </w:pPr>
            <w:r w:rsidRPr="0033566A">
              <w:rPr>
                <w:lang w:val="en-US"/>
              </w:rPr>
              <w:t>Community grants paid</w:t>
            </w:r>
          </w:p>
        </w:tc>
        <w:tc>
          <w:tcPr>
            <w:tcW w:w="1817" w:type="dxa"/>
            <w:tcBorders>
              <w:top w:val="single" w:sz="8" w:space="0" w:color="000000"/>
              <w:left w:val="single" w:sz="8" w:space="0" w:color="000000"/>
              <w:bottom w:val="single" w:sz="8" w:space="0" w:color="000000"/>
              <w:right w:val="single" w:sz="8" w:space="0" w:color="000000"/>
            </w:tcBorders>
            <w:hideMark/>
          </w:tcPr>
          <w:p w14:paraId="4973D00D" w14:textId="77777777" w:rsidR="0033566A" w:rsidRPr="0033566A" w:rsidRDefault="0033566A" w:rsidP="00077437">
            <w:pPr>
              <w:spacing w:after="0"/>
              <w:jc w:val="right"/>
              <w:rPr>
                <w:lang w:val="en-US"/>
              </w:rPr>
            </w:pPr>
            <w:r w:rsidRPr="0033566A">
              <w:rPr>
                <w:lang w:val="en-US"/>
              </w:rPr>
              <w:t>477</w:t>
            </w:r>
          </w:p>
        </w:tc>
      </w:tr>
      <w:tr w:rsidR="0033566A" w:rsidRPr="0033566A" w14:paraId="2730D69E" w14:textId="77777777" w:rsidTr="0033566A">
        <w:trPr>
          <w:trHeight w:val="284"/>
          <w:jc w:val="center"/>
        </w:trPr>
        <w:tc>
          <w:tcPr>
            <w:tcW w:w="7344" w:type="dxa"/>
            <w:tcBorders>
              <w:top w:val="single" w:sz="8" w:space="0" w:color="000000"/>
              <w:left w:val="single" w:sz="8" w:space="0" w:color="000000"/>
              <w:bottom w:val="single" w:sz="8" w:space="0" w:color="000000"/>
              <w:right w:val="single" w:sz="8" w:space="0" w:color="000000"/>
            </w:tcBorders>
            <w:hideMark/>
          </w:tcPr>
          <w:p w14:paraId="00BB75CC" w14:textId="77777777" w:rsidR="0033566A" w:rsidRPr="0033566A" w:rsidRDefault="0033566A" w:rsidP="00077437">
            <w:pPr>
              <w:spacing w:after="0"/>
              <w:jc w:val="both"/>
              <w:rPr>
                <w:lang w:val="en-US"/>
              </w:rPr>
            </w:pPr>
            <w:r w:rsidRPr="0033566A">
              <w:rPr>
                <w:lang w:val="en-US"/>
              </w:rPr>
              <w:t>Visitors to leisure facilities</w:t>
            </w:r>
          </w:p>
        </w:tc>
        <w:tc>
          <w:tcPr>
            <w:tcW w:w="1817" w:type="dxa"/>
            <w:tcBorders>
              <w:top w:val="single" w:sz="8" w:space="0" w:color="000000"/>
              <w:left w:val="single" w:sz="8" w:space="0" w:color="000000"/>
              <w:bottom w:val="single" w:sz="8" w:space="0" w:color="000000"/>
              <w:right w:val="single" w:sz="8" w:space="0" w:color="000000"/>
            </w:tcBorders>
            <w:hideMark/>
          </w:tcPr>
          <w:p w14:paraId="32A2B61A" w14:textId="77777777" w:rsidR="0033566A" w:rsidRPr="0033566A" w:rsidRDefault="0033566A" w:rsidP="00077437">
            <w:pPr>
              <w:spacing w:after="0"/>
              <w:jc w:val="right"/>
              <w:rPr>
                <w:lang w:val="en-US"/>
              </w:rPr>
            </w:pPr>
            <w:r w:rsidRPr="0033566A">
              <w:rPr>
                <w:lang w:val="en-US"/>
              </w:rPr>
              <w:t>683,415</w:t>
            </w:r>
          </w:p>
        </w:tc>
      </w:tr>
      <w:tr w:rsidR="0033566A" w:rsidRPr="0033566A" w14:paraId="0FDE3233" w14:textId="77777777" w:rsidTr="0033566A">
        <w:trPr>
          <w:trHeight w:val="284"/>
          <w:jc w:val="center"/>
        </w:trPr>
        <w:tc>
          <w:tcPr>
            <w:tcW w:w="7344" w:type="dxa"/>
            <w:tcBorders>
              <w:top w:val="single" w:sz="8" w:space="0" w:color="000000"/>
              <w:left w:val="single" w:sz="8" w:space="0" w:color="000000"/>
              <w:bottom w:val="single" w:sz="8" w:space="0" w:color="000000"/>
              <w:right w:val="single" w:sz="8" w:space="0" w:color="000000"/>
            </w:tcBorders>
            <w:hideMark/>
          </w:tcPr>
          <w:p w14:paraId="17A64235" w14:textId="77777777" w:rsidR="0033566A" w:rsidRPr="0033566A" w:rsidRDefault="0033566A" w:rsidP="00077437">
            <w:pPr>
              <w:spacing w:after="0"/>
              <w:jc w:val="both"/>
              <w:rPr>
                <w:lang w:val="en-US"/>
              </w:rPr>
            </w:pPr>
            <w:r w:rsidRPr="0033566A">
              <w:rPr>
                <w:lang w:val="en-US"/>
              </w:rPr>
              <w:t>Participants in council led sports and community initiatives</w:t>
            </w:r>
          </w:p>
        </w:tc>
        <w:tc>
          <w:tcPr>
            <w:tcW w:w="1817" w:type="dxa"/>
            <w:tcBorders>
              <w:top w:val="single" w:sz="8" w:space="0" w:color="000000"/>
              <w:left w:val="single" w:sz="8" w:space="0" w:color="000000"/>
              <w:bottom w:val="single" w:sz="8" w:space="0" w:color="000000"/>
              <w:right w:val="single" w:sz="8" w:space="0" w:color="000000"/>
            </w:tcBorders>
            <w:hideMark/>
          </w:tcPr>
          <w:p w14:paraId="60469C11" w14:textId="77777777" w:rsidR="0033566A" w:rsidRPr="0033566A" w:rsidRDefault="0033566A" w:rsidP="00077437">
            <w:pPr>
              <w:spacing w:after="0"/>
              <w:jc w:val="right"/>
              <w:rPr>
                <w:lang w:val="en-US"/>
              </w:rPr>
            </w:pPr>
            <w:r w:rsidRPr="0033566A">
              <w:rPr>
                <w:lang w:val="en-US"/>
              </w:rPr>
              <w:t>124,057</w:t>
            </w:r>
          </w:p>
        </w:tc>
      </w:tr>
    </w:tbl>
    <w:p w14:paraId="5A388D9E" w14:textId="77777777" w:rsidR="0033566A" w:rsidRPr="0033566A" w:rsidRDefault="0033566A" w:rsidP="00B60676">
      <w:pPr>
        <w:jc w:val="both"/>
        <w:rPr>
          <w:b/>
          <w:bCs/>
          <w:lang w:val="en-GB"/>
        </w:rPr>
      </w:pPr>
    </w:p>
    <w:p w14:paraId="469DBDFD" w14:textId="77777777" w:rsidR="0033566A" w:rsidRPr="0033566A" w:rsidRDefault="0033566A" w:rsidP="00B60676">
      <w:pPr>
        <w:jc w:val="both"/>
        <w:rPr>
          <w:b/>
          <w:bCs/>
          <w:lang w:val="en-GB"/>
        </w:rPr>
      </w:pPr>
    </w:p>
    <w:p w14:paraId="226D98F4" w14:textId="77777777" w:rsidR="00BE4EDC" w:rsidRDefault="00BE4EDC">
      <w:pPr>
        <w:rPr>
          <w:rFonts w:asciiTheme="majorHAnsi" w:eastAsiaTheme="majorEastAsia" w:hAnsiTheme="majorHAnsi" w:cstheme="majorBidi"/>
          <w:color w:val="0F4761" w:themeColor="accent1" w:themeShade="BF"/>
          <w:sz w:val="32"/>
          <w:szCs w:val="32"/>
          <w:lang w:val="en-GB"/>
        </w:rPr>
      </w:pPr>
      <w:r>
        <w:rPr>
          <w:lang w:val="en-GB"/>
        </w:rPr>
        <w:br w:type="page"/>
      </w:r>
    </w:p>
    <w:p w14:paraId="70E01D0C" w14:textId="0D25FF3F" w:rsidR="0033566A" w:rsidRPr="0033566A" w:rsidRDefault="0033566A" w:rsidP="00B60676">
      <w:pPr>
        <w:pStyle w:val="Heading2"/>
        <w:jc w:val="both"/>
      </w:pPr>
      <w:bookmarkStart w:id="97" w:name="_Toc195533627"/>
      <w:bookmarkStart w:id="98" w:name="_Toc195533699"/>
      <w:bookmarkStart w:id="99" w:name="_Toc195533976"/>
      <w:bookmarkStart w:id="100" w:name="_Toc195534051"/>
      <w:bookmarkStart w:id="101" w:name="_Toc195534414"/>
      <w:bookmarkStart w:id="102" w:name="_Toc195534615"/>
      <w:bookmarkStart w:id="103" w:name="_Toc199244571"/>
      <w:r w:rsidRPr="0033566A">
        <w:rPr>
          <w:lang w:val="en-GB"/>
        </w:rPr>
        <w:lastRenderedPageBreak/>
        <w:t xml:space="preserve">Environment </w:t>
      </w:r>
      <w:r w:rsidR="0037035F">
        <w:rPr>
          <w:lang w:val="en-GB"/>
        </w:rPr>
        <w:t>w</w:t>
      </w:r>
      <w:r w:rsidRPr="0033566A">
        <w:rPr>
          <w:lang w:val="en-GB"/>
        </w:rPr>
        <w:t xml:space="preserve">ater </w:t>
      </w:r>
      <w:r w:rsidR="0037035F">
        <w:rPr>
          <w:lang w:val="en-GB"/>
        </w:rPr>
        <w:t>and</w:t>
      </w:r>
      <w:r w:rsidRPr="0033566A">
        <w:rPr>
          <w:lang w:val="en-GB"/>
        </w:rPr>
        <w:t xml:space="preserve"> </w:t>
      </w:r>
      <w:r w:rsidR="0037035F">
        <w:rPr>
          <w:lang w:val="en-GB"/>
        </w:rPr>
        <w:t>c</w:t>
      </w:r>
      <w:r w:rsidRPr="0033566A">
        <w:rPr>
          <w:lang w:val="en-GB"/>
        </w:rPr>
        <w:t xml:space="preserve">limate </w:t>
      </w:r>
      <w:r w:rsidR="0037035F">
        <w:rPr>
          <w:lang w:val="en-GB"/>
        </w:rPr>
        <w:t>c</w:t>
      </w:r>
      <w:r w:rsidRPr="0033566A">
        <w:rPr>
          <w:lang w:val="en-GB"/>
        </w:rPr>
        <w:t>hange</w:t>
      </w:r>
      <w:bookmarkEnd w:id="97"/>
      <w:bookmarkEnd w:id="98"/>
      <w:bookmarkEnd w:id="99"/>
      <w:bookmarkEnd w:id="100"/>
      <w:bookmarkEnd w:id="101"/>
      <w:bookmarkEnd w:id="102"/>
      <w:bookmarkEnd w:id="103"/>
    </w:p>
    <w:p w14:paraId="60C73EB5" w14:textId="77777777" w:rsidR="0033566A" w:rsidRPr="00B60676" w:rsidRDefault="0033566A" w:rsidP="00B60676">
      <w:pPr>
        <w:jc w:val="both"/>
        <w:rPr>
          <w:b/>
          <w:bCs/>
          <w:lang w:val="en-US"/>
        </w:rPr>
      </w:pPr>
      <w:r w:rsidRPr="00B60676">
        <w:rPr>
          <w:b/>
          <w:bCs/>
          <w:lang w:val="en-US"/>
        </w:rPr>
        <w:t>Create a sustainable low carbon and climate resilient county</w:t>
      </w:r>
    </w:p>
    <w:p w14:paraId="56BD8E94" w14:textId="2A6F41BB" w:rsidR="0033566A" w:rsidRPr="0033566A" w:rsidRDefault="0033566A" w:rsidP="00B60676">
      <w:pPr>
        <w:jc w:val="both"/>
        <w:rPr>
          <w:lang w:val="en-US"/>
        </w:rPr>
      </w:pPr>
      <w:r w:rsidRPr="0033566A">
        <w:rPr>
          <w:lang w:val="en-US"/>
        </w:rPr>
        <w:t xml:space="preserve">A new Climate Action Plan (CAP) for 2024-2029 was approved in February, setting out the mitigation, adaptation, and other climate action measures to create a low carbon and climate resilient county. The continuing energy crisis and climate related weather events have further </w:t>
      </w:r>
      <w:r w:rsidR="00BE4EDC" w:rsidRPr="0033566A">
        <w:rPr>
          <w:lang w:val="en-US"/>
        </w:rPr>
        <w:t>emphasized</w:t>
      </w:r>
      <w:r w:rsidRPr="0033566A">
        <w:rPr>
          <w:lang w:val="en-US"/>
        </w:rPr>
        <w:t xml:space="preserve"> the importance of the four key targets of our Climate Action Plan and our objectives to improve our energy efficiency, reduce energy waste, and cut greenhouse gas emissions. Focus on the development of resilient systems that consider the potential for future climate change events will build confidence and reliability in our services. This proactive approach combined with citizen engagement and education awareness will empower and encourage communities to act at a local level. The 129 actions in our CAP collectively address four key targets, which are framed by the Climate (Amendment) Act 2021 and the </w:t>
      </w:r>
      <w:proofErr w:type="gramStart"/>
      <w:r w:rsidRPr="0033566A">
        <w:rPr>
          <w:lang w:val="en-US"/>
        </w:rPr>
        <w:t>national</w:t>
      </w:r>
      <w:proofErr w:type="gramEnd"/>
      <w:r w:rsidRPr="0033566A">
        <w:rPr>
          <w:lang w:val="en-US"/>
        </w:rPr>
        <w:t xml:space="preserve"> Climate Action Plan: </w:t>
      </w:r>
    </w:p>
    <w:p w14:paraId="4113A207" w14:textId="77777777" w:rsidR="0033566A" w:rsidRPr="0033566A" w:rsidRDefault="0033566A" w:rsidP="00BA5AA8">
      <w:pPr>
        <w:ind w:left="360"/>
        <w:jc w:val="both"/>
      </w:pPr>
      <w:r w:rsidRPr="0033566A">
        <w:t xml:space="preserve">50% improvement in SDCC’s energy efficiency by 2030. </w:t>
      </w:r>
    </w:p>
    <w:p w14:paraId="293BAD5A" w14:textId="77777777" w:rsidR="0033566A" w:rsidRPr="0033566A" w:rsidRDefault="0033566A" w:rsidP="00BA5AA8">
      <w:pPr>
        <w:ind w:left="360"/>
        <w:jc w:val="both"/>
      </w:pPr>
      <w:r w:rsidRPr="0033566A">
        <w:t xml:space="preserve">51% reduction in SDCC’s greenhouse gas (GHG) emissions by 2030. </w:t>
      </w:r>
    </w:p>
    <w:p w14:paraId="7176221F" w14:textId="77777777" w:rsidR="0033566A" w:rsidRPr="0033566A" w:rsidRDefault="0033566A" w:rsidP="00BA5AA8">
      <w:pPr>
        <w:ind w:left="360"/>
        <w:jc w:val="both"/>
      </w:pPr>
      <w:r w:rsidRPr="0033566A">
        <w:t xml:space="preserve">To make South Dublin a climate resilient region, by reducing impacts of future climate change related events; and </w:t>
      </w:r>
    </w:p>
    <w:p w14:paraId="5C07E397" w14:textId="77777777" w:rsidR="0033566A" w:rsidRPr="0033566A" w:rsidRDefault="0033566A" w:rsidP="00BA5AA8">
      <w:pPr>
        <w:ind w:left="360"/>
        <w:jc w:val="both"/>
      </w:pPr>
      <w:r w:rsidRPr="0033566A">
        <w:t>To actively engage and inform our communities on climate action.</w:t>
      </w:r>
    </w:p>
    <w:p w14:paraId="35B2FA16" w14:textId="77777777" w:rsidR="0033566A" w:rsidRPr="0033566A" w:rsidRDefault="0033566A" w:rsidP="00B60676">
      <w:pPr>
        <w:jc w:val="both"/>
        <w:rPr>
          <w:lang w:val="en-US"/>
        </w:rPr>
      </w:pPr>
      <w:r w:rsidRPr="0033566A">
        <w:rPr>
          <w:lang w:val="en-US"/>
        </w:rPr>
        <w:t>In this regard, key highlights from 2024 include:</w:t>
      </w:r>
    </w:p>
    <w:p w14:paraId="2E30FCDA" w14:textId="77777777" w:rsidR="0033566A" w:rsidRPr="0033566A" w:rsidRDefault="0033566A" w:rsidP="00BA5AA8">
      <w:pPr>
        <w:jc w:val="both"/>
      </w:pPr>
      <w:r w:rsidRPr="0033566A">
        <w:t>Estimated improvement in energy efficiency for 2024 is 45.5% since the baseline.</w:t>
      </w:r>
    </w:p>
    <w:p w14:paraId="28610F63" w14:textId="77777777" w:rsidR="0033566A" w:rsidRPr="0033566A" w:rsidRDefault="0033566A" w:rsidP="00BA5AA8">
      <w:pPr>
        <w:jc w:val="both"/>
      </w:pPr>
      <w:r w:rsidRPr="0033566A">
        <w:t>Estimated 43% reduction in total GHGE missions (Electricity + Direct) since the baseline.</w:t>
      </w:r>
    </w:p>
    <w:p w14:paraId="2E981ACA" w14:textId="77777777" w:rsidR="0033566A" w:rsidRPr="0033566A" w:rsidRDefault="0033566A" w:rsidP="00BA5AA8">
      <w:pPr>
        <w:jc w:val="both"/>
      </w:pPr>
      <w:r w:rsidRPr="0033566A">
        <w:t>The Clondalkin Decarbonising Zone Implementation Plan commenced with extensive stakeholder engagement activities being held to develop a community vision for the DZ.</w:t>
      </w:r>
    </w:p>
    <w:p w14:paraId="1C487859" w14:textId="77777777" w:rsidR="0033566A" w:rsidRPr="0033566A" w:rsidRDefault="0033566A" w:rsidP="00BA5AA8">
      <w:pPr>
        <w:jc w:val="both"/>
      </w:pPr>
      <w:r w:rsidRPr="0033566A">
        <w:t>The Community Climate Action Fund supported a portfolio of 28 projects with total funding of over €1.1million for local community climate action projects while 12 Sustainable Energy Communities have been supported to work closely with the local SEC Mentor.</w:t>
      </w:r>
    </w:p>
    <w:p w14:paraId="233DB451" w14:textId="77777777" w:rsidR="0033566A" w:rsidRPr="0033566A" w:rsidRDefault="0033566A" w:rsidP="00BA5AA8">
      <w:pPr>
        <w:jc w:val="both"/>
      </w:pPr>
      <w:r w:rsidRPr="0033566A">
        <w:t xml:space="preserve">Planning approval was obtained for the development of a 200kW Solar Photo Voltaic plant to provide renewable energy for onsite operations at </w:t>
      </w:r>
      <w:proofErr w:type="spellStart"/>
      <w:r w:rsidRPr="0033566A">
        <w:t>Arthurstown</w:t>
      </w:r>
      <w:proofErr w:type="spellEnd"/>
      <w:r w:rsidRPr="0033566A">
        <w:t xml:space="preserve"> Landfill with a feasibility study for the installation of a larger 20 MW solar PV plant also underway.</w:t>
      </w:r>
    </w:p>
    <w:p w14:paraId="113B53EE" w14:textId="77777777" w:rsidR="0033566A" w:rsidRPr="0033566A" w:rsidRDefault="0033566A" w:rsidP="00BA5AA8">
      <w:pPr>
        <w:jc w:val="both"/>
      </w:pPr>
      <w:proofErr w:type="spellStart"/>
      <w:r w:rsidRPr="0033566A">
        <w:t>ePower</w:t>
      </w:r>
      <w:proofErr w:type="spellEnd"/>
      <w:r w:rsidRPr="0033566A">
        <w:t xml:space="preserve"> have been contracted to provide public EV infrastructure charging stations at initial 14 locations </w:t>
      </w:r>
    </w:p>
    <w:p w14:paraId="2C0F9666" w14:textId="77777777" w:rsidR="0033566A" w:rsidRPr="0033566A" w:rsidRDefault="0033566A" w:rsidP="00BA5AA8">
      <w:pPr>
        <w:jc w:val="both"/>
      </w:pPr>
      <w:r w:rsidRPr="0033566A">
        <w:t>A new fleet management system has been introduced, Hydrotreated Vegetable Oil (HVO), a renewable diesel fuel derived from plant-based oils, fats, or greases, replaced diesel in 21 vehicles and a further three electric vehicles were added to our fleet.</w:t>
      </w:r>
    </w:p>
    <w:p w14:paraId="6D097EB9" w14:textId="77777777" w:rsidR="0033566A" w:rsidRPr="0033566A" w:rsidRDefault="0033566A" w:rsidP="00BA5AA8">
      <w:pPr>
        <w:jc w:val="both"/>
      </w:pPr>
      <w:r w:rsidRPr="0033566A">
        <w:lastRenderedPageBreak/>
        <w:t>We achieved the NTA’s Silver Smarter Travel Mark, demonstrating a commitment to changing attitudes and behaviours on walking, cycling and public transport usage and continued to facilitate public transport routes, in partnership with the NTA and others.</w:t>
      </w:r>
    </w:p>
    <w:p w14:paraId="204F7DD7" w14:textId="77777777" w:rsidR="0033566A" w:rsidRPr="0033566A" w:rsidRDefault="0033566A" w:rsidP="00BA5AA8">
      <w:pPr>
        <w:jc w:val="both"/>
      </w:pPr>
      <w:r w:rsidRPr="0033566A">
        <w:t>We continued our progress towards ISO 50001 Energy Management accreditation by developing an energy management system to improve our energy use, and procurement is advancing for energy performance contracts for large council-owned buildings (County Hall/County Library, Civic Theatre, Clondalkin Civic Offices, Tallaght and Clondalkin Leisure Centres).</w:t>
      </w:r>
    </w:p>
    <w:p w14:paraId="249B53AF" w14:textId="77777777" w:rsidR="0033566A" w:rsidRPr="0033566A" w:rsidRDefault="0033566A" w:rsidP="00BA5AA8">
      <w:pPr>
        <w:jc w:val="both"/>
      </w:pPr>
      <w:r w:rsidRPr="0033566A">
        <w:t>A Major Emergency Management Plan is in place and is regularly reviewed to deal effectively with the possibility of new risks and threats.</w:t>
      </w:r>
    </w:p>
    <w:p w14:paraId="75E62B5A" w14:textId="77777777" w:rsidR="0033566A" w:rsidRPr="0033566A" w:rsidRDefault="0033566A" w:rsidP="00BA5AA8">
      <w:pPr>
        <w:jc w:val="both"/>
      </w:pPr>
      <w:r w:rsidRPr="0033566A">
        <w:t xml:space="preserve">The Whitechurch River and </w:t>
      </w:r>
      <w:proofErr w:type="spellStart"/>
      <w:r w:rsidRPr="0033566A">
        <w:t>Poddle</w:t>
      </w:r>
      <w:proofErr w:type="spellEnd"/>
      <w:r w:rsidRPr="0033566A">
        <w:t xml:space="preserve"> River Flood Alleviation Schemes are under construction and design is progressing for the Camac Flood Alleviation Scheme. Further flood and general maintenance projects were also undertaken at Newcastle, Rathcoole and </w:t>
      </w:r>
      <w:proofErr w:type="spellStart"/>
      <w:r w:rsidRPr="0033566A">
        <w:t>Saggart</w:t>
      </w:r>
      <w:proofErr w:type="spellEnd"/>
      <w:r w:rsidRPr="0033566A">
        <w:t>.</w:t>
      </w:r>
    </w:p>
    <w:p w14:paraId="1A1A002D" w14:textId="77777777" w:rsidR="0033566A" w:rsidRPr="0033566A" w:rsidRDefault="0033566A" w:rsidP="00BA5AA8">
      <w:pPr>
        <w:jc w:val="both"/>
      </w:pPr>
      <w:r w:rsidRPr="0033566A">
        <w:t xml:space="preserve">Five Integrated Constructed Wetlands (ICWs) were constructed which completes this section of the Dublin Urban Rivers LIFE (DURL) Project. The ICWs are performing well and are thriving with nature. Pollution has been reduced for e. coli </w:t>
      </w:r>
      <w:proofErr w:type="gramStart"/>
      <w:r w:rsidRPr="0033566A">
        <w:t>and also</w:t>
      </w:r>
      <w:proofErr w:type="gramEnd"/>
      <w:r w:rsidRPr="0033566A">
        <w:t xml:space="preserve"> for nutrients such as ammonia and phosphorus.</w:t>
      </w:r>
    </w:p>
    <w:p w14:paraId="72858826" w14:textId="77777777" w:rsidR="0033566A" w:rsidRPr="0033566A" w:rsidRDefault="0033566A" w:rsidP="00BA5AA8">
      <w:pPr>
        <w:jc w:val="both"/>
      </w:pPr>
      <w:r w:rsidRPr="0033566A">
        <w:t>We have continued to support the Green Schools Programme with 22 schools awarded additional green flags.</w:t>
      </w:r>
    </w:p>
    <w:p w14:paraId="07C516CA" w14:textId="77777777" w:rsidR="0033566A" w:rsidRPr="0033566A" w:rsidRDefault="0033566A" w:rsidP="00BA5AA8">
      <w:pPr>
        <w:jc w:val="both"/>
      </w:pPr>
      <w:r w:rsidRPr="0033566A">
        <w:t>30 public drinking water fountains are now installed with eight more at planning stage and, to date, 216,060 litres of water have been dispensed.</w:t>
      </w:r>
    </w:p>
    <w:p w14:paraId="2F07F5F6" w14:textId="77777777" w:rsidR="0033566A" w:rsidRPr="0033566A" w:rsidRDefault="0033566A" w:rsidP="00BA5AA8">
      <w:pPr>
        <w:jc w:val="both"/>
      </w:pPr>
      <w:r w:rsidRPr="0033566A">
        <w:t>Tallaght District Heating Scheme (TDHS) delivered low carbon heat to current customers and new connections were established for Work IQ and 133 cost rental apartments at Innovation Square.  The scheme will reduce CO2 emissions by 1,500 tons once the first phase is at full operation.  An additional connection to TUD Tallaght Catering College will be completed in Q1 2025 and works were ongoing to expand the network to Cookstown with pipework laid in the Airton Road extension to futureproof connections in this important growth area.  TDHS has been selected for EU Rodeo funding during 2024 to assist the next phase of expansion.</w:t>
      </w:r>
    </w:p>
    <w:p w14:paraId="732CD4EB" w14:textId="77777777" w:rsidR="0033566A" w:rsidRPr="00B60676" w:rsidRDefault="0033566A" w:rsidP="00B60676">
      <w:pPr>
        <w:jc w:val="both"/>
        <w:rPr>
          <w:b/>
          <w:bCs/>
          <w:lang w:val="en-US"/>
        </w:rPr>
      </w:pPr>
      <w:r w:rsidRPr="00B60676">
        <w:rPr>
          <w:b/>
          <w:bCs/>
          <w:lang w:val="en-US"/>
        </w:rPr>
        <w:t xml:space="preserve">Improve the aesthetic appearance of our </w:t>
      </w:r>
      <w:proofErr w:type="gramStart"/>
      <w:r w:rsidRPr="00B60676">
        <w:rPr>
          <w:b/>
          <w:bCs/>
          <w:lang w:val="en-US"/>
        </w:rPr>
        <w:t>county</w:t>
      </w:r>
      <w:proofErr w:type="gramEnd"/>
      <w:r w:rsidRPr="00B60676">
        <w:rPr>
          <w:b/>
          <w:bCs/>
          <w:lang w:val="en-US"/>
        </w:rPr>
        <w:t xml:space="preserve"> for economic and social development</w:t>
      </w:r>
    </w:p>
    <w:p w14:paraId="19F12B77" w14:textId="35E0A9ED" w:rsidR="0033566A" w:rsidRPr="0033566A" w:rsidRDefault="0033566A" w:rsidP="00BA5AA8">
      <w:pPr>
        <w:jc w:val="both"/>
      </w:pPr>
      <w:r w:rsidRPr="00BA5AA8">
        <w:rPr>
          <w:lang w:val="en-US"/>
        </w:rPr>
        <w:t xml:space="preserve">We </w:t>
      </w:r>
      <w:r w:rsidR="005B432B" w:rsidRPr="0033566A">
        <w:t>continued</w:t>
      </w:r>
      <w:r w:rsidRPr="0033566A">
        <w:t xml:space="preserve"> implementation of the actions in our Litter Management Plan 2023 – 2025.</w:t>
      </w:r>
    </w:p>
    <w:p w14:paraId="541D43E1" w14:textId="77777777" w:rsidR="0033566A" w:rsidRPr="0033566A" w:rsidRDefault="0033566A" w:rsidP="00BA5AA8">
      <w:pPr>
        <w:jc w:val="both"/>
      </w:pPr>
      <w:r w:rsidRPr="0033566A">
        <w:t xml:space="preserve">Under our Street Cleaning Programme, 11,162 kilometres of roads were </w:t>
      </w:r>
      <w:proofErr w:type="gramStart"/>
      <w:r w:rsidRPr="0033566A">
        <w:t>cleaned</w:t>
      </w:r>
      <w:proofErr w:type="gramEnd"/>
      <w:r w:rsidRPr="0033566A">
        <w:t xml:space="preserve"> and 11,034 tonnes of waste were collected.  The scope of the road sweeping programme was extended to include cleaning of back lanes and sweeping of segregated cycle tracks.</w:t>
      </w:r>
    </w:p>
    <w:p w14:paraId="01C1EBCE" w14:textId="77777777" w:rsidR="0033566A" w:rsidRPr="0033566A" w:rsidRDefault="0033566A" w:rsidP="00BA5AA8">
      <w:pPr>
        <w:jc w:val="both"/>
      </w:pPr>
      <w:r w:rsidRPr="0033566A">
        <w:t>62 projects were completed under our public realm improvement works programme.</w:t>
      </w:r>
    </w:p>
    <w:p w14:paraId="077FE1E1" w14:textId="77777777" w:rsidR="0033566A" w:rsidRPr="0033566A" w:rsidRDefault="0033566A" w:rsidP="00BA5AA8">
      <w:pPr>
        <w:jc w:val="both"/>
      </w:pPr>
      <w:r w:rsidRPr="0033566A">
        <w:lastRenderedPageBreak/>
        <w:t>Consultants have been appointed to progress designs for the road realignment of the next phase of the N81 and the junctions therein (N81 Tallaght Central Strategy) with landscape improvements to be incorporated into delivery of the road realignment.</w:t>
      </w:r>
    </w:p>
    <w:p w14:paraId="50093661" w14:textId="77777777" w:rsidR="0033566A" w:rsidRPr="0033566A" w:rsidRDefault="0033566A" w:rsidP="00BA5AA8">
      <w:pPr>
        <w:jc w:val="both"/>
      </w:pPr>
      <w:r w:rsidRPr="0033566A">
        <w:t>The current three-year Tree Maintenance Programme has seen 9,475 trees surveyed, 10,927 trees pruned, 1,144 trees and 625 stumps removed, and 3,651 trees planted.</w:t>
      </w:r>
    </w:p>
    <w:p w14:paraId="0C77F635" w14:textId="77777777" w:rsidR="0033566A" w:rsidRPr="0033566A" w:rsidRDefault="0033566A" w:rsidP="00BA5AA8">
      <w:pPr>
        <w:jc w:val="both"/>
      </w:pPr>
      <w:r w:rsidRPr="0033566A">
        <w:t xml:space="preserve">Nine Tidy Towns groups were supported through three rounds of grant </w:t>
      </w:r>
      <w:proofErr w:type="gramStart"/>
      <w:r w:rsidRPr="0033566A">
        <w:t>funding</w:t>
      </w:r>
      <w:proofErr w:type="gramEnd"/>
      <w:r w:rsidRPr="0033566A">
        <w:t xml:space="preserve"> and the PURE (Protecting Uplands and Rural Environments) project was also supported.  Tidy Towns groups, residents’ associations and other volunteers organised regular local clean-ups with an estimated 5,700 clean-ups occurring, while Halloween saw 400 bags of bulbs and 175 Civic Amenity passes issued.</w:t>
      </w:r>
    </w:p>
    <w:p w14:paraId="712D04AD" w14:textId="77777777" w:rsidR="0033566A" w:rsidRPr="0033566A" w:rsidRDefault="0033566A" w:rsidP="00BA5AA8">
      <w:pPr>
        <w:jc w:val="both"/>
      </w:pPr>
      <w:r w:rsidRPr="0033566A">
        <w:t xml:space="preserve">The Environmental Education Programme included 480 climate/environmental awareness sessions and delivered a range of schools’ programmes such as Eco Week Composting for Schools, </w:t>
      </w:r>
      <w:proofErr w:type="spellStart"/>
      <w:r w:rsidRPr="0033566A">
        <w:t>Relove</w:t>
      </w:r>
      <w:proofErr w:type="spellEnd"/>
      <w:r w:rsidRPr="0033566A">
        <w:t xml:space="preserve"> Fashion and competitions.  The Social Credits Scheme helped deliver 47 new clean-ups, 19 new minor landscaping projects and 21 new paint enhancement projects.</w:t>
      </w:r>
    </w:p>
    <w:p w14:paraId="67194E3E" w14:textId="77777777" w:rsidR="0033566A" w:rsidRPr="0033566A" w:rsidRDefault="0033566A" w:rsidP="00BA5AA8">
      <w:pPr>
        <w:jc w:val="both"/>
      </w:pPr>
      <w:r w:rsidRPr="0033566A">
        <w:t>The Burial Grounds Programme provided for 600 new plots added to Bohernabreena and a contract has been entered into for development of a Columbarium Wall in Esker Cemetery.</w:t>
      </w:r>
    </w:p>
    <w:p w14:paraId="10118687" w14:textId="77777777" w:rsidR="0033566A" w:rsidRPr="00B60676" w:rsidRDefault="0033566A" w:rsidP="00B60676">
      <w:pPr>
        <w:jc w:val="both"/>
        <w:rPr>
          <w:b/>
          <w:bCs/>
          <w:lang w:val="en-US"/>
        </w:rPr>
      </w:pPr>
      <w:r w:rsidRPr="00B60676">
        <w:rPr>
          <w:b/>
          <w:bCs/>
          <w:lang w:val="en-US"/>
        </w:rPr>
        <w:t xml:space="preserve">Support a green infrastructure network across the county to provide shared space for </w:t>
      </w:r>
      <w:proofErr w:type="gramStart"/>
      <w:r w:rsidRPr="00B60676">
        <w:rPr>
          <w:b/>
          <w:bCs/>
          <w:lang w:val="en-US"/>
        </w:rPr>
        <w:t>amenity</w:t>
      </w:r>
      <w:proofErr w:type="gramEnd"/>
      <w:r w:rsidRPr="00B60676">
        <w:rPr>
          <w:b/>
          <w:bCs/>
          <w:lang w:val="en-US"/>
        </w:rPr>
        <w:t>, recreation, biodiversity protection, flood management and adaptation to climate change</w:t>
      </w:r>
    </w:p>
    <w:p w14:paraId="0B62A5F7" w14:textId="77777777" w:rsidR="0033566A" w:rsidRPr="0033566A" w:rsidRDefault="0033566A" w:rsidP="00B60676">
      <w:pPr>
        <w:jc w:val="both"/>
        <w:rPr>
          <w:lang w:val="en-US"/>
        </w:rPr>
      </w:pPr>
      <w:r w:rsidRPr="0033566A">
        <w:rPr>
          <w:lang w:val="en-US"/>
        </w:rPr>
        <w:t>Our Green Infrastructure Strategy continues to be implemented through the County Development Plan and the Biodiversity Plan. Related actions include the delivery of Sustainable Urban Drainage Solutions (</w:t>
      </w:r>
      <w:proofErr w:type="spellStart"/>
      <w:r w:rsidRPr="0033566A">
        <w:rPr>
          <w:lang w:val="en-US"/>
        </w:rPr>
        <w:t>SuDs</w:t>
      </w:r>
      <w:proofErr w:type="spellEnd"/>
      <w:r w:rsidRPr="0033566A">
        <w:rPr>
          <w:lang w:val="en-US"/>
        </w:rPr>
        <w:t xml:space="preserve">), the Tree Maintenance, Meadowlands and Mini Woodlands </w:t>
      </w:r>
      <w:proofErr w:type="spellStart"/>
      <w:r w:rsidRPr="0033566A">
        <w:rPr>
          <w:lang w:val="en-US"/>
        </w:rPr>
        <w:t>Programmes</w:t>
      </w:r>
      <w:proofErr w:type="spellEnd"/>
      <w:r w:rsidRPr="0033566A">
        <w:rPr>
          <w:lang w:val="en-US"/>
        </w:rPr>
        <w:t xml:space="preserve"> and implementation of ICWs.</w:t>
      </w:r>
    </w:p>
    <w:p w14:paraId="62859BB1" w14:textId="77777777" w:rsidR="0033566A" w:rsidRPr="0033566A" w:rsidRDefault="0033566A" w:rsidP="00B60676">
      <w:pPr>
        <w:jc w:val="both"/>
        <w:rPr>
          <w:lang w:val="en-US"/>
        </w:rPr>
      </w:pPr>
      <w:r w:rsidRPr="0033566A">
        <w:rPr>
          <w:lang w:val="en-US"/>
        </w:rPr>
        <w:t xml:space="preserve">Delivery of the public realm capital </w:t>
      </w:r>
      <w:proofErr w:type="spellStart"/>
      <w:r w:rsidRPr="0033566A">
        <w:rPr>
          <w:lang w:val="en-US"/>
        </w:rPr>
        <w:t>programme</w:t>
      </w:r>
      <w:proofErr w:type="spellEnd"/>
      <w:r w:rsidRPr="0033566A">
        <w:rPr>
          <w:lang w:val="en-US"/>
        </w:rPr>
        <w:t xml:space="preserve"> progressed with </w:t>
      </w:r>
      <w:proofErr w:type="gramStart"/>
      <w:r w:rsidRPr="0033566A">
        <w:rPr>
          <w:lang w:val="en-US"/>
        </w:rPr>
        <w:t>development</w:t>
      </w:r>
      <w:proofErr w:type="gramEnd"/>
      <w:r w:rsidRPr="0033566A">
        <w:rPr>
          <w:lang w:val="en-US"/>
        </w:rPr>
        <w:t xml:space="preserve"> of additional parks, recreational and sporting facilities including:</w:t>
      </w:r>
    </w:p>
    <w:p w14:paraId="3AB2C086" w14:textId="77777777" w:rsidR="0033566A" w:rsidRPr="00BA5AA8" w:rsidRDefault="0033566A" w:rsidP="00BA5AA8">
      <w:pPr>
        <w:jc w:val="both"/>
        <w:rPr>
          <w:lang w:val="en-US"/>
        </w:rPr>
      </w:pPr>
      <w:r w:rsidRPr="00BA5AA8">
        <w:rPr>
          <w:lang w:val="en-US"/>
        </w:rPr>
        <w:t xml:space="preserve">Completion of the extensive upgrade of Killinarden Park, including park re-design and new recreational facilities to complement the existing and newly upgraded sports pitches, and major improvement works to </w:t>
      </w:r>
      <w:proofErr w:type="spellStart"/>
      <w:r w:rsidRPr="00BA5AA8">
        <w:rPr>
          <w:lang w:val="en-US"/>
        </w:rPr>
        <w:t>Jobstown</w:t>
      </w:r>
      <w:proofErr w:type="spellEnd"/>
      <w:r w:rsidRPr="00BA5AA8">
        <w:rPr>
          <w:lang w:val="en-US"/>
        </w:rPr>
        <w:t xml:space="preserve"> Park including new park entrances, a teen space, an outdoor workout area, a pump track, a natural playground, a dog park, a footpath exercise loop, a cycle link, and landscaping with biodiversity enhancements, including the planting of 300 mature trees. </w:t>
      </w:r>
    </w:p>
    <w:p w14:paraId="7690ABBE" w14:textId="77777777" w:rsidR="0033566A" w:rsidRPr="0033566A" w:rsidRDefault="0033566A" w:rsidP="00BA5AA8">
      <w:pPr>
        <w:jc w:val="both"/>
      </w:pPr>
      <w:r w:rsidRPr="0033566A">
        <w:t xml:space="preserve">Upgrade of Whitestown Stream Park with new entrances, a play-exercise trail, a footpath loop, a cycle link, bridges, planting, signage, seating, a kick-around area, and biodiversity spaces, </w:t>
      </w:r>
      <w:proofErr w:type="spellStart"/>
      <w:r w:rsidRPr="0033566A">
        <w:t>Greentrees</w:t>
      </w:r>
      <w:proofErr w:type="spellEnd"/>
      <w:r w:rsidRPr="0033566A">
        <w:t xml:space="preserve"> Park with a new footpath exercise loop, the planting of  mature trees, park benches, bulb planting, and enhanced pedestrian entrances, and Ely Arch green space which involved improvements to landscape boundaries, paving, steps providing access to the Arch and green space, a </w:t>
      </w:r>
      <w:proofErr w:type="spellStart"/>
      <w:r w:rsidRPr="0033566A">
        <w:t>Ballylusk</w:t>
      </w:r>
      <w:proofErr w:type="spellEnd"/>
      <w:r w:rsidRPr="0033566A">
        <w:t xml:space="preserve"> courtyard, tree planting, and passive recreation opportunities.</w:t>
      </w:r>
    </w:p>
    <w:p w14:paraId="27199AC6" w14:textId="77777777" w:rsidR="0033566A" w:rsidRPr="00BA5AA8" w:rsidRDefault="0033566A" w:rsidP="00BA5AA8">
      <w:pPr>
        <w:jc w:val="both"/>
        <w:rPr>
          <w:lang w:val="en-US"/>
        </w:rPr>
      </w:pPr>
      <w:r w:rsidRPr="00BA5AA8">
        <w:rPr>
          <w:lang w:val="en-US"/>
        </w:rPr>
        <w:lastRenderedPageBreak/>
        <w:t xml:space="preserve">Ongoing </w:t>
      </w:r>
      <w:proofErr w:type="spellStart"/>
      <w:r w:rsidRPr="00BA5AA8">
        <w:rPr>
          <w:lang w:val="en-US"/>
        </w:rPr>
        <w:t>Corkagh</w:t>
      </w:r>
      <w:proofErr w:type="spellEnd"/>
      <w:r w:rsidRPr="00BA5AA8">
        <w:rPr>
          <w:lang w:val="en-US"/>
        </w:rPr>
        <w:t xml:space="preserve"> Park upgrade works, including the hub area, fairy woodland trail, car parks upgrades and expansion and new way finding and signage.</w:t>
      </w:r>
    </w:p>
    <w:p w14:paraId="1C53766C" w14:textId="77777777" w:rsidR="0033566A" w:rsidRPr="00BA5AA8" w:rsidRDefault="0033566A" w:rsidP="00BA5AA8">
      <w:pPr>
        <w:jc w:val="both"/>
        <w:rPr>
          <w:lang w:val="en-US"/>
        </w:rPr>
      </w:pPr>
      <w:r w:rsidRPr="00BA5AA8">
        <w:rPr>
          <w:lang w:val="en-US"/>
        </w:rPr>
        <w:t xml:space="preserve">Construction works continuing for Tymon Park’s new Intergenerational Centre while the upgrades to </w:t>
      </w:r>
      <w:proofErr w:type="spellStart"/>
      <w:r w:rsidRPr="00BA5AA8">
        <w:rPr>
          <w:lang w:val="en-US"/>
        </w:rPr>
        <w:t>Quarryvale</w:t>
      </w:r>
      <w:proofErr w:type="spellEnd"/>
      <w:r w:rsidRPr="00BA5AA8">
        <w:rPr>
          <w:lang w:val="en-US"/>
        </w:rPr>
        <w:t xml:space="preserve"> Park and St. Cuthbert’s Park also significantly progressed and works commenced on the provision of new facilities at </w:t>
      </w:r>
      <w:proofErr w:type="spellStart"/>
      <w:r w:rsidRPr="00BA5AA8">
        <w:rPr>
          <w:lang w:val="en-US"/>
        </w:rPr>
        <w:t>Kiltipper</w:t>
      </w:r>
      <w:proofErr w:type="spellEnd"/>
      <w:r w:rsidRPr="00BA5AA8">
        <w:rPr>
          <w:lang w:val="en-US"/>
        </w:rPr>
        <w:t xml:space="preserve"> Park in October.</w:t>
      </w:r>
    </w:p>
    <w:p w14:paraId="48F2D491" w14:textId="77777777" w:rsidR="0033566A" w:rsidRPr="00BA5AA8" w:rsidRDefault="0033566A" w:rsidP="00BA5AA8">
      <w:pPr>
        <w:jc w:val="both"/>
        <w:rPr>
          <w:lang w:val="en-US"/>
        </w:rPr>
      </w:pPr>
      <w:r w:rsidRPr="00BA5AA8">
        <w:rPr>
          <w:lang w:val="en-US"/>
        </w:rPr>
        <w:t xml:space="preserve">The Pavillion </w:t>
      </w:r>
      <w:proofErr w:type="spellStart"/>
      <w:r w:rsidRPr="00BA5AA8">
        <w:rPr>
          <w:lang w:val="en-US"/>
        </w:rPr>
        <w:t>Programme</w:t>
      </w:r>
      <w:proofErr w:type="spellEnd"/>
      <w:r w:rsidRPr="00BA5AA8">
        <w:rPr>
          <w:lang w:val="en-US"/>
        </w:rPr>
        <w:t xml:space="preserve"> progressed through planning to tender stage and pitch improvement works continued with pitch upgrades in </w:t>
      </w:r>
      <w:proofErr w:type="spellStart"/>
      <w:r w:rsidRPr="00BA5AA8">
        <w:rPr>
          <w:lang w:val="en-US"/>
        </w:rPr>
        <w:t>Glenaulin</w:t>
      </w:r>
      <w:proofErr w:type="spellEnd"/>
      <w:r w:rsidRPr="00BA5AA8">
        <w:rPr>
          <w:lang w:val="en-US"/>
        </w:rPr>
        <w:t xml:space="preserve"> and </w:t>
      </w:r>
      <w:proofErr w:type="spellStart"/>
      <w:r w:rsidRPr="00BA5AA8">
        <w:rPr>
          <w:lang w:val="en-US"/>
        </w:rPr>
        <w:t>Griffeen</w:t>
      </w:r>
      <w:proofErr w:type="spellEnd"/>
      <w:r w:rsidRPr="00BA5AA8">
        <w:rPr>
          <w:lang w:val="en-US"/>
        </w:rPr>
        <w:t xml:space="preserve"> Parks underway while work also commenced on an artificial grass pitch at </w:t>
      </w:r>
      <w:proofErr w:type="spellStart"/>
      <w:r w:rsidRPr="00BA5AA8">
        <w:rPr>
          <w:lang w:val="en-US"/>
        </w:rPr>
        <w:t>Knockmitten</w:t>
      </w:r>
      <w:proofErr w:type="spellEnd"/>
      <w:r w:rsidRPr="00BA5AA8">
        <w:rPr>
          <w:lang w:val="en-US"/>
        </w:rPr>
        <w:t>, supported by the Community Recognition Fund.</w:t>
      </w:r>
    </w:p>
    <w:p w14:paraId="26D19585" w14:textId="77777777" w:rsidR="0033566A" w:rsidRPr="00BA5AA8" w:rsidRDefault="0033566A" w:rsidP="00BA5AA8">
      <w:pPr>
        <w:jc w:val="both"/>
        <w:rPr>
          <w:lang w:val="en-US"/>
        </w:rPr>
      </w:pPr>
      <w:r w:rsidRPr="00BA5AA8">
        <w:rPr>
          <w:lang w:val="en-US"/>
        </w:rPr>
        <w:t>Camac Valley Caravan and Camping Park progressed to public consultation under the Part 8 planning process.</w:t>
      </w:r>
    </w:p>
    <w:p w14:paraId="5161D6CC" w14:textId="77777777" w:rsidR="0033566A" w:rsidRPr="0033566A" w:rsidRDefault="0033566A" w:rsidP="00BA5AA8">
      <w:pPr>
        <w:jc w:val="both"/>
      </w:pPr>
      <w:proofErr w:type="spellStart"/>
      <w:r w:rsidRPr="0033566A">
        <w:t>Kiltalown</w:t>
      </w:r>
      <w:proofErr w:type="spellEnd"/>
      <w:r w:rsidRPr="0033566A">
        <w:t xml:space="preserve"> Park playground was completed, a boules pétanque court was installed in Tymon Park and a sensory sculpture walk was delivered in Rathfarnham Castle Park.</w:t>
      </w:r>
    </w:p>
    <w:p w14:paraId="317A34E4" w14:textId="77777777" w:rsidR="0033566A" w:rsidRPr="0033566A" w:rsidRDefault="0033566A" w:rsidP="00BA5AA8">
      <w:pPr>
        <w:jc w:val="both"/>
      </w:pPr>
      <w:r w:rsidRPr="0033566A">
        <w:t>Actions under the Biodiversity Action Plan continued in rural and urban areas through our Pollinator Plan, Green Infrastructure Strategy, Mini Woodlands and Tree Management Programmes.  The area of long and short flowering meadows was expanded to 195 hectares under the Pollinator Action Plan.  Tree canopy coverage was increased through the planting of 3,651 trees and five mini woodlands. (Since 2020, the Mini-Woodlands Programme has seen around 26,975 trees planted in our parks, improving biodiversity and creating wildlife corridors in urban green spaces.)</w:t>
      </w:r>
    </w:p>
    <w:p w14:paraId="384BCE12" w14:textId="77777777" w:rsidR="0033566A" w:rsidRPr="0033566A" w:rsidRDefault="0033566A" w:rsidP="00BA5AA8">
      <w:pPr>
        <w:jc w:val="both"/>
      </w:pPr>
      <w:r w:rsidRPr="0033566A">
        <w:t>446 allotments were managed with 30 new allotments under development at Graydon Park in Newcastle.</w:t>
      </w:r>
    </w:p>
    <w:p w14:paraId="1724A2F4" w14:textId="77777777" w:rsidR="0033566A" w:rsidRPr="00B60676" w:rsidRDefault="0033566A" w:rsidP="00B60676">
      <w:pPr>
        <w:jc w:val="both"/>
        <w:rPr>
          <w:b/>
          <w:bCs/>
          <w:lang w:val="en-US"/>
        </w:rPr>
      </w:pPr>
      <w:r w:rsidRPr="00B60676">
        <w:rPr>
          <w:b/>
          <w:bCs/>
          <w:lang w:val="en-US"/>
        </w:rPr>
        <w:t>Manage regulatory, licensing and enforcement requirements, including service level agreements</w:t>
      </w:r>
    </w:p>
    <w:p w14:paraId="738C26F5" w14:textId="77777777" w:rsidR="0033566A" w:rsidRPr="0033566A" w:rsidRDefault="0033566A" w:rsidP="00B60676">
      <w:pPr>
        <w:jc w:val="both"/>
        <w:rPr>
          <w:lang w:val="en-US"/>
        </w:rPr>
      </w:pPr>
      <w:r w:rsidRPr="0033566A">
        <w:rPr>
          <w:lang w:val="en-US"/>
        </w:rPr>
        <w:t>Progress was made through proactive litter and waste enforcement services for higher cleanliness standards:</w:t>
      </w:r>
    </w:p>
    <w:p w14:paraId="62BF674F" w14:textId="77777777" w:rsidR="0033566A" w:rsidRPr="0033566A" w:rsidRDefault="0033566A" w:rsidP="00BA5AA8">
      <w:pPr>
        <w:jc w:val="both"/>
      </w:pPr>
      <w:r w:rsidRPr="0033566A">
        <w:t>11,632 inspections were carried out under our 2024 Annual Recommended Minimum Criteria for Environmental Inspections (RMCEI) Plan.</w:t>
      </w:r>
    </w:p>
    <w:p w14:paraId="63EB2786" w14:textId="77777777" w:rsidR="0033566A" w:rsidRPr="0033566A" w:rsidRDefault="0033566A" w:rsidP="00BA5AA8">
      <w:pPr>
        <w:jc w:val="both"/>
      </w:pPr>
      <w:r w:rsidRPr="0033566A">
        <w:t>1,225 litter patrols and 2,286 non-routine waste inspections were carried out, with 347 litter fines issued and 17 court appearances, and 98 inspections were carried out on waste permitted sites.</w:t>
      </w:r>
    </w:p>
    <w:p w14:paraId="4F583A1D" w14:textId="77777777" w:rsidR="0033566A" w:rsidRPr="0033566A" w:rsidRDefault="0033566A" w:rsidP="00BA5AA8">
      <w:pPr>
        <w:jc w:val="both"/>
      </w:pPr>
      <w:r w:rsidRPr="0033566A">
        <w:t>611 tonnes of waste was collected from street bins along with 4,724 tonnes of waste from illegal dumping.</w:t>
      </w:r>
    </w:p>
    <w:p w14:paraId="06BA3CBC" w14:textId="77777777" w:rsidR="0033566A" w:rsidRPr="0033566A" w:rsidRDefault="0033566A" w:rsidP="00BA5AA8">
      <w:pPr>
        <w:jc w:val="both"/>
      </w:pPr>
      <w:r w:rsidRPr="0033566A">
        <w:t>The new Code of Practice for the operation of CCTV/Use of Mobile Recording was implemented with new protocols developed for deployment.</w:t>
      </w:r>
    </w:p>
    <w:p w14:paraId="31B8B5BD" w14:textId="77777777" w:rsidR="0033566A" w:rsidRPr="0033566A" w:rsidRDefault="0033566A" w:rsidP="00BA5AA8">
      <w:pPr>
        <w:jc w:val="both"/>
      </w:pPr>
      <w:r w:rsidRPr="0033566A">
        <w:lastRenderedPageBreak/>
        <w:t>Anti-dumping initiatives included a mattress amnesty which diverted a record 1,341 mattresses from the waste stream to be recycled and collection of over 8.5 tons of hazardous household liquids.</w:t>
      </w:r>
    </w:p>
    <w:p w14:paraId="1620EB67" w14:textId="77777777" w:rsidR="0033566A" w:rsidRPr="0033566A" w:rsidRDefault="0033566A" w:rsidP="00BA5AA8">
      <w:pPr>
        <w:jc w:val="both"/>
      </w:pPr>
      <w:r w:rsidRPr="0033566A">
        <w:t>National enforcement priorities included household and commercial waste, producer responsibility initiatives, end of life vehicles and metals, construction and demolition waste and tackling illegal waste operators.</w:t>
      </w:r>
    </w:p>
    <w:p w14:paraId="07F39CCC" w14:textId="77777777" w:rsidR="0033566A" w:rsidRPr="0033566A" w:rsidRDefault="0033566A" w:rsidP="00BA5AA8">
      <w:pPr>
        <w:jc w:val="both"/>
      </w:pPr>
      <w:r w:rsidRPr="0033566A">
        <w:t xml:space="preserve">171 Derelict Site investigations were carried out and four houses at St. </w:t>
      </w:r>
      <w:proofErr w:type="spellStart"/>
      <w:r w:rsidRPr="0033566A">
        <w:t>Maelruan’s</w:t>
      </w:r>
      <w:proofErr w:type="spellEnd"/>
      <w:r w:rsidRPr="0033566A">
        <w:t xml:space="preserve"> were vested in April.</w:t>
      </w:r>
    </w:p>
    <w:p w14:paraId="27D2F170" w14:textId="77777777" w:rsidR="0033566A" w:rsidRPr="0033566A" w:rsidRDefault="0033566A" w:rsidP="00BA5AA8">
      <w:pPr>
        <w:jc w:val="both"/>
      </w:pPr>
      <w:r w:rsidRPr="0033566A">
        <w:t>In managing and monitoring compliance with Control of Horses and Control of Dogs legislation, 36 horses were seized, and 441 dogs entered the shelter.  On 1 October 2024, it became illegal to import, breed, rehome or resell XL Bully dogs. 24 applications have been received to date with 19 certificates of exemption issued</w:t>
      </w:r>
      <w:r w:rsidRPr="00BA5AA8">
        <w:rPr>
          <w:i/>
          <w:iCs/>
        </w:rPr>
        <w:t xml:space="preserve">. </w:t>
      </w:r>
    </w:p>
    <w:p w14:paraId="6285196C" w14:textId="77777777" w:rsidR="0033566A" w:rsidRPr="0033566A" w:rsidRDefault="0033566A" w:rsidP="00BA5AA8">
      <w:pPr>
        <w:jc w:val="both"/>
      </w:pPr>
      <w:r w:rsidRPr="0033566A">
        <w:t>We continued to implement the SLA agreement with the Food Safety Authority.</w:t>
      </w:r>
    </w:p>
    <w:p w14:paraId="272D25DE" w14:textId="77777777" w:rsidR="0033566A" w:rsidRPr="0033566A" w:rsidRDefault="0033566A" w:rsidP="00BA5AA8">
      <w:pPr>
        <w:jc w:val="both"/>
      </w:pPr>
      <w:r w:rsidRPr="0033566A">
        <w:t xml:space="preserve">Annual service plan actions in water and wastewater services were delivered under the new Master Cooperation Agreement and Support Service Agreement with </w:t>
      </w:r>
      <w:proofErr w:type="spellStart"/>
      <w:r w:rsidRPr="0033566A">
        <w:t>Uisce</w:t>
      </w:r>
      <w:proofErr w:type="spellEnd"/>
      <w:r w:rsidRPr="0033566A">
        <w:t xml:space="preserve"> Éireann.</w:t>
      </w:r>
    </w:p>
    <w:p w14:paraId="0A128321" w14:textId="77777777" w:rsidR="0033566A" w:rsidRPr="0033566A" w:rsidRDefault="0033566A" w:rsidP="00BA5AA8">
      <w:pPr>
        <w:jc w:val="both"/>
      </w:pPr>
      <w:r w:rsidRPr="0033566A">
        <w:t>The 2024 programme of measures for the River Basin Management Plan was successfully delivered.</w:t>
      </w:r>
    </w:p>
    <w:p w14:paraId="033D356D" w14:textId="77777777" w:rsidR="0033566A" w:rsidRPr="0033566A" w:rsidRDefault="0033566A" w:rsidP="00BA5AA8">
      <w:pPr>
        <w:jc w:val="both"/>
      </w:pPr>
      <w:r w:rsidRPr="0033566A">
        <w:t xml:space="preserve">The Dublin Agglomeration Noise Action Plan (NAP) is now completed for Round 4 of the Environmental Noise Directive (END). The overall number of public consultations received was 83, with 44 relating to South Dublin. </w:t>
      </w:r>
    </w:p>
    <w:p w14:paraId="5E373F0F" w14:textId="77777777" w:rsidR="0033566A" w:rsidRPr="0033566A" w:rsidRDefault="0033566A" w:rsidP="00BA5AA8">
      <w:pPr>
        <w:jc w:val="both"/>
      </w:pPr>
      <w:r w:rsidRPr="0033566A">
        <w:t>Continued to implement recommendations from the Dublin Region Air Quality Plan. There were no breaches of Particulate Matter 10 Microns (PM10) in 2024, at our two fixed monitoring sites at Tallaght and Lucan.</w:t>
      </w:r>
    </w:p>
    <w:tbl>
      <w:tblPr>
        <w:tblW w:w="974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24"/>
        <w:gridCol w:w="1818"/>
      </w:tblGrid>
      <w:tr w:rsidR="0033566A" w:rsidRPr="0033566A" w14:paraId="4E3ABE66" w14:textId="77777777" w:rsidTr="00BE4EDC">
        <w:trPr>
          <w:trHeight w:val="284"/>
          <w:jc w:val="center"/>
        </w:trPr>
        <w:tc>
          <w:tcPr>
            <w:tcW w:w="7924" w:type="dxa"/>
            <w:tcBorders>
              <w:top w:val="single" w:sz="8" w:space="0" w:color="000000"/>
              <w:left w:val="single" w:sz="8" w:space="0" w:color="000000"/>
              <w:bottom w:val="single" w:sz="8" w:space="0" w:color="000000"/>
              <w:right w:val="single" w:sz="8" w:space="0" w:color="000000"/>
            </w:tcBorders>
            <w:hideMark/>
          </w:tcPr>
          <w:p w14:paraId="71AC05DD" w14:textId="70DAD151" w:rsidR="0033566A" w:rsidRPr="00B60676" w:rsidRDefault="0033566A" w:rsidP="00077437">
            <w:pPr>
              <w:spacing w:after="0"/>
              <w:jc w:val="both"/>
              <w:rPr>
                <w:b/>
                <w:bCs/>
                <w:lang w:val="en-US"/>
              </w:rPr>
            </w:pPr>
            <w:r w:rsidRPr="00B60676">
              <w:rPr>
                <w:b/>
                <w:bCs/>
                <w:lang w:val="en-US"/>
              </w:rPr>
              <w:t xml:space="preserve">Environment, Water </w:t>
            </w:r>
            <w:r w:rsidR="0037035F">
              <w:rPr>
                <w:b/>
                <w:bCs/>
                <w:lang w:val="en-US"/>
              </w:rPr>
              <w:t>and</w:t>
            </w:r>
            <w:r w:rsidRPr="00B60676">
              <w:rPr>
                <w:b/>
                <w:bCs/>
                <w:lang w:val="en-US"/>
              </w:rPr>
              <w:t xml:space="preserve"> Climate Change Key Statistics</w:t>
            </w:r>
          </w:p>
        </w:tc>
        <w:tc>
          <w:tcPr>
            <w:tcW w:w="1818" w:type="dxa"/>
            <w:tcBorders>
              <w:top w:val="single" w:sz="8" w:space="0" w:color="000000"/>
              <w:left w:val="single" w:sz="8" w:space="0" w:color="000000"/>
              <w:bottom w:val="single" w:sz="8" w:space="0" w:color="000000"/>
              <w:right w:val="single" w:sz="8" w:space="0" w:color="000000"/>
            </w:tcBorders>
            <w:hideMark/>
          </w:tcPr>
          <w:p w14:paraId="6F69F075" w14:textId="77777777" w:rsidR="0033566A" w:rsidRPr="00B60676" w:rsidRDefault="0033566A" w:rsidP="00077437">
            <w:pPr>
              <w:spacing w:after="0"/>
              <w:jc w:val="both"/>
              <w:rPr>
                <w:b/>
                <w:bCs/>
                <w:lang w:val="en-US"/>
              </w:rPr>
            </w:pPr>
            <w:r w:rsidRPr="00B60676">
              <w:rPr>
                <w:b/>
                <w:bCs/>
                <w:lang w:val="en-US"/>
              </w:rPr>
              <w:t>2024 Totals</w:t>
            </w:r>
          </w:p>
        </w:tc>
      </w:tr>
      <w:tr w:rsidR="0033566A" w:rsidRPr="0033566A" w14:paraId="5FBD786F" w14:textId="77777777" w:rsidTr="00BE4EDC">
        <w:trPr>
          <w:trHeight w:val="284"/>
          <w:jc w:val="center"/>
        </w:trPr>
        <w:tc>
          <w:tcPr>
            <w:tcW w:w="7924" w:type="dxa"/>
            <w:tcBorders>
              <w:top w:val="single" w:sz="8" w:space="0" w:color="000000"/>
              <w:left w:val="single" w:sz="8" w:space="0" w:color="000000"/>
              <w:bottom w:val="single" w:sz="8" w:space="0" w:color="000000"/>
              <w:right w:val="single" w:sz="8" w:space="0" w:color="000000"/>
            </w:tcBorders>
            <w:hideMark/>
          </w:tcPr>
          <w:p w14:paraId="3EA73FAC" w14:textId="77777777" w:rsidR="0033566A" w:rsidRPr="0033566A" w:rsidRDefault="0033566A" w:rsidP="00077437">
            <w:pPr>
              <w:spacing w:after="0"/>
              <w:jc w:val="both"/>
              <w:rPr>
                <w:lang w:val="en-US"/>
              </w:rPr>
            </w:pPr>
            <w:r w:rsidRPr="0033566A">
              <w:rPr>
                <w:lang w:val="en-US"/>
              </w:rPr>
              <w:t>Grass cut (hectares)</w:t>
            </w:r>
          </w:p>
        </w:tc>
        <w:tc>
          <w:tcPr>
            <w:tcW w:w="1818" w:type="dxa"/>
            <w:tcBorders>
              <w:top w:val="single" w:sz="8" w:space="0" w:color="000000"/>
              <w:left w:val="single" w:sz="8" w:space="0" w:color="000000"/>
              <w:bottom w:val="single" w:sz="8" w:space="0" w:color="000000"/>
              <w:right w:val="single" w:sz="8" w:space="0" w:color="000000"/>
            </w:tcBorders>
            <w:hideMark/>
          </w:tcPr>
          <w:p w14:paraId="3142838D" w14:textId="77777777" w:rsidR="0033566A" w:rsidRPr="0033566A" w:rsidRDefault="0033566A" w:rsidP="00077437">
            <w:pPr>
              <w:spacing w:after="0"/>
              <w:jc w:val="right"/>
              <w:rPr>
                <w:lang w:val="en-US"/>
              </w:rPr>
            </w:pPr>
            <w:r w:rsidRPr="0033566A">
              <w:rPr>
                <w:lang w:val="en-US"/>
              </w:rPr>
              <w:t>7,236</w:t>
            </w:r>
          </w:p>
        </w:tc>
      </w:tr>
      <w:tr w:rsidR="0033566A" w:rsidRPr="0033566A" w14:paraId="0A3A7093" w14:textId="77777777" w:rsidTr="00BE4EDC">
        <w:trPr>
          <w:trHeight w:val="284"/>
          <w:jc w:val="center"/>
        </w:trPr>
        <w:tc>
          <w:tcPr>
            <w:tcW w:w="7924" w:type="dxa"/>
            <w:tcBorders>
              <w:top w:val="single" w:sz="8" w:space="0" w:color="000000"/>
              <w:left w:val="single" w:sz="8" w:space="0" w:color="000000"/>
              <w:bottom w:val="single" w:sz="8" w:space="0" w:color="000000"/>
              <w:right w:val="single" w:sz="8" w:space="0" w:color="000000"/>
            </w:tcBorders>
            <w:hideMark/>
          </w:tcPr>
          <w:p w14:paraId="02C22DB8" w14:textId="77777777" w:rsidR="0033566A" w:rsidRPr="0033566A" w:rsidRDefault="0033566A" w:rsidP="00077437">
            <w:pPr>
              <w:spacing w:after="0"/>
              <w:jc w:val="both"/>
              <w:rPr>
                <w:lang w:val="en-US"/>
              </w:rPr>
            </w:pPr>
            <w:r w:rsidRPr="0033566A">
              <w:rPr>
                <w:lang w:val="en-US"/>
              </w:rPr>
              <w:t>Trees pruned</w:t>
            </w:r>
          </w:p>
        </w:tc>
        <w:tc>
          <w:tcPr>
            <w:tcW w:w="1818" w:type="dxa"/>
            <w:tcBorders>
              <w:top w:val="single" w:sz="8" w:space="0" w:color="000000"/>
              <w:left w:val="single" w:sz="8" w:space="0" w:color="000000"/>
              <w:bottom w:val="single" w:sz="8" w:space="0" w:color="000000"/>
              <w:right w:val="single" w:sz="8" w:space="0" w:color="000000"/>
            </w:tcBorders>
            <w:hideMark/>
          </w:tcPr>
          <w:p w14:paraId="6E6094D4" w14:textId="77777777" w:rsidR="0033566A" w:rsidRPr="0033566A" w:rsidRDefault="0033566A" w:rsidP="00077437">
            <w:pPr>
              <w:spacing w:after="0"/>
              <w:jc w:val="right"/>
              <w:rPr>
                <w:lang w:val="en-US"/>
              </w:rPr>
            </w:pPr>
            <w:r w:rsidRPr="0033566A">
              <w:rPr>
                <w:lang w:val="en-US"/>
              </w:rPr>
              <w:t>10,927</w:t>
            </w:r>
          </w:p>
        </w:tc>
      </w:tr>
      <w:tr w:rsidR="0033566A" w:rsidRPr="0033566A" w14:paraId="6D51FD4E" w14:textId="77777777" w:rsidTr="00BE4EDC">
        <w:trPr>
          <w:trHeight w:val="284"/>
          <w:jc w:val="center"/>
        </w:trPr>
        <w:tc>
          <w:tcPr>
            <w:tcW w:w="7924" w:type="dxa"/>
            <w:tcBorders>
              <w:top w:val="single" w:sz="8" w:space="0" w:color="000000"/>
              <w:left w:val="single" w:sz="8" w:space="0" w:color="000000"/>
              <w:bottom w:val="single" w:sz="8" w:space="0" w:color="000000"/>
              <w:right w:val="single" w:sz="8" w:space="0" w:color="000000"/>
            </w:tcBorders>
            <w:hideMark/>
          </w:tcPr>
          <w:p w14:paraId="7EFD5CA3" w14:textId="77777777" w:rsidR="0033566A" w:rsidRPr="0033566A" w:rsidRDefault="0033566A" w:rsidP="00077437">
            <w:pPr>
              <w:spacing w:after="0"/>
              <w:jc w:val="both"/>
              <w:rPr>
                <w:lang w:val="en-US"/>
              </w:rPr>
            </w:pPr>
            <w:r w:rsidRPr="0033566A">
              <w:rPr>
                <w:lang w:val="en-US"/>
              </w:rPr>
              <w:t>Trees planted</w:t>
            </w:r>
          </w:p>
        </w:tc>
        <w:tc>
          <w:tcPr>
            <w:tcW w:w="1818" w:type="dxa"/>
            <w:tcBorders>
              <w:top w:val="single" w:sz="8" w:space="0" w:color="000000"/>
              <w:left w:val="single" w:sz="8" w:space="0" w:color="000000"/>
              <w:bottom w:val="single" w:sz="8" w:space="0" w:color="000000"/>
              <w:right w:val="single" w:sz="8" w:space="0" w:color="000000"/>
            </w:tcBorders>
            <w:hideMark/>
          </w:tcPr>
          <w:p w14:paraId="58D7E3FB" w14:textId="77777777" w:rsidR="0033566A" w:rsidRPr="0033566A" w:rsidRDefault="0033566A" w:rsidP="00077437">
            <w:pPr>
              <w:spacing w:after="0"/>
              <w:jc w:val="right"/>
              <w:rPr>
                <w:lang w:val="en-US"/>
              </w:rPr>
            </w:pPr>
            <w:r w:rsidRPr="0033566A">
              <w:rPr>
                <w:lang w:val="en-US"/>
              </w:rPr>
              <w:t>3,651</w:t>
            </w:r>
          </w:p>
        </w:tc>
      </w:tr>
      <w:tr w:rsidR="0033566A" w:rsidRPr="0033566A" w14:paraId="12833AE7" w14:textId="77777777" w:rsidTr="00BE4EDC">
        <w:trPr>
          <w:trHeight w:val="284"/>
          <w:jc w:val="center"/>
        </w:trPr>
        <w:tc>
          <w:tcPr>
            <w:tcW w:w="7924" w:type="dxa"/>
            <w:tcBorders>
              <w:top w:val="single" w:sz="8" w:space="0" w:color="000000"/>
              <w:left w:val="single" w:sz="8" w:space="0" w:color="000000"/>
              <w:bottom w:val="single" w:sz="8" w:space="0" w:color="000000"/>
              <w:right w:val="single" w:sz="8" w:space="0" w:color="000000"/>
            </w:tcBorders>
            <w:hideMark/>
          </w:tcPr>
          <w:p w14:paraId="7D6F9377" w14:textId="77777777" w:rsidR="0033566A" w:rsidRPr="0033566A" w:rsidRDefault="0033566A" w:rsidP="00077437">
            <w:pPr>
              <w:spacing w:after="0"/>
              <w:jc w:val="both"/>
              <w:rPr>
                <w:lang w:val="en-US"/>
              </w:rPr>
            </w:pPr>
            <w:r w:rsidRPr="0033566A">
              <w:rPr>
                <w:lang w:val="en-US"/>
              </w:rPr>
              <w:t xml:space="preserve">Plastic bottles saved through </w:t>
            </w:r>
            <w:proofErr w:type="gramStart"/>
            <w:r w:rsidRPr="0033566A">
              <w:rPr>
                <w:lang w:val="en-US"/>
              </w:rPr>
              <w:t>use</w:t>
            </w:r>
            <w:proofErr w:type="gramEnd"/>
            <w:r w:rsidRPr="0033566A">
              <w:rPr>
                <w:lang w:val="en-US"/>
              </w:rPr>
              <w:t xml:space="preserve"> of drinking water from fountains</w:t>
            </w:r>
          </w:p>
        </w:tc>
        <w:tc>
          <w:tcPr>
            <w:tcW w:w="1818" w:type="dxa"/>
            <w:tcBorders>
              <w:top w:val="single" w:sz="8" w:space="0" w:color="000000"/>
              <w:left w:val="single" w:sz="8" w:space="0" w:color="000000"/>
              <w:bottom w:val="single" w:sz="8" w:space="0" w:color="000000"/>
              <w:right w:val="single" w:sz="8" w:space="0" w:color="000000"/>
            </w:tcBorders>
            <w:hideMark/>
          </w:tcPr>
          <w:p w14:paraId="3C793F6E" w14:textId="77777777" w:rsidR="0033566A" w:rsidRPr="0033566A" w:rsidRDefault="0033566A" w:rsidP="00077437">
            <w:pPr>
              <w:spacing w:after="0"/>
              <w:jc w:val="right"/>
              <w:rPr>
                <w:lang w:val="en-US"/>
              </w:rPr>
            </w:pPr>
            <w:r w:rsidRPr="0033566A">
              <w:rPr>
                <w:lang w:val="en-US"/>
              </w:rPr>
              <w:t>96,867</w:t>
            </w:r>
          </w:p>
        </w:tc>
      </w:tr>
      <w:tr w:rsidR="0033566A" w:rsidRPr="0033566A" w14:paraId="006D4549" w14:textId="77777777" w:rsidTr="00BE4EDC">
        <w:trPr>
          <w:trHeight w:val="284"/>
          <w:jc w:val="center"/>
        </w:trPr>
        <w:tc>
          <w:tcPr>
            <w:tcW w:w="7924" w:type="dxa"/>
            <w:tcBorders>
              <w:top w:val="single" w:sz="8" w:space="0" w:color="000000"/>
              <w:left w:val="single" w:sz="8" w:space="0" w:color="000000"/>
              <w:bottom w:val="single" w:sz="8" w:space="0" w:color="000000"/>
              <w:right w:val="single" w:sz="8" w:space="0" w:color="000000"/>
            </w:tcBorders>
            <w:hideMark/>
          </w:tcPr>
          <w:p w14:paraId="4F775E86" w14:textId="77777777" w:rsidR="0033566A" w:rsidRPr="0033566A" w:rsidRDefault="0033566A" w:rsidP="00077437">
            <w:pPr>
              <w:spacing w:after="0"/>
              <w:jc w:val="both"/>
              <w:rPr>
                <w:lang w:val="en-US"/>
              </w:rPr>
            </w:pPr>
            <w:r w:rsidRPr="0033566A">
              <w:rPr>
                <w:lang w:val="en-US"/>
              </w:rPr>
              <w:t>Biodiverse meadowland maintained (hectares)</w:t>
            </w:r>
          </w:p>
        </w:tc>
        <w:tc>
          <w:tcPr>
            <w:tcW w:w="1818" w:type="dxa"/>
            <w:tcBorders>
              <w:top w:val="single" w:sz="8" w:space="0" w:color="000000"/>
              <w:left w:val="single" w:sz="8" w:space="0" w:color="000000"/>
              <w:bottom w:val="single" w:sz="8" w:space="0" w:color="000000"/>
              <w:right w:val="single" w:sz="8" w:space="0" w:color="000000"/>
            </w:tcBorders>
            <w:hideMark/>
          </w:tcPr>
          <w:p w14:paraId="317213C5" w14:textId="77777777" w:rsidR="0033566A" w:rsidRPr="0033566A" w:rsidRDefault="0033566A" w:rsidP="00077437">
            <w:pPr>
              <w:spacing w:after="0"/>
              <w:jc w:val="right"/>
              <w:rPr>
                <w:lang w:val="en-US"/>
              </w:rPr>
            </w:pPr>
            <w:r w:rsidRPr="0033566A">
              <w:rPr>
                <w:lang w:val="en-US"/>
              </w:rPr>
              <w:t>195</w:t>
            </w:r>
          </w:p>
        </w:tc>
      </w:tr>
      <w:tr w:rsidR="0033566A" w:rsidRPr="0033566A" w14:paraId="6D903420" w14:textId="77777777" w:rsidTr="00BE4EDC">
        <w:trPr>
          <w:trHeight w:val="284"/>
          <w:jc w:val="center"/>
        </w:trPr>
        <w:tc>
          <w:tcPr>
            <w:tcW w:w="7924" w:type="dxa"/>
            <w:tcBorders>
              <w:top w:val="single" w:sz="8" w:space="0" w:color="000000"/>
              <w:left w:val="single" w:sz="8" w:space="0" w:color="000000"/>
              <w:bottom w:val="single" w:sz="8" w:space="0" w:color="000000"/>
              <w:right w:val="single" w:sz="8" w:space="0" w:color="000000"/>
            </w:tcBorders>
            <w:hideMark/>
          </w:tcPr>
          <w:p w14:paraId="7B07B764" w14:textId="77777777" w:rsidR="0033566A" w:rsidRPr="0033566A" w:rsidRDefault="0033566A" w:rsidP="00077437">
            <w:pPr>
              <w:spacing w:after="0"/>
              <w:jc w:val="both"/>
              <w:rPr>
                <w:lang w:val="en-US"/>
              </w:rPr>
            </w:pPr>
            <w:r w:rsidRPr="0033566A">
              <w:rPr>
                <w:lang w:val="en-US"/>
              </w:rPr>
              <w:t>Climate action Initiatives under Climate Action Plan</w:t>
            </w:r>
          </w:p>
        </w:tc>
        <w:tc>
          <w:tcPr>
            <w:tcW w:w="1818" w:type="dxa"/>
            <w:tcBorders>
              <w:top w:val="single" w:sz="8" w:space="0" w:color="000000"/>
              <w:left w:val="single" w:sz="8" w:space="0" w:color="000000"/>
              <w:bottom w:val="single" w:sz="8" w:space="0" w:color="000000"/>
              <w:right w:val="single" w:sz="8" w:space="0" w:color="000000"/>
            </w:tcBorders>
            <w:hideMark/>
          </w:tcPr>
          <w:p w14:paraId="7213682B" w14:textId="77777777" w:rsidR="0033566A" w:rsidRPr="0033566A" w:rsidRDefault="0033566A" w:rsidP="00077437">
            <w:pPr>
              <w:spacing w:after="0"/>
              <w:jc w:val="right"/>
              <w:rPr>
                <w:lang w:val="en-US"/>
              </w:rPr>
            </w:pPr>
            <w:r w:rsidRPr="0033566A">
              <w:rPr>
                <w:lang w:val="en-US"/>
              </w:rPr>
              <w:t>129</w:t>
            </w:r>
          </w:p>
        </w:tc>
      </w:tr>
      <w:tr w:rsidR="0033566A" w:rsidRPr="0033566A" w14:paraId="27B5AF13" w14:textId="77777777" w:rsidTr="00BE4EDC">
        <w:trPr>
          <w:trHeight w:val="284"/>
          <w:jc w:val="center"/>
        </w:trPr>
        <w:tc>
          <w:tcPr>
            <w:tcW w:w="7924" w:type="dxa"/>
            <w:tcBorders>
              <w:top w:val="single" w:sz="8" w:space="0" w:color="000000"/>
              <w:left w:val="single" w:sz="8" w:space="0" w:color="000000"/>
              <w:bottom w:val="single" w:sz="8" w:space="0" w:color="000000"/>
              <w:right w:val="single" w:sz="8" w:space="0" w:color="000000"/>
            </w:tcBorders>
            <w:hideMark/>
          </w:tcPr>
          <w:p w14:paraId="502CAF3A" w14:textId="77777777" w:rsidR="0033566A" w:rsidRPr="0033566A" w:rsidRDefault="0033566A" w:rsidP="00077437">
            <w:pPr>
              <w:spacing w:after="0"/>
              <w:jc w:val="both"/>
              <w:rPr>
                <w:lang w:val="en-US"/>
              </w:rPr>
            </w:pPr>
            <w:r w:rsidRPr="0033566A">
              <w:rPr>
                <w:lang w:val="en-US"/>
              </w:rPr>
              <w:t>Local authority energy savings</w:t>
            </w:r>
          </w:p>
        </w:tc>
        <w:tc>
          <w:tcPr>
            <w:tcW w:w="1818" w:type="dxa"/>
            <w:tcBorders>
              <w:top w:val="single" w:sz="8" w:space="0" w:color="000000"/>
              <w:left w:val="single" w:sz="8" w:space="0" w:color="000000"/>
              <w:bottom w:val="single" w:sz="8" w:space="0" w:color="000000"/>
              <w:right w:val="single" w:sz="8" w:space="0" w:color="000000"/>
            </w:tcBorders>
            <w:hideMark/>
          </w:tcPr>
          <w:p w14:paraId="5D4B2ACC" w14:textId="77777777" w:rsidR="0033566A" w:rsidRPr="0033566A" w:rsidRDefault="0033566A" w:rsidP="00077437">
            <w:pPr>
              <w:spacing w:after="0"/>
              <w:jc w:val="right"/>
              <w:rPr>
                <w:lang w:val="en-US"/>
              </w:rPr>
            </w:pPr>
            <w:r w:rsidRPr="0033566A">
              <w:rPr>
                <w:lang w:val="en-US"/>
              </w:rPr>
              <w:t>45.5</w:t>
            </w:r>
          </w:p>
        </w:tc>
      </w:tr>
      <w:tr w:rsidR="0033566A" w:rsidRPr="0033566A" w14:paraId="01612C65" w14:textId="77777777" w:rsidTr="00BE4EDC">
        <w:trPr>
          <w:trHeight w:val="284"/>
          <w:jc w:val="center"/>
        </w:trPr>
        <w:tc>
          <w:tcPr>
            <w:tcW w:w="7924" w:type="dxa"/>
            <w:tcBorders>
              <w:top w:val="single" w:sz="8" w:space="0" w:color="000000"/>
              <w:left w:val="single" w:sz="8" w:space="0" w:color="000000"/>
              <w:bottom w:val="single" w:sz="8" w:space="0" w:color="000000"/>
              <w:right w:val="single" w:sz="8" w:space="0" w:color="000000"/>
            </w:tcBorders>
            <w:hideMark/>
          </w:tcPr>
          <w:p w14:paraId="000A3303" w14:textId="77777777" w:rsidR="0033566A" w:rsidRPr="0033566A" w:rsidRDefault="0033566A" w:rsidP="00077437">
            <w:pPr>
              <w:spacing w:after="0"/>
              <w:jc w:val="both"/>
              <w:rPr>
                <w:lang w:val="en-US"/>
              </w:rPr>
            </w:pPr>
            <w:r w:rsidRPr="0033566A">
              <w:rPr>
                <w:lang w:val="en-US"/>
              </w:rPr>
              <w:t>Environmental/climate action awareness sessions</w:t>
            </w:r>
          </w:p>
        </w:tc>
        <w:tc>
          <w:tcPr>
            <w:tcW w:w="1818" w:type="dxa"/>
            <w:tcBorders>
              <w:top w:val="single" w:sz="8" w:space="0" w:color="000000"/>
              <w:left w:val="single" w:sz="8" w:space="0" w:color="000000"/>
              <w:bottom w:val="single" w:sz="8" w:space="0" w:color="000000"/>
              <w:right w:val="single" w:sz="8" w:space="0" w:color="000000"/>
            </w:tcBorders>
            <w:hideMark/>
          </w:tcPr>
          <w:p w14:paraId="2253BC07" w14:textId="77777777" w:rsidR="0033566A" w:rsidRPr="0033566A" w:rsidRDefault="0033566A" w:rsidP="00077437">
            <w:pPr>
              <w:spacing w:after="0"/>
              <w:jc w:val="right"/>
              <w:rPr>
                <w:lang w:val="en-US"/>
              </w:rPr>
            </w:pPr>
            <w:r w:rsidRPr="0033566A">
              <w:rPr>
                <w:lang w:val="en-US"/>
              </w:rPr>
              <w:t>480</w:t>
            </w:r>
          </w:p>
        </w:tc>
      </w:tr>
      <w:tr w:rsidR="0033566A" w:rsidRPr="0033566A" w14:paraId="496C0AE5" w14:textId="77777777" w:rsidTr="00BE4EDC">
        <w:trPr>
          <w:trHeight w:val="284"/>
          <w:jc w:val="center"/>
        </w:trPr>
        <w:tc>
          <w:tcPr>
            <w:tcW w:w="7924" w:type="dxa"/>
            <w:tcBorders>
              <w:top w:val="single" w:sz="8" w:space="0" w:color="000000"/>
              <w:left w:val="single" w:sz="8" w:space="0" w:color="000000"/>
              <w:bottom w:val="single" w:sz="8" w:space="0" w:color="000000"/>
              <w:right w:val="single" w:sz="8" w:space="0" w:color="000000"/>
            </w:tcBorders>
            <w:hideMark/>
          </w:tcPr>
          <w:p w14:paraId="07F0C343" w14:textId="77777777" w:rsidR="0033566A" w:rsidRPr="0033566A" w:rsidRDefault="0033566A" w:rsidP="00077437">
            <w:pPr>
              <w:spacing w:after="0"/>
              <w:jc w:val="both"/>
              <w:rPr>
                <w:lang w:val="en-US"/>
              </w:rPr>
            </w:pPr>
            <w:r w:rsidRPr="0033566A">
              <w:rPr>
                <w:lang w:val="en-US"/>
              </w:rPr>
              <w:t xml:space="preserve">New recreational facilities (e.g., </w:t>
            </w:r>
            <w:proofErr w:type="spellStart"/>
            <w:r w:rsidRPr="0033566A">
              <w:rPr>
                <w:lang w:val="en-US"/>
              </w:rPr>
              <w:t>playspaces</w:t>
            </w:r>
            <w:proofErr w:type="spellEnd"/>
            <w:r w:rsidRPr="0033566A">
              <w:rPr>
                <w:lang w:val="en-US"/>
              </w:rPr>
              <w:t xml:space="preserve">, </w:t>
            </w:r>
            <w:proofErr w:type="spellStart"/>
            <w:proofErr w:type="gramStart"/>
            <w:r w:rsidRPr="0033566A">
              <w:rPr>
                <w:lang w:val="en-US"/>
              </w:rPr>
              <w:t>teenspaces</w:t>
            </w:r>
            <w:proofErr w:type="spellEnd"/>
            <w:proofErr w:type="gramEnd"/>
            <w:r w:rsidRPr="0033566A">
              <w:rPr>
                <w:lang w:val="en-US"/>
              </w:rPr>
              <w:t>, pitches etc.)</w:t>
            </w:r>
          </w:p>
        </w:tc>
        <w:tc>
          <w:tcPr>
            <w:tcW w:w="1818" w:type="dxa"/>
            <w:tcBorders>
              <w:top w:val="single" w:sz="8" w:space="0" w:color="000000"/>
              <w:left w:val="single" w:sz="8" w:space="0" w:color="000000"/>
              <w:bottom w:val="single" w:sz="8" w:space="0" w:color="000000"/>
              <w:right w:val="single" w:sz="8" w:space="0" w:color="000000"/>
            </w:tcBorders>
            <w:hideMark/>
          </w:tcPr>
          <w:p w14:paraId="3A7F8708" w14:textId="77777777" w:rsidR="0033566A" w:rsidRPr="0033566A" w:rsidRDefault="0033566A" w:rsidP="00077437">
            <w:pPr>
              <w:spacing w:after="0"/>
              <w:jc w:val="right"/>
              <w:rPr>
                <w:lang w:val="en-US"/>
              </w:rPr>
            </w:pPr>
            <w:r w:rsidRPr="0033566A">
              <w:rPr>
                <w:lang w:val="en-US"/>
              </w:rPr>
              <w:t>27</w:t>
            </w:r>
          </w:p>
        </w:tc>
      </w:tr>
      <w:tr w:rsidR="0033566A" w:rsidRPr="0033566A" w14:paraId="1180FA9D" w14:textId="77777777" w:rsidTr="00BE4EDC">
        <w:trPr>
          <w:trHeight w:val="284"/>
          <w:jc w:val="center"/>
        </w:trPr>
        <w:tc>
          <w:tcPr>
            <w:tcW w:w="7924" w:type="dxa"/>
            <w:tcBorders>
              <w:top w:val="single" w:sz="8" w:space="0" w:color="000000"/>
              <w:left w:val="single" w:sz="8" w:space="0" w:color="000000"/>
              <w:bottom w:val="single" w:sz="8" w:space="0" w:color="000000"/>
              <w:right w:val="single" w:sz="8" w:space="0" w:color="000000"/>
            </w:tcBorders>
            <w:hideMark/>
          </w:tcPr>
          <w:p w14:paraId="50EAD233" w14:textId="77777777" w:rsidR="0033566A" w:rsidRPr="0033566A" w:rsidRDefault="0033566A" w:rsidP="00077437">
            <w:pPr>
              <w:spacing w:after="0"/>
              <w:jc w:val="both"/>
              <w:rPr>
                <w:lang w:val="en-US"/>
              </w:rPr>
            </w:pPr>
            <w:r w:rsidRPr="0033566A">
              <w:rPr>
                <w:lang w:val="en-US"/>
              </w:rPr>
              <w:t>Pollution cases that were the subject of a complaint</w:t>
            </w:r>
          </w:p>
        </w:tc>
        <w:tc>
          <w:tcPr>
            <w:tcW w:w="1818" w:type="dxa"/>
            <w:tcBorders>
              <w:top w:val="single" w:sz="8" w:space="0" w:color="000000"/>
              <w:left w:val="single" w:sz="8" w:space="0" w:color="000000"/>
              <w:bottom w:val="single" w:sz="8" w:space="0" w:color="000000"/>
              <w:right w:val="single" w:sz="8" w:space="0" w:color="000000"/>
            </w:tcBorders>
            <w:hideMark/>
          </w:tcPr>
          <w:p w14:paraId="5B8ED4A7" w14:textId="77777777" w:rsidR="0033566A" w:rsidRPr="0033566A" w:rsidRDefault="0033566A" w:rsidP="00077437">
            <w:pPr>
              <w:spacing w:after="0"/>
              <w:jc w:val="right"/>
              <w:rPr>
                <w:lang w:val="en-US"/>
              </w:rPr>
            </w:pPr>
            <w:r w:rsidRPr="0033566A">
              <w:rPr>
                <w:lang w:val="en-US"/>
              </w:rPr>
              <w:t>2,647</w:t>
            </w:r>
          </w:p>
        </w:tc>
      </w:tr>
      <w:tr w:rsidR="0033566A" w:rsidRPr="0033566A" w14:paraId="1C4DADF5" w14:textId="77777777" w:rsidTr="00BE4EDC">
        <w:trPr>
          <w:trHeight w:val="284"/>
          <w:jc w:val="center"/>
        </w:trPr>
        <w:tc>
          <w:tcPr>
            <w:tcW w:w="7924" w:type="dxa"/>
            <w:tcBorders>
              <w:top w:val="single" w:sz="8" w:space="0" w:color="000000"/>
              <w:left w:val="single" w:sz="8" w:space="0" w:color="000000"/>
              <w:bottom w:val="single" w:sz="8" w:space="0" w:color="000000"/>
              <w:right w:val="single" w:sz="8" w:space="0" w:color="000000"/>
            </w:tcBorders>
            <w:hideMark/>
          </w:tcPr>
          <w:p w14:paraId="1C1B1AC0" w14:textId="77777777" w:rsidR="0033566A" w:rsidRPr="0033566A" w:rsidRDefault="0033566A" w:rsidP="00077437">
            <w:pPr>
              <w:spacing w:after="0"/>
              <w:jc w:val="both"/>
              <w:rPr>
                <w:lang w:val="en-US"/>
              </w:rPr>
            </w:pPr>
            <w:r w:rsidRPr="0033566A">
              <w:rPr>
                <w:lang w:val="en-US"/>
              </w:rPr>
              <w:t>Pollution cases closed</w:t>
            </w:r>
          </w:p>
        </w:tc>
        <w:tc>
          <w:tcPr>
            <w:tcW w:w="1818" w:type="dxa"/>
            <w:tcBorders>
              <w:top w:val="single" w:sz="8" w:space="0" w:color="000000"/>
              <w:left w:val="single" w:sz="8" w:space="0" w:color="000000"/>
              <w:bottom w:val="single" w:sz="8" w:space="0" w:color="000000"/>
              <w:right w:val="single" w:sz="8" w:space="0" w:color="000000"/>
            </w:tcBorders>
            <w:hideMark/>
          </w:tcPr>
          <w:p w14:paraId="56DDF6B0" w14:textId="77777777" w:rsidR="0033566A" w:rsidRPr="0033566A" w:rsidRDefault="0033566A" w:rsidP="00077437">
            <w:pPr>
              <w:spacing w:after="0"/>
              <w:jc w:val="right"/>
              <w:rPr>
                <w:lang w:val="en-US"/>
              </w:rPr>
            </w:pPr>
            <w:r w:rsidRPr="0033566A">
              <w:rPr>
                <w:lang w:val="en-US"/>
              </w:rPr>
              <w:t>1,610</w:t>
            </w:r>
          </w:p>
        </w:tc>
      </w:tr>
      <w:tr w:rsidR="0033566A" w:rsidRPr="0033566A" w14:paraId="3F866695" w14:textId="77777777" w:rsidTr="00BE4EDC">
        <w:trPr>
          <w:trHeight w:val="284"/>
          <w:jc w:val="center"/>
        </w:trPr>
        <w:tc>
          <w:tcPr>
            <w:tcW w:w="7924" w:type="dxa"/>
            <w:tcBorders>
              <w:top w:val="single" w:sz="8" w:space="0" w:color="000000"/>
              <w:left w:val="single" w:sz="8" w:space="0" w:color="000000"/>
              <w:bottom w:val="single" w:sz="8" w:space="0" w:color="000000"/>
              <w:right w:val="single" w:sz="8" w:space="0" w:color="000000"/>
            </w:tcBorders>
            <w:hideMark/>
          </w:tcPr>
          <w:p w14:paraId="6B1758AF" w14:textId="77777777" w:rsidR="0033566A" w:rsidRPr="0033566A" w:rsidRDefault="0033566A" w:rsidP="00077437">
            <w:pPr>
              <w:spacing w:after="0"/>
              <w:jc w:val="both"/>
              <w:rPr>
                <w:lang w:val="en-US"/>
              </w:rPr>
            </w:pPr>
            <w:r w:rsidRPr="0033566A">
              <w:rPr>
                <w:lang w:val="en-US"/>
              </w:rPr>
              <w:t>Provision of walking and cycling routes in parks/open spaces (kilometers)</w:t>
            </w:r>
          </w:p>
        </w:tc>
        <w:tc>
          <w:tcPr>
            <w:tcW w:w="1818" w:type="dxa"/>
            <w:tcBorders>
              <w:top w:val="single" w:sz="8" w:space="0" w:color="000000"/>
              <w:left w:val="single" w:sz="8" w:space="0" w:color="000000"/>
              <w:bottom w:val="single" w:sz="8" w:space="0" w:color="000000"/>
              <w:right w:val="single" w:sz="8" w:space="0" w:color="000000"/>
            </w:tcBorders>
            <w:hideMark/>
          </w:tcPr>
          <w:p w14:paraId="79B212C1" w14:textId="77777777" w:rsidR="0033566A" w:rsidRPr="0033566A" w:rsidRDefault="0033566A" w:rsidP="00077437">
            <w:pPr>
              <w:spacing w:after="0"/>
              <w:jc w:val="right"/>
              <w:rPr>
                <w:lang w:val="en-US"/>
              </w:rPr>
            </w:pPr>
            <w:r w:rsidRPr="0033566A">
              <w:rPr>
                <w:lang w:val="en-US"/>
              </w:rPr>
              <w:t>165,031</w:t>
            </w:r>
          </w:p>
        </w:tc>
      </w:tr>
    </w:tbl>
    <w:p w14:paraId="0A86EF03" w14:textId="1E9D68DC" w:rsidR="0033566A" w:rsidRPr="0033566A" w:rsidRDefault="0033566A" w:rsidP="00B60676">
      <w:pPr>
        <w:pStyle w:val="Heading2"/>
        <w:jc w:val="both"/>
      </w:pPr>
      <w:bookmarkStart w:id="104" w:name="_Toc195533628"/>
      <w:bookmarkStart w:id="105" w:name="_Toc195533700"/>
      <w:bookmarkStart w:id="106" w:name="_Toc195533977"/>
      <w:bookmarkStart w:id="107" w:name="_Toc195534052"/>
      <w:bookmarkStart w:id="108" w:name="_Toc195534415"/>
      <w:bookmarkStart w:id="109" w:name="_Toc195534616"/>
      <w:bookmarkStart w:id="110" w:name="_Toc199244572"/>
      <w:r w:rsidRPr="0033566A">
        <w:lastRenderedPageBreak/>
        <w:t>Organisational Capacity and Accountability</w:t>
      </w:r>
      <w:bookmarkEnd w:id="104"/>
      <w:bookmarkEnd w:id="105"/>
      <w:bookmarkEnd w:id="106"/>
      <w:bookmarkEnd w:id="107"/>
      <w:bookmarkEnd w:id="108"/>
      <w:bookmarkEnd w:id="109"/>
      <w:bookmarkEnd w:id="110"/>
    </w:p>
    <w:p w14:paraId="758C08A0" w14:textId="77777777" w:rsidR="0033566A" w:rsidRPr="00B60676" w:rsidRDefault="0033566A" w:rsidP="00B60676">
      <w:pPr>
        <w:jc w:val="both"/>
        <w:rPr>
          <w:b/>
          <w:bCs/>
        </w:rPr>
      </w:pPr>
      <w:r w:rsidRPr="00B60676">
        <w:rPr>
          <w:b/>
          <w:bCs/>
          <w:lang w:val="en-GB"/>
        </w:rPr>
        <w:t>Support the policy and leadership role of councillors in providing effective local government</w:t>
      </w:r>
    </w:p>
    <w:p w14:paraId="1833C75B" w14:textId="77777777" w:rsidR="0033566A" w:rsidRPr="0033566A" w:rsidRDefault="0033566A" w:rsidP="00BA5AA8">
      <w:pPr>
        <w:jc w:val="both"/>
      </w:pPr>
      <w:r w:rsidRPr="0033566A">
        <w:t>The local government election process was managed to ensure the integrity, transparency, and efficiency of the elections in accordance with the relevant legislation. 111 candidates ran for election to 40 seats with average voter turnout of 41.4% across the county.</w:t>
      </w:r>
    </w:p>
    <w:p w14:paraId="1573B0D3" w14:textId="77777777" w:rsidR="0033566A" w:rsidRPr="0033566A" w:rsidRDefault="0033566A" w:rsidP="00BA5AA8">
      <w:pPr>
        <w:jc w:val="both"/>
      </w:pPr>
      <w:r w:rsidRPr="0033566A">
        <w:t xml:space="preserve">Ahead of the Local Elections in June, our “Your Vote Your Voice - an easy-to-read guide to voting” booklet was made available across digital channels and in print form in our local libraries while promotional drives for registering to vote included events in TUD, in local schools and communities, and advertising campaigns on bus shelters, radio, digital and press media. </w:t>
      </w:r>
    </w:p>
    <w:p w14:paraId="12533C10" w14:textId="77777777" w:rsidR="0033566A" w:rsidRPr="0033566A" w:rsidRDefault="0033566A" w:rsidP="00BA5AA8">
      <w:pPr>
        <w:jc w:val="both"/>
      </w:pPr>
      <w:r w:rsidRPr="0033566A">
        <w:t>Support provided to the Mayor through the Mayor’s Office including the management of the diary and protocols.</w:t>
      </w:r>
    </w:p>
    <w:p w14:paraId="1E33E823" w14:textId="77777777" w:rsidR="0033566A" w:rsidRPr="0033566A" w:rsidRDefault="0033566A" w:rsidP="00BA5AA8">
      <w:pPr>
        <w:jc w:val="both"/>
      </w:pPr>
      <w:r w:rsidRPr="0033566A">
        <w:t>108 meetings of the Council, Corporate Policy Group, Area Committees, Strategic Policy Committees, and other committees were supported with a total of 1,140 Headed Item reports provided, and 1,562 councillor questions and Motions responded to.</w:t>
      </w:r>
    </w:p>
    <w:p w14:paraId="485D54A4" w14:textId="77777777" w:rsidR="0033566A" w:rsidRPr="0033566A" w:rsidRDefault="0033566A" w:rsidP="00BA5AA8">
      <w:pPr>
        <w:jc w:val="both"/>
      </w:pPr>
      <w:r w:rsidRPr="0033566A">
        <w:t>The establishment of the new Council following the local elections with induction training, provision of equipment and ongoing supports provided to the elected members to enable them to perform their duties.</w:t>
      </w:r>
    </w:p>
    <w:p w14:paraId="3F84EDD2" w14:textId="77777777" w:rsidR="0033566A" w:rsidRPr="0033566A" w:rsidRDefault="0033566A" w:rsidP="00BA5AA8">
      <w:pPr>
        <w:jc w:val="both"/>
      </w:pPr>
      <w:r w:rsidRPr="0033566A">
        <w:t>At the Annual meeting held on 21</w:t>
      </w:r>
      <w:r w:rsidRPr="00BA5AA8">
        <w:rPr>
          <w:vertAlign w:val="superscript"/>
        </w:rPr>
        <w:t>st</w:t>
      </w:r>
      <w:r w:rsidRPr="0033566A">
        <w:t xml:space="preserve"> June, Councillor Baby Pereppadan was elected as the new Mayor of South Dublin County Council and Councillor Alan Hayes was elected as Deputy Mayor for the coming term.</w:t>
      </w:r>
    </w:p>
    <w:p w14:paraId="69A46DC0" w14:textId="77777777" w:rsidR="0033566A" w:rsidRPr="0033566A" w:rsidRDefault="0033566A" w:rsidP="00BA5AA8">
      <w:pPr>
        <w:jc w:val="both"/>
      </w:pPr>
      <w:r w:rsidRPr="0033566A">
        <w:t xml:space="preserve">The highlight of the work of the Women’s Caucus in 2024 was the Women of South Dublin exhibition to celebrate inspiring local women, which was shortlisted for an Excellence in Local Government Award. </w:t>
      </w:r>
    </w:p>
    <w:p w14:paraId="64133E22" w14:textId="77777777" w:rsidR="0033566A" w:rsidRPr="0033566A" w:rsidRDefault="0033566A" w:rsidP="00BA5AA8">
      <w:pPr>
        <w:jc w:val="both"/>
      </w:pPr>
      <w:r w:rsidRPr="0033566A">
        <w:t xml:space="preserve">Following co-option processes in September and December after the local and general elections respectively, South Dublin County Council became the first local authority in the State to have </w:t>
      </w:r>
      <w:proofErr w:type="gramStart"/>
      <w:r w:rsidRPr="0033566A">
        <w:t>a majority of</w:t>
      </w:r>
      <w:proofErr w:type="gramEnd"/>
      <w:r w:rsidRPr="0033566A">
        <w:t xml:space="preserve"> female public representation, with 21 women and 19 men on the Council. </w:t>
      </w:r>
    </w:p>
    <w:p w14:paraId="514380F5" w14:textId="77777777" w:rsidR="0033566A" w:rsidRPr="0033566A" w:rsidRDefault="0033566A" w:rsidP="00BA5AA8">
      <w:pPr>
        <w:jc w:val="both"/>
      </w:pPr>
      <w:r w:rsidRPr="0033566A">
        <w:t>The new Strategic Policy Committee (SPC) Scheme 2024 – 2029 was adopted in September following a public consultation process and SPC Standing Orders were also updated as a result.</w:t>
      </w:r>
    </w:p>
    <w:p w14:paraId="25B71258" w14:textId="77777777" w:rsidR="0033566A" w:rsidRPr="0033566A" w:rsidRDefault="0033566A" w:rsidP="00BA5AA8">
      <w:pPr>
        <w:jc w:val="both"/>
      </w:pPr>
      <w:r w:rsidRPr="0033566A">
        <w:t>The Corporate Policy Group (CPG) agreed the SPC programmes of work for 2024, the strategy for the new Corporate Plan and the budget strategy for the 2025 budget, along with oversight of council meeting agendas.</w:t>
      </w:r>
    </w:p>
    <w:p w14:paraId="7B477D8D" w14:textId="77777777" w:rsidR="0033566A" w:rsidRPr="0033566A" w:rsidRDefault="0033566A" w:rsidP="00BA5AA8">
      <w:pPr>
        <w:jc w:val="both"/>
      </w:pPr>
      <w:r w:rsidRPr="0033566A">
        <w:t xml:space="preserve">Liaison continued across the Dublin local authorities on the development, implementation and governance of voter.ie and compliance with the legislative changes to the electoral register.  By </w:t>
      </w:r>
      <w:r w:rsidRPr="0033566A">
        <w:lastRenderedPageBreak/>
        <w:t>year-end 213,345 people were on the electoral register, an increase of 9% from 194, 884 at the end of 2023.</w:t>
      </w:r>
    </w:p>
    <w:p w14:paraId="00A88449" w14:textId="77777777" w:rsidR="0033566A" w:rsidRPr="0033566A" w:rsidRDefault="0033566A" w:rsidP="00B60676">
      <w:pPr>
        <w:jc w:val="both"/>
      </w:pPr>
    </w:p>
    <w:p w14:paraId="5BE793F3" w14:textId="77777777" w:rsidR="0033566A" w:rsidRPr="00B60676" w:rsidRDefault="0033566A" w:rsidP="00B60676">
      <w:pPr>
        <w:jc w:val="both"/>
        <w:rPr>
          <w:b/>
          <w:bCs/>
        </w:rPr>
      </w:pPr>
      <w:r w:rsidRPr="00B60676">
        <w:rPr>
          <w:b/>
          <w:bCs/>
          <w:lang w:val="en-GB"/>
        </w:rPr>
        <w:t xml:space="preserve">Deliver quality services that treat all service users with dignity, </w:t>
      </w:r>
      <w:bookmarkStart w:id="111" w:name="_Int_Ms6EexGI"/>
      <w:r w:rsidRPr="00B60676">
        <w:rPr>
          <w:b/>
          <w:bCs/>
          <w:lang w:val="en-GB"/>
        </w:rPr>
        <w:t>respect</w:t>
      </w:r>
      <w:bookmarkEnd w:id="111"/>
      <w:r w:rsidRPr="00B60676">
        <w:rPr>
          <w:b/>
          <w:bCs/>
          <w:lang w:val="en-GB"/>
        </w:rPr>
        <w:t xml:space="preserve"> and equality</w:t>
      </w:r>
    </w:p>
    <w:p w14:paraId="5E23AA4B" w14:textId="77777777" w:rsidR="0033566A" w:rsidRPr="0033566A" w:rsidRDefault="0033566A" w:rsidP="00BA5AA8">
      <w:pPr>
        <w:jc w:val="both"/>
      </w:pPr>
      <w:r w:rsidRPr="0033566A">
        <w:t>Redesign of the concourse of County Hall was completed to enable a civic engagement and event space and procurement to develop a workplace upgrade and refurbishment strategy was also completed.</w:t>
      </w:r>
    </w:p>
    <w:p w14:paraId="1948DC76" w14:textId="77777777" w:rsidR="0033566A" w:rsidRPr="0033566A" w:rsidRDefault="0033566A" w:rsidP="00BA5AA8">
      <w:pPr>
        <w:jc w:val="both"/>
      </w:pPr>
      <w:r w:rsidRPr="0033566A">
        <w:t>The 2024 Action Plan for Public Sector Equality and Human Rights Duty was published along with an implementation plan and training rolled out for the working group to support its delivery.</w:t>
      </w:r>
    </w:p>
    <w:p w14:paraId="1B3E4CD9" w14:textId="77777777" w:rsidR="0033566A" w:rsidRPr="0033566A" w:rsidRDefault="0033566A" w:rsidP="00BA5AA8">
      <w:pPr>
        <w:jc w:val="both"/>
      </w:pPr>
      <w:r w:rsidRPr="0033566A">
        <w:t>17,312 customer queries and 5,332 councillor representations responded to within the deadlines set out in the Customer Charter and 147,460 telephone calls were also responded to.</w:t>
      </w:r>
    </w:p>
    <w:p w14:paraId="4016DA3A" w14:textId="77777777" w:rsidR="0033566A" w:rsidRPr="0033566A" w:rsidRDefault="0033566A" w:rsidP="00BA5AA8">
      <w:pPr>
        <w:jc w:val="both"/>
      </w:pPr>
      <w:r w:rsidRPr="0033566A">
        <w:t>An Irish Language Communications Officer was appointed to support organisational compliance with the provisions of the Official Languages Act.</w:t>
      </w:r>
    </w:p>
    <w:p w14:paraId="47BEC227" w14:textId="77777777" w:rsidR="0033566A" w:rsidRPr="0033566A" w:rsidRDefault="0033566A" w:rsidP="00BA5AA8">
      <w:pPr>
        <w:jc w:val="both"/>
      </w:pPr>
      <w:r w:rsidRPr="0033566A">
        <w:t xml:space="preserve">In partnership with the other three Dublin local authorities, we embarked on Gaeilge365, an Irish language innovation programme to increase the number of daily Irish speakers in Dublin with two particularly significant initiatives commenced: ‘An </w:t>
      </w:r>
      <w:proofErr w:type="spellStart"/>
      <w:r w:rsidRPr="0033566A">
        <w:t>Chomhairle</w:t>
      </w:r>
      <w:proofErr w:type="spellEnd"/>
      <w:r w:rsidRPr="0033566A">
        <w:t xml:space="preserve"> </w:t>
      </w:r>
      <w:proofErr w:type="spellStart"/>
      <w:r w:rsidRPr="0033566A">
        <w:t>Chraiceáilte</w:t>
      </w:r>
      <w:proofErr w:type="spellEnd"/>
      <w:r w:rsidRPr="0033566A">
        <w:t>’ targeting our employees, and ‘</w:t>
      </w:r>
      <w:proofErr w:type="spellStart"/>
      <w:r w:rsidRPr="0033566A">
        <w:t>Todhchaí</w:t>
      </w:r>
      <w:proofErr w:type="spellEnd"/>
      <w:r w:rsidRPr="0033566A">
        <w:t xml:space="preserve"> Geal </w:t>
      </w:r>
      <w:proofErr w:type="spellStart"/>
      <w:r w:rsidRPr="0033566A">
        <w:t>Gaelach</w:t>
      </w:r>
      <w:proofErr w:type="spellEnd"/>
      <w:r w:rsidRPr="0033566A">
        <w:t>’ for transition year students.</w:t>
      </w:r>
    </w:p>
    <w:p w14:paraId="7C2B3F43" w14:textId="77777777" w:rsidR="0033566A" w:rsidRPr="0033566A" w:rsidRDefault="0033566A" w:rsidP="00BA5AA8">
      <w:pPr>
        <w:jc w:val="both"/>
      </w:pPr>
      <w:r w:rsidRPr="0033566A">
        <w:t>Our Green Public Procurement Working Group established, with training provided and preparation for the implementation of national GPP criteria underway.</w:t>
      </w:r>
    </w:p>
    <w:p w14:paraId="2226D92A" w14:textId="77777777" w:rsidR="0033566A" w:rsidRPr="0033566A" w:rsidRDefault="0033566A" w:rsidP="00BA5AA8">
      <w:pPr>
        <w:jc w:val="both"/>
      </w:pPr>
    </w:p>
    <w:p w14:paraId="4765E26B" w14:textId="77777777" w:rsidR="0033566A" w:rsidRPr="00B60676" w:rsidRDefault="0033566A" w:rsidP="00B60676">
      <w:pPr>
        <w:jc w:val="both"/>
        <w:rPr>
          <w:b/>
          <w:bCs/>
        </w:rPr>
      </w:pPr>
      <w:r w:rsidRPr="00B60676">
        <w:rPr>
          <w:b/>
          <w:bCs/>
          <w:lang w:val="en-GB"/>
        </w:rPr>
        <w:t>Foster a strong governance culture in the organisation</w:t>
      </w:r>
    </w:p>
    <w:p w14:paraId="2AAC0B9F" w14:textId="77777777" w:rsidR="0033566A" w:rsidRPr="0033566A" w:rsidRDefault="0033566A" w:rsidP="00BA5AA8">
      <w:pPr>
        <w:jc w:val="both"/>
      </w:pPr>
      <w:r w:rsidRPr="0033566A">
        <w:t>The new Corporate Plan 2025 – 2029 adopted in December following extensive councillor, staff and public consultation and engagement, with just under 1,000 participants involved in the consultation processes.</w:t>
      </w:r>
    </w:p>
    <w:p w14:paraId="2546AA0E" w14:textId="77777777" w:rsidR="0033566A" w:rsidRPr="0033566A" w:rsidRDefault="0033566A" w:rsidP="00BA5AA8">
      <w:pPr>
        <w:jc w:val="both"/>
      </w:pPr>
      <w:r w:rsidRPr="0033566A">
        <w:t>The Corporate Governance Framework was actively promoted, managed and monitored corporately including the Ethics Framework, the reporting of Political Donations for Councillors, Section 142 Register of Councillor Payments and Attendance and the Section 141 Register of Councillor Payments and Attendance to outside bodies, Protected Disclosures reporting, the Public Spending Code Quality Assurance Report and compliance with the requirements of the Lobbying Act, to ensure all council business is conducted in a transparent way. Legislative changes were reviewed, and measures implemented to ensure compliance. New Code of Governance for the Local Government Sector in place.</w:t>
      </w:r>
    </w:p>
    <w:p w14:paraId="22F6A604" w14:textId="77777777" w:rsidR="0033566A" w:rsidRPr="0033566A" w:rsidRDefault="0033566A" w:rsidP="00BA5AA8">
      <w:pPr>
        <w:jc w:val="both"/>
      </w:pPr>
      <w:r w:rsidRPr="0033566A">
        <w:t xml:space="preserve">The Corporate Performance Reporting Framework also actively supported the values of accountability, transparency and value for money, through the Chief Executive’s monthly report including performance indicators and digital dashboards, the 2023 Annual Report and the 2024 </w:t>
      </w:r>
      <w:r w:rsidRPr="0033566A">
        <w:lastRenderedPageBreak/>
        <w:t>Service Delivery Plan and application across into PMDS.  Analysis of the NOAC Performance Indicators was presented to the Audit Committee and circulated across the organisation and a performance verification process was also completed by NOAC.</w:t>
      </w:r>
    </w:p>
    <w:p w14:paraId="6B4BB381" w14:textId="77777777" w:rsidR="0033566A" w:rsidRPr="0033566A" w:rsidRDefault="0033566A" w:rsidP="00BA5AA8">
      <w:pPr>
        <w:jc w:val="both"/>
      </w:pPr>
      <w:r w:rsidRPr="0033566A">
        <w:t>The new Audit Committee was established with four meetings facilitated to support key responsibilities including consideration of Internal Audit reports and the Local Government Audit of the Annual Financial Statement.</w:t>
      </w:r>
    </w:p>
    <w:p w14:paraId="523243B7" w14:textId="77777777" w:rsidR="0033566A" w:rsidRPr="0033566A" w:rsidRDefault="0033566A" w:rsidP="00BA5AA8">
      <w:pPr>
        <w:jc w:val="both"/>
      </w:pPr>
      <w:r w:rsidRPr="0033566A">
        <w:t xml:space="preserve">Procurement changes saw the introduction of a new OGP </w:t>
      </w:r>
      <w:proofErr w:type="spellStart"/>
      <w:r w:rsidRPr="0033566A">
        <w:t>eTenders</w:t>
      </w:r>
      <w:proofErr w:type="spellEnd"/>
      <w:r w:rsidRPr="0033566A">
        <w:t xml:space="preserve"> System in 2023 and ongoing upgrades to the system during 2024 meant the Procurement unit had to ensure all new updates were communicated to staff in a timely manner through the Steering group.</w:t>
      </w:r>
    </w:p>
    <w:p w14:paraId="6D5C9407" w14:textId="77777777" w:rsidR="0033566A" w:rsidRPr="0033566A" w:rsidRDefault="0033566A" w:rsidP="00BA5AA8">
      <w:pPr>
        <w:jc w:val="both"/>
      </w:pPr>
      <w:r w:rsidRPr="0033566A">
        <w:t>124 contracts of over €25,000 in value were awarded during the year.</w:t>
      </w:r>
    </w:p>
    <w:p w14:paraId="13A7B480" w14:textId="77777777" w:rsidR="0033566A" w:rsidRPr="0033566A" w:rsidRDefault="0033566A" w:rsidP="00BA5AA8">
      <w:pPr>
        <w:jc w:val="both"/>
      </w:pPr>
      <w:r w:rsidRPr="0033566A">
        <w:t>Implementation of the 2024-2026 Procurement Plan including quarterly meetings of the Steering Group, ongoing maintenance of the contracts database and procurement pipeline, compliance checks and the provision of both procurement and green public procurement training, advice and information to staff.</w:t>
      </w:r>
    </w:p>
    <w:p w14:paraId="23C451F7" w14:textId="77777777" w:rsidR="0033566A" w:rsidRPr="0033566A" w:rsidRDefault="0033566A" w:rsidP="00BA5AA8">
      <w:pPr>
        <w:jc w:val="both"/>
      </w:pPr>
      <w:r w:rsidRPr="0033566A">
        <w:t>The Public Spending Code Quality Assurance Report for 2023 was published and submitted to NOAC.</w:t>
      </w:r>
    </w:p>
    <w:p w14:paraId="3D8944CD" w14:textId="77777777" w:rsidR="0033566A" w:rsidRPr="0033566A" w:rsidRDefault="0033566A" w:rsidP="00BA5AA8">
      <w:pPr>
        <w:jc w:val="both"/>
      </w:pPr>
      <w:r w:rsidRPr="0033566A">
        <w:t>A Data Protection Officer was appointed through external service provision to liaise on all matters with the Data Protection Commission, including a full response to the commission on an ongoing audit of surveillance technology for law enforcement purposes, handling data breaches and ongoing compliance issues.</w:t>
      </w:r>
    </w:p>
    <w:p w14:paraId="56213EAB" w14:textId="77777777" w:rsidR="0033566A" w:rsidRPr="0033566A" w:rsidRDefault="0033566A" w:rsidP="00BA5AA8">
      <w:pPr>
        <w:jc w:val="both"/>
      </w:pPr>
      <w:r w:rsidRPr="0033566A">
        <w:t>337 Freedom of Information and Data Access requests were responded to.</w:t>
      </w:r>
    </w:p>
    <w:p w14:paraId="546E09ED" w14:textId="77777777" w:rsidR="0033566A" w:rsidRPr="0033566A" w:rsidRDefault="0033566A" w:rsidP="00B60676">
      <w:pPr>
        <w:jc w:val="both"/>
      </w:pPr>
    </w:p>
    <w:p w14:paraId="1C7FA0D7" w14:textId="77777777" w:rsidR="0033566A" w:rsidRPr="00B60676" w:rsidRDefault="0033566A" w:rsidP="00B60676">
      <w:pPr>
        <w:jc w:val="both"/>
        <w:rPr>
          <w:b/>
          <w:bCs/>
        </w:rPr>
      </w:pPr>
      <w:r w:rsidRPr="00B60676">
        <w:rPr>
          <w:b/>
          <w:bCs/>
          <w:lang w:val="en-GB"/>
        </w:rPr>
        <w:t>Build public trust through the delivery of effective communications and citizen engagement</w:t>
      </w:r>
      <w:r w:rsidRPr="00B60676">
        <w:rPr>
          <w:b/>
          <w:bCs/>
        </w:rPr>
        <w:t> </w:t>
      </w:r>
    </w:p>
    <w:p w14:paraId="674A267A" w14:textId="77777777" w:rsidR="0033566A" w:rsidRPr="0033566A" w:rsidRDefault="0033566A" w:rsidP="00BA5AA8">
      <w:pPr>
        <w:jc w:val="both"/>
      </w:pPr>
      <w:r w:rsidRPr="0033566A">
        <w:t>Development of our brand strategy, architecture and creatives progressed, informed by a discovery phase which included desk-top research and active engagement across local, national and international stakeholders and experts on place-branding.</w:t>
      </w:r>
    </w:p>
    <w:p w14:paraId="22B31660" w14:textId="77777777" w:rsidR="0033566A" w:rsidRPr="0033566A" w:rsidRDefault="0033566A" w:rsidP="00BA5AA8">
      <w:pPr>
        <w:jc w:val="both"/>
      </w:pPr>
      <w:r w:rsidRPr="0033566A">
        <w:t xml:space="preserve">Over 1.6 million people engaged with us on social media and over 1.7 million people accessed information on our websites. </w:t>
      </w:r>
    </w:p>
    <w:p w14:paraId="4B6E249C" w14:textId="77777777" w:rsidR="0033566A" w:rsidRPr="0033566A" w:rsidRDefault="0033566A" w:rsidP="00BA5AA8">
      <w:pPr>
        <w:jc w:val="both"/>
      </w:pPr>
      <w:r w:rsidRPr="0033566A">
        <w:t xml:space="preserve">Area Committee Meetings webcasting commenced in </w:t>
      </w:r>
      <w:proofErr w:type="gramStart"/>
      <w:r w:rsidRPr="0033566A">
        <w:t>January</w:t>
      </w:r>
      <w:proofErr w:type="gramEnd"/>
      <w:r w:rsidRPr="0033566A">
        <w:t xml:space="preserve"> and all webcasted meetings are now live streamed on social media. </w:t>
      </w:r>
    </w:p>
    <w:p w14:paraId="5B7F564D" w14:textId="77777777" w:rsidR="0033566A" w:rsidRPr="0033566A" w:rsidRDefault="0033566A" w:rsidP="00BA5AA8">
      <w:pPr>
        <w:jc w:val="both"/>
      </w:pPr>
      <w:r w:rsidRPr="0033566A">
        <w:t>An independent evaluation of the Have Your Say participatory budgeting initiative was carried out and the recommendations were presented and agreed for development / implementation.</w:t>
      </w:r>
    </w:p>
    <w:p w14:paraId="3F1EBBD0" w14:textId="77777777" w:rsidR="0033566A" w:rsidRPr="0033566A" w:rsidRDefault="0033566A" w:rsidP="00BA5AA8">
      <w:pPr>
        <w:jc w:val="both"/>
      </w:pPr>
      <w:r w:rsidRPr="0033566A">
        <w:lastRenderedPageBreak/>
        <w:t>The summer and winter editions of our newsletter, South Dublin County Today, were published and the summer edition was delivered to every home, school and business across the county in June.</w:t>
      </w:r>
    </w:p>
    <w:p w14:paraId="1917ED5C" w14:textId="77777777" w:rsidR="0033566A" w:rsidRPr="0033566A" w:rsidRDefault="0033566A" w:rsidP="00BA5AA8">
      <w:pPr>
        <w:jc w:val="both"/>
      </w:pPr>
      <w:r w:rsidRPr="0033566A">
        <w:t xml:space="preserve">Corporate publications including the Annual Report for 2023, the 2024 Service Delivery Plan and monthly reports and indicators on progress, were presented to the Council and published on the “Our Performance” section of </w:t>
      </w:r>
      <w:hyperlink r:id="rId12" w:history="1">
        <w:r w:rsidRPr="0033566A">
          <w:rPr>
            <w:rStyle w:val="Hyperlink"/>
          </w:rPr>
          <w:t>www.sdcc.ie</w:t>
        </w:r>
      </w:hyperlink>
      <w:r w:rsidRPr="0033566A">
        <w:t>.</w:t>
      </w:r>
    </w:p>
    <w:p w14:paraId="45F9B13F" w14:textId="77777777" w:rsidR="0033566A" w:rsidRPr="0033566A" w:rsidRDefault="0033566A" w:rsidP="00BA5AA8">
      <w:pPr>
        <w:jc w:val="both"/>
      </w:pPr>
      <w:r w:rsidRPr="0033566A">
        <w:t xml:space="preserve">Ongoing staff communications were supported through the intranet, staff app, digital newsletters and digital screens across work locations. </w:t>
      </w:r>
    </w:p>
    <w:p w14:paraId="17119B07" w14:textId="77777777" w:rsidR="0033566A" w:rsidRPr="0033566A" w:rsidRDefault="0033566A" w:rsidP="00BA5AA8">
      <w:pPr>
        <w:jc w:val="both"/>
      </w:pPr>
      <w:r w:rsidRPr="0033566A">
        <w:t xml:space="preserve">Management of content on new outside screens across the County Hall campus and with the creation of Parthalán Place. </w:t>
      </w:r>
    </w:p>
    <w:p w14:paraId="1975068E" w14:textId="77777777" w:rsidR="0033566A" w:rsidRPr="0033566A" w:rsidRDefault="0033566A" w:rsidP="00B60676">
      <w:pPr>
        <w:jc w:val="both"/>
      </w:pPr>
    </w:p>
    <w:p w14:paraId="3989331A" w14:textId="77777777" w:rsidR="0033566A" w:rsidRPr="00B60676" w:rsidRDefault="0033566A" w:rsidP="00B60676">
      <w:pPr>
        <w:jc w:val="both"/>
        <w:rPr>
          <w:b/>
          <w:bCs/>
          <w:lang w:val="en-GB"/>
        </w:rPr>
      </w:pPr>
      <w:r w:rsidRPr="00B60676">
        <w:rPr>
          <w:b/>
          <w:bCs/>
          <w:lang w:val="en-GB"/>
        </w:rPr>
        <w:t>Develop organisational capacity to actively support the delivery of the Corporate Plan objectives and the local government reform programme</w:t>
      </w:r>
    </w:p>
    <w:p w14:paraId="5F7A4B27" w14:textId="77777777" w:rsidR="0033566A" w:rsidRPr="0033566A" w:rsidRDefault="0033566A" w:rsidP="00BA5AA8">
      <w:pPr>
        <w:jc w:val="both"/>
      </w:pPr>
      <w:r w:rsidRPr="0033566A">
        <w:t>During the year, 143 new staff joined us, 82 existing staff were promoted, 69 staff left to pursue other opportunities, and 44 staff retired.  We held 67 recruitment competitions over 161 days (representing almost 65% of available working days). Up to November, 1,980 application forms were processed and some 815 candidates interviewed, including managing recruitment of 93 graduates in the LGMA Graduate Programme in the Dublin region with 11 graduates across seven skill areas joining SDCC.</w:t>
      </w:r>
    </w:p>
    <w:p w14:paraId="71A207C8" w14:textId="77777777" w:rsidR="0033566A" w:rsidRPr="0033566A" w:rsidRDefault="0033566A" w:rsidP="00BA5AA8">
      <w:pPr>
        <w:jc w:val="both"/>
      </w:pPr>
      <w:r w:rsidRPr="0033566A">
        <w:t>Strategic workforce planning commenced and will be fully aligned with our new Corporate Plan. This proactive management of our current and future workforce will enable us to meet strategic challenges and to maintain a well-structured workforce of an appropriate size with capacity to meet changing needs efficiently.</w:t>
      </w:r>
    </w:p>
    <w:p w14:paraId="70118415" w14:textId="77777777" w:rsidR="0033566A" w:rsidRPr="0033566A" w:rsidRDefault="0033566A" w:rsidP="00BA5AA8">
      <w:pPr>
        <w:jc w:val="both"/>
      </w:pPr>
      <w:r w:rsidRPr="0033566A">
        <w:t>We continued building stronger relationships with third-level institutions such as UCD and TUD Tallaght, facilitating nine internship placements in LEO, ICT, and Planning while our partnership with AHEAD to deliver the WAM programme resulted in two 12-month paid placements for graduates with disabilities.</w:t>
      </w:r>
    </w:p>
    <w:p w14:paraId="6B05005A" w14:textId="77777777" w:rsidR="0033566A" w:rsidRPr="0033566A" w:rsidRDefault="0033566A" w:rsidP="00BA5AA8">
      <w:pPr>
        <w:jc w:val="both"/>
      </w:pPr>
      <w:r w:rsidRPr="0033566A">
        <w:t>Rolling recruitment was successfully trialled to recruit Clerical Officers in a shorter timeframe and 38 summer students were employed on 10-week contracts.</w:t>
      </w:r>
    </w:p>
    <w:p w14:paraId="39EB7E19" w14:textId="77777777" w:rsidR="0033566A" w:rsidRPr="0033566A" w:rsidRDefault="0033566A" w:rsidP="00BA5AA8">
      <w:pPr>
        <w:jc w:val="both"/>
      </w:pPr>
      <w:r w:rsidRPr="0033566A">
        <w:t>Our Employee Induction Programme to welcome new employees was updated to incorporate cyber security training.</w:t>
      </w:r>
    </w:p>
    <w:p w14:paraId="1A51533C" w14:textId="77777777" w:rsidR="0033566A" w:rsidRPr="0033566A" w:rsidRDefault="0033566A" w:rsidP="00BA5AA8">
      <w:pPr>
        <w:jc w:val="both"/>
      </w:pPr>
      <w:r w:rsidRPr="0033566A">
        <w:t>A General Operative (GO) Traineeship programme was developed and rolled out, with nine GOs successfully completing.</w:t>
      </w:r>
    </w:p>
    <w:p w14:paraId="3CF2E995" w14:textId="77777777" w:rsidR="0033566A" w:rsidRPr="0033566A" w:rsidRDefault="0033566A" w:rsidP="00BA5AA8">
      <w:pPr>
        <w:jc w:val="both"/>
      </w:pPr>
      <w:r w:rsidRPr="0033566A">
        <w:t>Our 2024 Gender Pay Gap Report was published in December showing average earnings of all females working with us are 9.77% higher than the average earnings of all males.</w:t>
      </w:r>
    </w:p>
    <w:p w14:paraId="4DF7C93A" w14:textId="77777777" w:rsidR="0033566A" w:rsidRPr="0033566A" w:rsidRDefault="0033566A" w:rsidP="00BA5AA8">
      <w:pPr>
        <w:jc w:val="both"/>
      </w:pPr>
      <w:r w:rsidRPr="0033566A">
        <w:lastRenderedPageBreak/>
        <w:t>We continued to implement our Innovation Strategy, including organising and delivering events for the 6th Annual Innovation Week and Staff Innovation Awards.</w:t>
      </w:r>
    </w:p>
    <w:p w14:paraId="35EF9694" w14:textId="77777777" w:rsidR="0033566A" w:rsidRPr="0033566A" w:rsidRDefault="0033566A" w:rsidP="00BA5AA8">
      <w:pPr>
        <w:jc w:val="both"/>
      </w:pPr>
      <w:r w:rsidRPr="0033566A">
        <w:t>Performance management training and training needs analysis reviews were conducted with outdoor staff and line managers across all depots. Managers were also supported in managing sick leave and absenteeism through HR data analytics, advisory support, visual leaflets and other measures.</w:t>
      </w:r>
    </w:p>
    <w:p w14:paraId="437083CE" w14:textId="77777777" w:rsidR="0033566A" w:rsidRPr="0033566A" w:rsidRDefault="0033566A" w:rsidP="00BA5AA8">
      <w:pPr>
        <w:jc w:val="both"/>
      </w:pPr>
      <w:r w:rsidRPr="0033566A">
        <w:t>A comprehensive schedule of staff training and development events was delivered, including 226 training courses, mentoring and coaching programmes, external training requests, conference attendance, and the Scheme of Assistance for formal education courses.</w:t>
      </w:r>
    </w:p>
    <w:p w14:paraId="4E7D6015" w14:textId="77777777" w:rsidR="0033566A" w:rsidRPr="0033566A" w:rsidRDefault="0033566A" w:rsidP="00BA5AA8">
      <w:pPr>
        <w:jc w:val="both"/>
      </w:pPr>
      <w:r w:rsidRPr="0033566A">
        <w:t>Our new Organisational Development team launched a Secondary Schools Outreach Programme to promote SDCC as an employer of choice to senior cycle students. Initial communication was with ten DEIS schools, and the programme will be further developed in 2025.</w:t>
      </w:r>
    </w:p>
    <w:p w14:paraId="3ADBF533" w14:textId="77777777" w:rsidR="0033566A" w:rsidRPr="0033566A" w:rsidRDefault="0033566A" w:rsidP="00BA5AA8">
      <w:pPr>
        <w:jc w:val="both"/>
      </w:pPr>
      <w:r w:rsidRPr="0033566A">
        <w:t xml:space="preserve">Health and safety procedures continued to be prioritised with quarterly safety consultative meetings and 390 site inspections across all work areas. The management team received bi-monthly reports from the Health and Safety Officer on the incidents reported and provided full oversight of the safety management system. </w:t>
      </w:r>
    </w:p>
    <w:p w14:paraId="235A6AC3" w14:textId="77777777" w:rsidR="0033566A" w:rsidRPr="0033566A" w:rsidRDefault="0033566A" w:rsidP="00BA5AA8">
      <w:pPr>
        <w:jc w:val="both"/>
      </w:pPr>
      <w:r w:rsidRPr="0033566A">
        <w:t xml:space="preserve">Events continued under the Staff Wellbeing Action Plan including Workplace Well Being Day, Breast Cancer Awareness month, staff smoking cessation programmes, a safety and wellbeing Seminar, employee health checks and the flu vaccination programme. </w:t>
      </w:r>
    </w:p>
    <w:p w14:paraId="5EBE8E62" w14:textId="77777777" w:rsidR="0033566A" w:rsidRPr="0033566A" w:rsidRDefault="0033566A" w:rsidP="00BA5AA8">
      <w:pPr>
        <w:jc w:val="both"/>
      </w:pPr>
      <w:r w:rsidRPr="0033566A">
        <w:t>A new Staff Wellbeing Strategy was launched in November setting out our vision and aims for employee wellbeing up until 2027.  A Wellbeing Champions Programme was introduced to support the Staff Wellbeing Strategy comprising of 14 employees in a voluntary capacity who lend a non-judgemental listening ear to colleagues at local level, promote self-care, provide emotional support and promote and increase awareness of the many health and wellbeing initiatives and activities.</w:t>
      </w:r>
    </w:p>
    <w:p w14:paraId="4F6933BF" w14:textId="77777777" w:rsidR="0033566A" w:rsidRPr="0033566A" w:rsidRDefault="0033566A" w:rsidP="00BA5AA8">
      <w:pPr>
        <w:jc w:val="both"/>
      </w:pPr>
      <w:r w:rsidRPr="0033566A">
        <w:t>Our Employee Assistance Program (EAP) provided by Spectrum Life provides a 24/7/365 service involving confidential counselling and support for staff and councillors who may be experiencing difficulties, with the programme also extended to immediate family members.</w:t>
      </w:r>
    </w:p>
    <w:p w14:paraId="11F300AE" w14:textId="77777777" w:rsidR="0033566A" w:rsidRPr="0033566A" w:rsidRDefault="0033566A" w:rsidP="00BA5AA8">
      <w:pPr>
        <w:jc w:val="both"/>
      </w:pPr>
      <w:r w:rsidRPr="0033566A">
        <w:t xml:space="preserve">Effective industrial relations structures were supported by management and trade union engagement in accordance with the objectives of the Public Services Stability Agreements through monthly meetings, quarterly workforce planning meetings and attendance at the WRC and Labour Court when agreed local mechanisms are exhausted. </w:t>
      </w:r>
    </w:p>
    <w:p w14:paraId="326DC1F8" w14:textId="77777777" w:rsidR="0033566A" w:rsidRPr="0033566A" w:rsidRDefault="0033566A" w:rsidP="00BA5AA8">
      <w:pPr>
        <w:jc w:val="both"/>
      </w:pPr>
      <w:r w:rsidRPr="0033566A">
        <w:t>Our superannuation operations successfully transferred to My Pay Shared Services.</w:t>
      </w:r>
    </w:p>
    <w:p w14:paraId="37B707C2" w14:textId="77777777" w:rsidR="0033566A" w:rsidRPr="0033566A" w:rsidRDefault="0033566A" w:rsidP="00BA5AA8">
      <w:pPr>
        <w:jc w:val="both"/>
        <w:rPr>
          <w:b/>
          <w:bCs/>
          <w:lang w:val="en-GB"/>
        </w:rPr>
      </w:pPr>
    </w:p>
    <w:p w14:paraId="03B16DF4" w14:textId="77777777" w:rsidR="0033566A" w:rsidRPr="00B60676" w:rsidRDefault="0033566A" w:rsidP="00B60676">
      <w:pPr>
        <w:jc w:val="both"/>
        <w:rPr>
          <w:b/>
          <w:bCs/>
          <w:lang w:val="en-GB"/>
        </w:rPr>
      </w:pPr>
      <w:r w:rsidRPr="00B60676">
        <w:rPr>
          <w:b/>
          <w:bCs/>
          <w:lang w:val="en-GB"/>
        </w:rPr>
        <w:t xml:space="preserve">Provide robust </w:t>
      </w:r>
      <w:bookmarkStart w:id="112" w:name="_Int_jRHHQVQ7"/>
      <w:r w:rsidRPr="00B60676">
        <w:rPr>
          <w:b/>
          <w:bCs/>
          <w:lang w:val="en-GB"/>
        </w:rPr>
        <w:t>financial management</w:t>
      </w:r>
      <w:bookmarkEnd w:id="112"/>
      <w:r w:rsidRPr="00B60676">
        <w:rPr>
          <w:b/>
          <w:bCs/>
          <w:lang w:val="en-GB"/>
        </w:rPr>
        <w:t xml:space="preserve"> and risk management systems</w:t>
      </w:r>
    </w:p>
    <w:p w14:paraId="48D3E043" w14:textId="77777777" w:rsidR="0033566A" w:rsidRPr="0033566A" w:rsidRDefault="0033566A" w:rsidP="00BA5AA8">
      <w:pPr>
        <w:jc w:val="both"/>
        <w:rPr>
          <w:lang w:val="en-GB"/>
        </w:rPr>
      </w:pPr>
      <w:r w:rsidRPr="0033566A">
        <w:rPr>
          <w:lang w:val="en-GB"/>
        </w:rPr>
        <w:lastRenderedPageBreak/>
        <w:t xml:space="preserve">The work of our Debt Management Unit continued with an additional €4.5 million collected in commercial rates, bringing the total collected to over €145.7million representing our highest amount ever collected </w:t>
      </w:r>
      <w:proofErr w:type="gramStart"/>
      <w:r w:rsidRPr="0033566A">
        <w:rPr>
          <w:lang w:val="en-GB"/>
        </w:rPr>
        <w:t>and also</w:t>
      </w:r>
      <w:proofErr w:type="gramEnd"/>
      <w:r w:rsidRPr="0033566A">
        <w:rPr>
          <w:lang w:val="en-GB"/>
        </w:rPr>
        <w:t xml:space="preserve"> resulting in reducing arrears by over €1m to approximately €13.6 million which is the lowest figure since 2008.</w:t>
      </w:r>
    </w:p>
    <w:p w14:paraId="034F5425" w14:textId="77777777" w:rsidR="0033566A" w:rsidRPr="0033566A" w:rsidRDefault="0033566A" w:rsidP="00BA5AA8">
      <w:pPr>
        <w:jc w:val="both"/>
      </w:pPr>
      <w:r w:rsidRPr="0033566A">
        <w:rPr>
          <w:lang w:val="en-GB"/>
        </w:rPr>
        <w:t>We also increased collection of differential rents by 12% with €34.9 million collected and there was continued improvement in the collection rate for housing loans with loan arrears reducing from €0.8m to €0.3m.</w:t>
      </w:r>
    </w:p>
    <w:p w14:paraId="155BAED7" w14:textId="77777777" w:rsidR="0033566A" w:rsidRPr="0033566A" w:rsidRDefault="0033566A" w:rsidP="00BA5AA8">
      <w:pPr>
        <w:jc w:val="both"/>
      </w:pPr>
      <w:r w:rsidRPr="0033566A">
        <w:rPr>
          <w:lang w:val="en-GB"/>
        </w:rPr>
        <w:t xml:space="preserve">Positive engagement with </w:t>
      </w:r>
      <w:proofErr w:type="spellStart"/>
      <w:r w:rsidRPr="0033566A">
        <w:rPr>
          <w:lang w:val="en-GB"/>
        </w:rPr>
        <w:t>Tailte</w:t>
      </w:r>
      <w:proofErr w:type="spellEnd"/>
      <w:r w:rsidRPr="0033566A">
        <w:rPr>
          <w:lang w:val="en-GB"/>
        </w:rPr>
        <w:t xml:space="preserve"> Éireann (formally the Valuation Office) resulted in 109 valuations being processed which will provide ongoing additional funding in future.</w:t>
      </w:r>
    </w:p>
    <w:p w14:paraId="794F25B4" w14:textId="77777777" w:rsidR="0033566A" w:rsidRPr="0033566A" w:rsidRDefault="0033566A" w:rsidP="00BA5AA8">
      <w:pPr>
        <w:jc w:val="both"/>
      </w:pPr>
      <w:r w:rsidRPr="0033566A">
        <w:t>5,178 Increased Cost of Business grants were processed to support small and medium businesses with a value of over €13.6m while we also commenced processing the new Power Up Grant (PUG) by year end.</w:t>
      </w:r>
    </w:p>
    <w:p w14:paraId="6C6652B0" w14:textId="77777777" w:rsidR="0033566A" w:rsidRPr="0033566A" w:rsidRDefault="0033566A" w:rsidP="00BA5AA8">
      <w:pPr>
        <w:jc w:val="both"/>
      </w:pPr>
      <w:r w:rsidRPr="0033566A">
        <w:rPr>
          <w:lang w:val="en-GB"/>
        </w:rPr>
        <w:t>In November, the Council adopted the Revenue Budget for 2025 with proposed expenditure totalling €391,942,200, representing a 17.5% increase on the previous year.</w:t>
      </w:r>
    </w:p>
    <w:p w14:paraId="2C7F2426" w14:textId="77777777" w:rsidR="0033566A" w:rsidRPr="0033566A" w:rsidRDefault="0033566A" w:rsidP="00BA5AA8">
      <w:pPr>
        <w:jc w:val="both"/>
      </w:pPr>
      <w:r w:rsidRPr="0033566A">
        <w:rPr>
          <w:lang w:val="en-GB"/>
        </w:rPr>
        <w:t>A new Three-Year Capital Programme for 2025 to 2027 with proposed investment of €1,746,733,00 in housing, infrastructure and facilities was presented to the Council in December.</w:t>
      </w:r>
    </w:p>
    <w:p w14:paraId="249A832C" w14:textId="77777777" w:rsidR="0033566A" w:rsidRPr="0033566A" w:rsidRDefault="0033566A" w:rsidP="00BA5AA8">
      <w:pPr>
        <w:jc w:val="both"/>
      </w:pPr>
      <w:r w:rsidRPr="0033566A">
        <w:rPr>
          <w:lang w:val="en-US"/>
        </w:rPr>
        <w:t>The Annual Financial Statement for 2023 was prepared within the required deadline of 31st March 2024 and the subsequent audited accounts and audit report were submitted to the Council and Audit Committee.</w:t>
      </w:r>
    </w:p>
    <w:p w14:paraId="56A6FFC2" w14:textId="77777777" w:rsidR="0033566A" w:rsidRPr="0033566A" w:rsidRDefault="0033566A" w:rsidP="00BA5AA8">
      <w:pPr>
        <w:jc w:val="both"/>
      </w:pPr>
      <w:r w:rsidRPr="0033566A">
        <w:rPr>
          <w:lang w:val="en-GB"/>
        </w:rPr>
        <w:t>Our payments to suppliers for the year amounted to €380 million, an annual increase of 34%.</w:t>
      </w:r>
    </w:p>
    <w:p w14:paraId="5FAE87F9" w14:textId="77777777" w:rsidR="0033566A" w:rsidRPr="0033566A" w:rsidRDefault="0033566A" w:rsidP="00BA5AA8">
      <w:pPr>
        <w:jc w:val="both"/>
      </w:pPr>
      <w:r w:rsidRPr="0033566A">
        <w:rPr>
          <w:lang w:val="en-GB"/>
        </w:rPr>
        <w:t>A range of training was provided to staff across the organisation to enhance financial management and understanding.</w:t>
      </w:r>
    </w:p>
    <w:p w14:paraId="45A334C6" w14:textId="77777777" w:rsidR="0033566A" w:rsidRPr="0033566A" w:rsidRDefault="0033566A" w:rsidP="00B60676">
      <w:pPr>
        <w:jc w:val="both"/>
      </w:pPr>
    </w:p>
    <w:p w14:paraId="212C5730" w14:textId="77777777" w:rsidR="0033566A" w:rsidRPr="00B60676" w:rsidRDefault="0033566A" w:rsidP="00B60676">
      <w:pPr>
        <w:jc w:val="both"/>
        <w:rPr>
          <w:b/>
          <w:bCs/>
          <w:lang w:val="en-GB"/>
        </w:rPr>
      </w:pPr>
      <w:r w:rsidRPr="00B60676">
        <w:rPr>
          <w:b/>
          <w:bCs/>
          <w:lang w:val="en-GB"/>
        </w:rPr>
        <w:t>Advance our use of information and communication technology through secure, modern, and intelligent initiatives enabling better experiences and outcomes in service delivery</w:t>
      </w:r>
    </w:p>
    <w:p w14:paraId="3D199C50" w14:textId="77777777" w:rsidR="0033566A" w:rsidRPr="0033566A" w:rsidRDefault="0033566A" w:rsidP="00BA5AA8">
      <w:pPr>
        <w:jc w:val="both"/>
        <w:rPr>
          <w:lang w:val="en-GB"/>
        </w:rPr>
      </w:pPr>
      <w:r w:rsidRPr="0033566A">
        <w:rPr>
          <w:lang w:val="en-GB"/>
        </w:rPr>
        <w:t>We continued to execute strategic operations focusing on remote working support, infrastructure upgrades, and security enhancements, including conducted continuous monitoring, remediation of security issues, synchronisation with security incident and event management systems, internal and perimeter penetration tests, and ransomware readiness assessments.</w:t>
      </w:r>
    </w:p>
    <w:p w14:paraId="1A8E74AB" w14:textId="77777777" w:rsidR="0033566A" w:rsidRPr="0033566A" w:rsidRDefault="0033566A" w:rsidP="00BA5AA8">
      <w:pPr>
        <w:jc w:val="both"/>
        <w:rPr>
          <w:lang w:val="en-GB"/>
        </w:rPr>
      </w:pPr>
      <w:r w:rsidRPr="0033566A">
        <w:rPr>
          <w:lang w:val="en-GB"/>
        </w:rPr>
        <w:t>We decommissioned outdated servers, upgraded domain controllers, optimized device management systems, improved virtualization environments, and transitioned to newer storage solutions while also activating cloud-based backups, transitioning database backups to a new solution, implementing and testing cloud-native backup solutions.</w:t>
      </w:r>
    </w:p>
    <w:p w14:paraId="661E8229" w14:textId="77777777" w:rsidR="0033566A" w:rsidRPr="0033566A" w:rsidRDefault="0033566A" w:rsidP="00BA5AA8">
      <w:pPr>
        <w:jc w:val="both"/>
        <w:rPr>
          <w:lang w:val="en-GB"/>
        </w:rPr>
      </w:pPr>
      <w:r w:rsidRPr="0033566A">
        <w:rPr>
          <w:lang w:val="en-GB"/>
        </w:rPr>
        <w:lastRenderedPageBreak/>
        <w:t>A tender for design software was published and we launched public and internal geographical information systems, supported the DURL project, and managed GDPR risks within the geographical information system environment.</w:t>
      </w:r>
    </w:p>
    <w:p w14:paraId="3B744805" w14:textId="77777777" w:rsidR="0033566A" w:rsidRPr="0033566A" w:rsidRDefault="0033566A" w:rsidP="00BA5AA8">
      <w:pPr>
        <w:jc w:val="both"/>
        <w:rPr>
          <w:lang w:val="en-GB"/>
        </w:rPr>
      </w:pPr>
      <w:r w:rsidRPr="0033566A">
        <w:rPr>
          <w:lang w:val="en-GB"/>
        </w:rPr>
        <w:t>We changed remote support tools, migrated from traditional phone systems to internet-based phone systems, and removed admin rights on staff laptops/PCs.</w:t>
      </w:r>
    </w:p>
    <w:p w14:paraId="76FBBB95" w14:textId="77777777" w:rsidR="0033566A" w:rsidRPr="0033566A" w:rsidRDefault="0033566A" w:rsidP="00BA5AA8">
      <w:pPr>
        <w:jc w:val="both"/>
        <w:rPr>
          <w:lang w:val="en-GB"/>
        </w:rPr>
      </w:pPr>
      <w:r w:rsidRPr="0033566A">
        <w:rPr>
          <w:lang w:val="en-GB"/>
        </w:rPr>
        <w:t>We enhanced the helpdesk system and supported a variety of public-facing projects as well as advancing our project monitoring system and initiating an organizational-wide governance project for data analytics.</w:t>
      </w:r>
    </w:p>
    <w:p w14:paraId="3258462E" w14:textId="77777777" w:rsidR="0033566A" w:rsidRPr="0033566A" w:rsidRDefault="0033566A" w:rsidP="00BA5AA8">
      <w:pPr>
        <w:jc w:val="both"/>
        <w:rPr>
          <w:lang w:val="en-GB"/>
        </w:rPr>
      </w:pPr>
      <w:r w:rsidRPr="0033566A">
        <w:rPr>
          <w:lang w:val="en-GB"/>
        </w:rPr>
        <w:t>We conducted housing surveys, continued database version migration, decommissioned older database servers, and upgraded staff devices to a newer operating system.</w:t>
      </w:r>
    </w:p>
    <w:p w14:paraId="7F8920B5" w14:textId="77777777" w:rsidR="0033566A" w:rsidRPr="0033566A" w:rsidRDefault="0033566A" w:rsidP="00BA5AA8">
      <w:pPr>
        <w:jc w:val="both"/>
        <w:rPr>
          <w:lang w:val="en-GB"/>
        </w:rPr>
      </w:pPr>
      <w:r w:rsidRPr="0033566A">
        <w:rPr>
          <w:lang w:val="en-GB"/>
        </w:rPr>
        <w:t>We initiated a CE orders replacement project, supported the co-pilot initiative, and provided support for major emergency management and local coordination centres.</w:t>
      </w:r>
    </w:p>
    <w:p w14:paraId="49C6C251" w14:textId="77777777" w:rsidR="0033566A" w:rsidRPr="0033566A" w:rsidRDefault="0033566A" w:rsidP="00B60676">
      <w:pPr>
        <w:jc w:val="both"/>
      </w:pPr>
    </w:p>
    <w:tbl>
      <w:tblPr>
        <w:tblW w:w="916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503"/>
        <w:gridCol w:w="1658"/>
      </w:tblGrid>
      <w:tr w:rsidR="0033566A" w:rsidRPr="0033566A" w14:paraId="1EDD599D" w14:textId="77777777" w:rsidTr="000F3A23">
        <w:trPr>
          <w:trHeight w:val="284"/>
          <w:jc w:val="center"/>
        </w:trPr>
        <w:tc>
          <w:tcPr>
            <w:tcW w:w="7503" w:type="dxa"/>
            <w:tcBorders>
              <w:top w:val="single" w:sz="8" w:space="0" w:color="000000"/>
              <w:left w:val="single" w:sz="8" w:space="0" w:color="000000"/>
              <w:bottom w:val="single" w:sz="8" w:space="0" w:color="000000"/>
              <w:right w:val="single" w:sz="8" w:space="0" w:color="000000"/>
            </w:tcBorders>
            <w:hideMark/>
          </w:tcPr>
          <w:p w14:paraId="69197C82" w14:textId="3F577E19" w:rsidR="0033566A" w:rsidRPr="00B60676" w:rsidRDefault="00077437" w:rsidP="00077437">
            <w:pPr>
              <w:spacing w:after="0"/>
              <w:jc w:val="both"/>
              <w:rPr>
                <w:b/>
                <w:bCs/>
                <w:lang w:val="en-US"/>
              </w:rPr>
            </w:pPr>
            <w:bookmarkStart w:id="113" w:name="Sheet1"/>
            <w:bookmarkEnd w:id="113"/>
            <w:proofErr w:type="spellStart"/>
            <w:r>
              <w:rPr>
                <w:b/>
                <w:bCs/>
                <w:lang w:val="en-US"/>
              </w:rPr>
              <w:t>Organisational</w:t>
            </w:r>
            <w:proofErr w:type="spellEnd"/>
            <w:r>
              <w:rPr>
                <w:b/>
                <w:bCs/>
                <w:lang w:val="en-US"/>
              </w:rPr>
              <w:t xml:space="preserve"> </w:t>
            </w:r>
            <w:r w:rsidR="00CF20E0">
              <w:rPr>
                <w:b/>
                <w:bCs/>
                <w:lang w:val="en-US"/>
              </w:rPr>
              <w:t>Capacity and Accountability</w:t>
            </w:r>
            <w:r w:rsidR="0033566A" w:rsidRPr="00B60676">
              <w:rPr>
                <w:b/>
                <w:bCs/>
                <w:lang w:val="en-US"/>
              </w:rPr>
              <w:t xml:space="preserve"> Key Statistics</w:t>
            </w:r>
          </w:p>
        </w:tc>
        <w:tc>
          <w:tcPr>
            <w:tcW w:w="1658" w:type="dxa"/>
            <w:tcBorders>
              <w:top w:val="single" w:sz="8" w:space="0" w:color="000000"/>
              <w:left w:val="single" w:sz="8" w:space="0" w:color="000000"/>
              <w:bottom w:val="single" w:sz="8" w:space="0" w:color="000000"/>
              <w:right w:val="single" w:sz="8" w:space="0" w:color="000000"/>
            </w:tcBorders>
            <w:hideMark/>
          </w:tcPr>
          <w:p w14:paraId="11CA7453" w14:textId="77777777" w:rsidR="0033566A" w:rsidRPr="00B60676" w:rsidRDefault="0033566A" w:rsidP="00077437">
            <w:pPr>
              <w:spacing w:after="0"/>
              <w:jc w:val="right"/>
              <w:rPr>
                <w:b/>
                <w:bCs/>
                <w:lang w:val="en-US"/>
              </w:rPr>
            </w:pPr>
            <w:r w:rsidRPr="00B60676">
              <w:rPr>
                <w:b/>
                <w:bCs/>
                <w:lang w:val="en-US"/>
              </w:rPr>
              <w:t>2024 Totals</w:t>
            </w:r>
          </w:p>
        </w:tc>
      </w:tr>
      <w:tr w:rsidR="0033566A" w:rsidRPr="0033566A" w14:paraId="7DB39A68" w14:textId="77777777" w:rsidTr="000F3A23">
        <w:trPr>
          <w:trHeight w:val="213"/>
          <w:jc w:val="center"/>
        </w:trPr>
        <w:tc>
          <w:tcPr>
            <w:tcW w:w="7503" w:type="dxa"/>
            <w:tcBorders>
              <w:top w:val="single" w:sz="8" w:space="0" w:color="000000"/>
              <w:left w:val="single" w:sz="8" w:space="0" w:color="000000"/>
              <w:bottom w:val="single" w:sz="8" w:space="0" w:color="000000"/>
              <w:right w:val="single" w:sz="8" w:space="0" w:color="000000"/>
            </w:tcBorders>
            <w:hideMark/>
          </w:tcPr>
          <w:p w14:paraId="2CC39E20" w14:textId="77777777" w:rsidR="0033566A" w:rsidRPr="0033566A" w:rsidRDefault="0033566A" w:rsidP="00077437">
            <w:pPr>
              <w:spacing w:after="0"/>
              <w:jc w:val="both"/>
              <w:rPr>
                <w:b/>
                <w:lang w:val="en-US"/>
              </w:rPr>
            </w:pPr>
            <w:r w:rsidRPr="0033566A">
              <w:rPr>
                <w:lang w:val="en-US"/>
              </w:rPr>
              <w:t xml:space="preserve">Customer queries </w:t>
            </w:r>
            <w:proofErr w:type="gramStart"/>
            <w:r w:rsidRPr="0033566A">
              <w:rPr>
                <w:lang w:val="en-US"/>
              </w:rPr>
              <w:t>closed</w:t>
            </w:r>
            <w:proofErr w:type="gramEnd"/>
            <w:r w:rsidRPr="0033566A">
              <w:rPr>
                <w:lang w:val="en-US"/>
              </w:rPr>
              <w:t xml:space="preserve"> within deadline</w:t>
            </w:r>
          </w:p>
        </w:tc>
        <w:tc>
          <w:tcPr>
            <w:tcW w:w="1658" w:type="dxa"/>
            <w:tcBorders>
              <w:top w:val="single" w:sz="8" w:space="0" w:color="000000"/>
              <w:left w:val="single" w:sz="8" w:space="0" w:color="000000"/>
              <w:bottom w:val="single" w:sz="8" w:space="0" w:color="000000"/>
              <w:right w:val="single" w:sz="8" w:space="0" w:color="000000"/>
            </w:tcBorders>
            <w:hideMark/>
          </w:tcPr>
          <w:p w14:paraId="6795ED0B" w14:textId="77777777" w:rsidR="0033566A" w:rsidRPr="0033566A" w:rsidRDefault="0033566A" w:rsidP="00077437">
            <w:pPr>
              <w:spacing w:after="0"/>
              <w:jc w:val="right"/>
              <w:rPr>
                <w:b/>
                <w:lang w:val="en-US"/>
              </w:rPr>
            </w:pPr>
            <w:r w:rsidRPr="0033566A">
              <w:rPr>
                <w:lang w:val="en-US"/>
              </w:rPr>
              <w:t>17,312</w:t>
            </w:r>
          </w:p>
        </w:tc>
      </w:tr>
      <w:tr w:rsidR="0033566A" w:rsidRPr="0033566A" w14:paraId="5FBDDBFB" w14:textId="77777777" w:rsidTr="000F3A23">
        <w:trPr>
          <w:trHeight w:val="284"/>
          <w:jc w:val="center"/>
        </w:trPr>
        <w:tc>
          <w:tcPr>
            <w:tcW w:w="7503" w:type="dxa"/>
            <w:tcBorders>
              <w:top w:val="single" w:sz="8" w:space="0" w:color="000000"/>
              <w:left w:val="single" w:sz="8" w:space="0" w:color="000000"/>
              <w:bottom w:val="single" w:sz="8" w:space="0" w:color="000000"/>
              <w:right w:val="single" w:sz="8" w:space="0" w:color="000000"/>
            </w:tcBorders>
            <w:hideMark/>
          </w:tcPr>
          <w:p w14:paraId="6E3778B2" w14:textId="77777777" w:rsidR="0033566A" w:rsidRPr="0033566A" w:rsidRDefault="0033566A" w:rsidP="00077437">
            <w:pPr>
              <w:spacing w:after="0"/>
              <w:jc w:val="both"/>
              <w:rPr>
                <w:lang w:val="en-US"/>
              </w:rPr>
            </w:pPr>
            <w:r w:rsidRPr="0033566A">
              <w:rPr>
                <w:lang w:val="en-US"/>
              </w:rPr>
              <w:t xml:space="preserve">Members’ </w:t>
            </w:r>
            <w:proofErr w:type="gramStart"/>
            <w:r w:rsidRPr="0033566A">
              <w:rPr>
                <w:lang w:val="en-US"/>
              </w:rPr>
              <w:t>representations</w:t>
            </w:r>
            <w:proofErr w:type="gramEnd"/>
            <w:r w:rsidRPr="0033566A">
              <w:rPr>
                <w:lang w:val="en-US"/>
              </w:rPr>
              <w:t xml:space="preserve"> </w:t>
            </w:r>
            <w:proofErr w:type="gramStart"/>
            <w:r w:rsidRPr="0033566A">
              <w:rPr>
                <w:lang w:val="en-US"/>
              </w:rPr>
              <w:t>closed</w:t>
            </w:r>
            <w:proofErr w:type="gramEnd"/>
            <w:r w:rsidRPr="0033566A">
              <w:rPr>
                <w:lang w:val="en-US"/>
              </w:rPr>
              <w:t xml:space="preserve"> within deadline</w:t>
            </w:r>
          </w:p>
        </w:tc>
        <w:tc>
          <w:tcPr>
            <w:tcW w:w="1658" w:type="dxa"/>
            <w:tcBorders>
              <w:top w:val="single" w:sz="8" w:space="0" w:color="000000"/>
              <w:left w:val="single" w:sz="8" w:space="0" w:color="000000"/>
              <w:bottom w:val="single" w:sz="8" w:space="0" w:color="000000"/>
              <w:right w:val="single" w:sz="8" w:space="0" w:color="000000"/>
            </w:tcBorders>
            <w:hideMark/>
          </w:tcPr>
          <w:p w14:paraId="611E3AAD" w14:textId="77777777" w:rsidR="0033566A" w:rsidRPr="0033566A" w:rsidRDefault="0033566A" w:rsidP="00077437">
            <w:pPr>
              <w:spacing w:after="0"/>
              <w:jc w:val="right"/>
              <w:rPr>
                <w:lang w:val="en-US"/>
              </w:rPr>
            </w:pPr>
            <w:r w:rsidRPr="0033566A">
              <w:rPr>
                <w:lang w:val="en-US"/>
              </w:rPr>
              <w:t>5,332</w:t>
            </w:r>
          </w:p>
        </w:tc>
      </w:tr>
      <w:tr w:rsidR="0033566A" w:rsidRPr="0033566A" w14:paraId="7059BFF5" w14:textId="77777777" w:rsidTr="000F3A23">
        <w:trPr>
          <w:trHeight w:val="284"/>
          <w:jc w:val="center"/>
        </w:trPr>
        <w:tc>
          <w:tcPr>
            <w:tcW w:w="7503" w:type="dxa"/>
            <w:tcBorders>
              <w:top w:val="single" w:sz="8" w:space="0" w:color="000000"/>
              <w:left w:val="single" w:sz="8" w:space="0" w:color="000000"/>
              <w:bottom w:val="single" w:sz="8" w:space="0" w:color="000000"/>
              <w:right w:val="single" w:sz="8" w:space="0" w:color="000000"/>
            </w:tcBorders>
            <w:hideMark/>
          </w:tcPr>
          <w:p w14:paraId="11AD23EC" w14:textId="77777777" w:rsidR="0033566A" w:rsidRPr="0033566A" w:rsidRDefault="0033566A" w:rsidP="00077437">
            <w:pPr>
              <w:spacing w:after="0"/>
              <w:jc w:val="both"/>
              <w:rPr>
                <w:lang w:val="en-US"/>
              </w:rPr>
            </w:pPr>
            <w:r w:rsidRPr="0033566A">
              <w:rPr>
                <w:lang w:val="en-US"/>
              </w:rPr>
              <w:t>Freedom of information/data access requests responded to</w:t>
            </w:r>
          </w:p>
        </w:tc>
        <w:tc>
          <w:tcPr>
            <w:tcW w:w="1658" w:type="dxa"/>
            <w:tcBorders>
              <w:top w:val="single" w:sz="8" w:space="0" w:color="000000"/>
              <w:left w:val="single" w:sz="8" w:space="0" w:color="000000"/>
              <w:bottom w:val="single" w:sz="8" w:space="0" w:color="000000"/>
              <w:right w:val="single" w:sz="8" w:space="0" w:color="000000"/>
            </w:tcBorders>
            <w:hideMark/>
          </w:tcPr>
          <w:p w14:paraId="3A47D240" w14:textId="77777777" w:rsidR="0033566A" w:rsidRPr="0033566A" w:rsidRDefault="0033566A" w:rsidP="00077437">
            <w:pPr>
              <w:spacing w:after="0"/>
              <w:jc w:val="right"/>
              <w:rPr>
                <w:lang w:val="en-US"/>
              </w:rPr>
            </w:pPr>
            <w:r w:rsidRPr="0033566A">
              <w:rPr>
                <w:lang w:val="en-US"/>
              </w:rPr>
              <w:t>337</w:t>
            </w:r>
          </w:p>
        </w:tc>
      </w:tr>
      <w:tr w:rsidR="0033566A" w:rsidRPr="0033566A" w14:paraId="4070181A" w14:textId="77777777" w:rsidTr="000F3A23">
        <w:trPr>
          <w:trHeight w:val="284"/>
          <w:jc w:val="center"/>
        </w:trPr>
        <w:tc>
          <w:tcPr>
            <w:tcW w:w="7503" w:type="dxa"/>
            <w:tcBorders>
              <w:top w:val="single" w:sz="8" w:space="0" w:color="000000"/>
              <w:left w:val="single" w:sz="8" w:space="0" w:color="000000"/>
              <w:bottom w:val="single" w:sz="8" w:space="0" w:color="000000"/>
              <w:right w:val="single" w:sz="8" w:space="0" w:color="000000"/>
            </w:tcBorders>
            <w:hideMark/>
          </w:tcPr>
          <w:p w14:paraId="3E260A9F" w14:textId="77777777" w:rsidR="0033566A" w:rsidRPr="0033566A" w:rsidRDefault="0033566A" w:rsidP="00077437">
            <w:pPr>
              <w:spacing w:after="0"/>
              <w:jc w:val="both"/>
              <w:rPr>
                <w:lang w:val="en-US"/>
              </w:rPr>
            </w:pPr>
            <w:r w:rsidRPr="0033566A">
              <w:rPr>
                <w:lang w:val="en-US"/>
              </w:rPr>
              <w:t xml:space="preserve">Number of citizens who actively </w:t>
            </w:r>
            <w:proofErr w:type="gramStart"/>
            <w:r w:rsidRPr="0033566A">
              <w:rPr>
                <w:lang w:val="en-US"/>
              </w:rPr>
              <w:t>engaged</w:t>
            </w:r>
            <w:proofErr w:type="gramEnd"/>
            <w:r w:rsidRPr="0033566A">
              <w:rPr>
                <w:lang w:val="en-US"/>
              </w:rPr>
              <w:t xml:space="preserve"> in council consultations (including consultation portal, citizen surveys and PB votes)</w:t>
            </w:r>
          </w:p>
        </w:tc>
        <w:tc>
          <w:tcPr>
            <w:tcW w:w="1658" w:type="dxa"/>
            <w:tcBorders>
              <w:top w:val="single" w:sz="8" w:space="0" w:color="000000"/>
              <w:left w:val="single" w:sz="8" w:space="0" w:color="000000"/>
              <w:bottom w:val="single" w:sz="8" w:space="0" w:color="000000"/>
              <w:right w:val="single" w:sz="8" w:space="0" w:color="000000"/>
            </w:tcBorders>
            <w:hideMark/>
          </w:tcPr>
          <w:p w14:paraId="54724FE6" w14:textId="77777777" w:rsidR="0033566A" w:rsidRPr="0033566A" w:rsidRDefault="0033566A" w:rsidP="00077437">
            <w:pPr>
              <w:spacing w:after="0"/>
              <w:jc w:val="right"/>
              <w:rPr>
                <w:lang w:val="en-US"/>
              </w:rPr>
            </w:pPr>
            <w:r w:rsidRPr="0033566A">
              <w:rPr>
                <w:lang w:val="en-US"/>
              </w:rPr>
              <w:t>3,094</w:t>
            </w:r>
          </w:p>
        </w:tc>
      </w:tr>
      <w:tr w:rsidR="0033566A" w:rsidRPr="0033566A" w14:paraId="5A719EE6" w14:textId="77777777" w:rsidTr="000F3A23">
        <w:trPr>
          <w:trHeight w:val="151"/>
          <w:jc w:val="center"/>
        </w:trPr>
        <w:tc>
          <w:tcPr>
            <w:tcW w:w="7503" w:type="dxa"/>
            <w:tcBorders>
              <w:top w:val="single" w:sz="8" w:space="0" w:color="000000"/>
              <w:left w:val="single" w:sz="8" w:space="0" w:color="000000"/>
              <w:bottom w:val="single" w:sz="8" w:space="0" w:color="000000"/>
              <w:right w:val="single" w:sz="8" w:space="0" w:color="000000"/>
            </w:tcBorders>
            <w:hideMark/>
          </w:tcPr>
          <w:p w14:paraId="2759665A" w14:textId="77777777" w:rsidR="0033566A" w:rsidRPr="0033566A" w:rsidRDefault="0033566A" w:rsidP="00077437">
            <w:pPr>
              <w:spacing w:after="0"/>
              <w:jc w:val="both"/>
              <w:rPr>
                <w:lang w:val="en-US"/>
              </w:rPr>
            </w:pPr>
            <w:r w:rsidRPr="0033566A">
              <w:rPr>
                <w:lang w:val="en-US"/>
              </w:rPr>
              <w:t>Telephone calls answered</w:t>
            </w:r>
          </w:p>
        </w:tc>
        <w:tc>
          <w:tcPr>
            <w:tcW w:w="1658" w:type="dxa"/>
            <w:tcBorders>
              <w:top w:val="single" w:sz="8" w:space="0" w:color="000000"/>
              <w:left w:val="single" w:sz="8" w:space="0" w:color="000000"/>
              <w:bottom w:val="single" w:sz="8" w:space="0" w:color="000000"/>
              <w:right w:val="single" w:sz="8" w:space="0" w:color="000000"/>
            </w:tcBorders>
            <w:hideMark/>
          </w:tcPr>
          <w:p w14:paraId="2BB85A6C" w14:textId="77777777" w:rsidR="0033566A" w:rsidRPr="0033566A" w:rsidRDefault="0033566A" w:rsidP="00077437">
            <w:pPr>
              <w:spacing w:after="0"/>
              <w:jc w:val="right"/>
              <w:rPr>
                <w:lang w:val="en-US"/>
              </w:rPr>
            </w:pPr>
            <w:r w:rsidRPr="0033566A">
              <w:rPr>
                <w:lang w:val="en-US"/>
              </w:rPr>
              <w:t>147,460</w:t>
            </w:r>
          </w:p>
        </w:tc>
      </w:tr>
      <w:tr w:rsidR="0033566A" w:rsidRPr="0033566A" w14:paraId="311FEEBB" w14:textId="77777777" w:rsidTr="000F3A23">
        <w:trPr>
          <w:trHeight w:val="284"/>
          <w:jc w:val="center"/>
        </w:trPr>
        <w:tc>
          <w:tcPr>
            <w:tcW w:w="7503" w:type="dxa"/>
            <w:tcBorders>
              <w:top w:val="single" w:sz="8" w:space="0" w:color="000000"/>
              <w:left w:val="single" w:sz="8" w:space="0" w:color="000000"/>
              <w:bottom w:val="single" w:sz="8" w:space="0" w:color="000000"/>
              <w:right w:val="single" w:sz="8" w:space="0" w:color="000000"/>
            </w:tcBorders>
            <w:hideMark/>
          </w:tcPr>
          <w:p w14:paraId="53E9CA33" w14:textId="77777777" w:rsidR="0033566A" w:rsidRPr="0033566A" w:rsidRDefault="0033566A" w:rsidP="00077437">
            <w:pPr>
              <w:spacing w:after="0"/>
              <w:jc w:val="both"/>
              <w:rPr>
                <w:lang w:val="en-US"/>
              </w:rPr>
            </w:pPr>
            <w:r w:rsidRPr="0033566A">
              <w:rPr>
                <w:lang w:val="en-US"/>
              </w:rPr>
              <w:t>Social media engagement</w:t>
            </w:r>
          </w:p>
        </w:tc>
        <w:tc>
          <w:tcPr>
            <w:tcW w:w="1658" w:type="dxa"/>
            <w:tcBorders>
              <w:top w:val="single" w:sz="8" w:space="0" w:color="000000"/>
              <w:left w:val="single" w:sz="8" w:space="0" w:color="000000"/>
              <w:bottom w:val="single" w:sz="8" w:space="0" w:color="000000"/>
              <w:right w:val="single" w:sz="8" w:space="0" w:color="000000"/>
            </w:tcBorders>
            <w:hideMark/>
          </w:tcPr>
          <w:p w14:paraId="4AFEEEE7" w14:textId="77777777" w:rsidR="0033566A" w:rsidRPr="0033566A" w:rsidRDefault="0033566A" w:rsidP="00077437">
            <w:pPr>
              <w:spacing w:after="0"/>
              <w:jc w:val="right"/>
              <w:rPr>
                <w:lang w:val="en-US"/>
              </w:rPr>
            </w:pPr>
            <w:r w:rsidRPr="0033566A">
              <w:rPr>
                <w:lang w:val="en-US"/>
              </w:rPr>
              <w:t>1,649,582</w:t>
            </w:r>
          </w:p>
        </w:tc>
      </w:tr>
      <w:tr w:rsidR="0033566A" w:rsidRPr="0033566A" w14:paraId="77528306" w14:textId="77777777" w:rsidTr="000F3A23">
        <w:trPr>
          <w:trHeight w:val="284"/>
          <w:jc w:val="center"/>
        </w:trPr>
        <w:tc>
          <w:tcPr>
            <w:tcW w:w="7503" w:type="dxa"/>
            <w:tcBorders>
              <w:top w:val="single" w:sz="8" w:space="0" w:color="000000"/>
              <w:left w:val="single" w:sz="8" w:space="0" w:color="000000"/>
              <w:bottom w:val="single" w:sz="8" w:space="0" w:color="000000"/>
              <w:right w:val="single" w:sz="8" w:space="0" w:color="000000"/>
            </w:tcBorders>
            <w:hideMark/>
          </w:tcPr>
          <w:p w14:paraId="31165B78" w14:textId="77777777" w:rsidR="0033566A" w:rsidRPr="0033566A" w:rsidRDefault="0033566A" w:rsidP="00077437">
            <w:pPr>
              <w:spacing w:after="0"/>
              <w:jc w:val="both"/>
              <w:rPr>
                <w:lang w:val="en-US"/>
              </w:rPr>
            </w:pPr>
            <w:r w:rsidRPr="0033566A">
              <w:rPr>
                <w:lang w:val="en-US"/>
              </w:rPr>
              <w:t>Web pages opened</w:t>
            </w:r>
          </w:p>
        </w:tc>
        <w:tc>
          <w:tcPr>
            <w:tcW w:w="1658" w:type="dxa"/>
            <w:tcBorders>
              <w:top w:val="single" w:sz="8" w:space="0" w:color="000000"/>
              <w:left w:val="single" w:sz="8" w:space="0" w:color="000000"/>
              <w:bottom w:val="single" w:sz="8" w:space="0" w:color="000000"/>
              <w:right w:val="single" w:sz="8" w:space="0" w:color="000000"/>
            </w:tcBorders>
            <w:hideMark/>
          </w:tcPr>
          <w:p w14:paraId="41BFD4C6" w14:textId="77777777" w:rsidR="0033566A" w:rsidRPr="0033566A" w:rsidRDefault="0033566A" w:rsidP="00077437">
            <w:pPr>
              <w:spacing w:after="0"/>
              <w:jc w:val="right"/>
              <w:rPr>
                <w:lang w:val="en-US"/>
              </w:rPr>
            </w:pPr>
            <w:r w:rsidRPr="0033566A">
              <w:rPr>
                <w:lang w:val="en-US"/>
              </w:rPr>
              <w:t>1,713,463</w:t>
            </w:r>
          </w:p>
        </w:tc>
      </w:tr>
      <w:tr w:rsidR="0033566A" w:rsidRPr="0033566A" w14:paraId="46F6A233" w14:textId="77777777" w:rsidTr="000F3A23">
        <w:trPr>
          <w:trHeight w:val="284"/>
          <w:jc w:val="center"/>
        </w:trPr>
        <w:tc>
          <w:tcPr>
            <w:tcW w:w="7503" w:type="dxa"/>
            <w:tcBorders>
              <w:top w:val="single" w:sz="8" w:space="0" w:color="000000"/>
              <w:left w:val="single" w:sz="8" w:space="0" w:color="000000"/>
              <w:bottom w:val="single" w:sz="8" w:space="0" w:color="000000"/>
              <w:right w:val="single" w:sz="8" w:space="0" w:color="000000"/>
            </w:tcBorders>
            <w:hideMark/>
          </w:tcPr>
          <w:p w14:paraId="337967E1" w14:textId="77777777" w:rsidR="0033566A" w:rsidRPr="0033566A" w:rsidRDefault="0033566A" w:rsidP="00077437">
            <w:pPr>
              <w:spacing w:after="0"/>
              <w:jc w:val="both"/>
              <w:rPr>
                <w:lang w:val="en-US"/>
              </w:rPr>
            </w:pPr>
            <w:r w:rsidRPr="0033566A">
              <w:rPr>
                <w:lang w:val="en-US"/>
              </w:rPr>
              <w:t>Social media followers</w:t>
            </w:r>
          </w:p>
        </w:tc>
        <w:tc>
          <w:tcPr>
            <w:tcW w:w="1658" w:type="dxa"/>
            <w:tcBorders>
              <w:top w:val="single" w:sz="8" w:space="0" w:color="000000"/>
              <w:left w:val="single" w:sz="8" w:space="0" w:color="000000"/>
              <w:bottom w:val="single" w:sz="8" w:space="0" w:color="000000"/>
              <w:right w:val="single" w:sz="8" w:space="0" w:color="000000"/>
            </w:tcBorders>
            <w:hideMark/>
          </w:tcPr>
          <w:p w14:paraId="5392EF64" w14:textId="77777777" w:rsidR="0033566A" w:rsidRPr="0033566A" w:rsidRDefault="0033566A" w:rsidP="00077437">
            <w:pPr>
              <w:spacing w:after="0"/>
              <w:jc w:val="right"/>
              <w:rPr>
                <w:lang w:val="en-US"/>
              </w:rPr>
            </w:pPr>
            <w:r w:rsidRPr="0033566A">
              <w:rPr>
                <w:lang w:val="en-US"/>
              </w:rPr>
              <w:t>158,719</w:t>
            </w:r>
          </w:p>
        </w:tc>
      </w:tr>
      <w:tr w:rsidR="0033566A" w:rsidRPr="0033566A" w14:paraId="2CDFFE96" w14:textId="77777777" w:rsidTr="000F3A23">
        <w:trPr>
          <w:trHeight w:val="284"/>
          <w:jc w:val="center"/>
        </w:trPr>
        <w:tc>
          <w:tcPr>
            <w:tcW w:w="7503" w:type="dxa"/>
            <w:tcBorders>
              <w:top w:val="single" w:sz="8" w:space="0" w:color="000000"/>
              <w:left w:val="single" w:sz="8" w:space="0" w:color="000000"/>
              <w:bottom w:val="single" w:sz="8" w:space="0" w:color="000000"/>
              <w:right w:val="single" w:sz="8" w:space="0" w:color="000000"/>
            </w:tcBorders>
            <w:hideMark/>
          </w:tcPr>
          <w:p w14:paraId="7EB95451" w14:textId="77777777" w:rsidR="0033566A" w:rsidRPr="0033566A" w:rsidRDefault="0033566A" w:rsidP="00077437">
            <w:pPr>
              <w:spacing w:after="0"/>
              <w:jc w:val="both"/>
              <w:rPr>
                <w:lang w:val="en-US"/>
              </w:rPr>
            </w:pPr>
            <w:r w:rsidRPr="0033566A">
              <w:rPr>
                <w:lang w:val="en-US"/>
              </w:rPr>
              <w:t>People on the electoral register</w:t>
            </w:r>
          </w:p>
        </w:tc>
        <w:tc>
          <w:tcPr>
            <w:tcW w:w="1658" w:type="dxa"/>
            <w:tcBorders>
              <w:top w:val="single" w:sz="8" w:space="0" w:color="000000"/>
              <w:left w:val="single" w:sz="8" w:space="0" w:color="000000"/>
              <w:bottom w:val="single" w:sz="8" w:space="0" w:color="000000"/>
              <w:right w:val="single" w:sz="8" w:space="0" w:color="000000"/>
            </w:tcBorders>
            <w:hideMark/>
          </w:tcPr>
          <w:p w14:paraId="26E4A6CE" w14:textId="77777777" w:rsidR="0033566A" w:rsidRPr="0033566A" w:rsidRDefault="0033566A" w:rsidP="00077437">
            <w:pPr>
              <w:spacing w:after="0"/>
              <w:jc w:val="right"/>
              <w:rPr>
                <w:lang w:val="en-US"/>
              </w:rPr>
            </w:pPr>
            <w:r w:rsidRPr="0033566A">
              <w:rPr>
                <w:lang w:val="en-US"/>
              </w:rPr>
              <w:t>213,345</w:t>
            </w:r>
          </w:p>
        </w:tc>
      </w:tr>
      <w:tr w:rsidR="0033566A" w:rsidRPr="0033566A" w14:paraId="7429AF14" w14:textId="77777777" w:rsidTr="000F3A23">
        <w:trPr>
          <w:trHeight w:val="284"/>
          <w:jc w:val="center"/>
        </w:trPr>
        <w:tc>
          <w:tcPr>
            <w:tcW w:w="7503" w:type="dxa"/>
            <w:tcBorders>
              <w:top w:val="single" w:sz="8" w:space="0" w:color="000000"/>
              <w:left w:val="single" w:sz="8" w:space="0" w:color="000000"/>
              <w:bottom w:val="single" w:sz="8" w:space="0" w:color="000000"/>
              <w:right w:val="single" w:sz="8" w:space="0" w:color="000000"/>
            </w:tcBorders>
            <w:hideMark/>
          </w:tcPr>
          <w:p w14:paraId="28367A7D" w14:textId="77777777" w:rsidR="0033566A" w:rsidRPr="0033566A" w:rsidRDefault="0033566A" w:rsidP="00077437">
            <w:pPr>
              <w:spacing w:after="0"/>
              <w:jc w:val="both"/>
              <w:rPr>
                <w:lang w:val="en-US"/>
              </w:rPr>
            </w:pPr>
            <w:r w:rsidRPr="0033566A">
              <w:rPr>
                <w:lang w:val="en-US"/>
              </w:rPr>
              <w:t>Staff learning and development courses</w:t>
            </w:r>
          </w:p>
        </w:tc>
        <w:tc>
          <w:tcPr>
            <w:tcW w:w="1658" w:type="dxa"/>
            <w:tcBorders>
              <w:top w:val="single" w:sz="8" w:space="0" w:color="000000"/>
              <w:left w:val="single" w:sz="8" w:space="0" w:color="000000"/>
              <w:bottom w:val="single" w:sz="8" w:space="0" w:color="000000"/>
              <w:right w:val="single" w:sz="8" w:space="0" w:color="000000"/>
            </w:tcBorders>
            <w:hideMark/>
          </w:tcPr>
          <w:p w14:paraId="4D05D784" w14:textId="77777777" w:rsidR="0033566A" w:rsidRPr="0033566A" w:rsidRDefault="0033566A" w:rsidP="00077437">
            <w:pPr>
              <w:spacing w:after="0"/>
              <w:jc w:val="right"/>
              <w:rPr>
                <w:lang w:val="en-US"/>
              </w:rPr>
            </w:pPr>
            <w:r w:rsidRPr="0033566A">
              <w:rPr>
                <w:lang w:val="en-US"/>
              </w:rPr>
              <w:t>226</w:t>
            </w:r>
          </w:p>
        </w:tc>
      </w:tr>
      <w:tr w:rsidR="0033566A" w:rsidRPr="0033566A" w14:paraId="7A430E67" w14:textId="77777777" w:rsidTr="000F3A23">
        <w:trPr>
          <w:trHeight w:val="284"/>
          <w:jc w:val="center"/>
        </w:trPr>
        <w:tc>
          <w:tcPr>
            <w:tcW w:w="7503" w:type="dxa"/>
            <w:tcBorders>
              <w:top w:val="single" w:sz="8" w:space="0" w:color="000000"/>
              <w:left w:val="single" w:sz="8" w:space="0" w:color="000000"/>
              <w:bottom w:val="single" w:sz="8" w:space="0" w:color="000000"/>
              <w:right w:val="single" w:sz="8" w:space="0" w:color="000000"/>
            </w:tcBorders>
            <w:hideMark/>
          </w:tcPr>
          <w:p w14:paraId="7E2E8115" w14:textId="77777777" w:rsidR="0033566A" w:rsidRPr="0033566A" w:rsidRDefault="0033566A" w:rsidP="00077437">
            <w:pPr>
              <w:spacing w:after="0"/>
              <w:jc w:val="both"/>
              <w:rPr>
                <w:lang w:val="en-US"/>
              </w:rPr>
            </w:pPr>
            <w:r w:rsidRPr="0033566A">
              <w:rPr>
                <w:lang w:val="en-US"/>
              </w:rPr>
              <w:t>Total IT expenditure</w:t>
            </w:r>
          </w:p>
        </w:tc>
        <w:tc>
          <w:tcPr>
            <w:tcW w:w="1658" w:type="dxa"/>
            <w:tcBorders>
              <w:top w:val="single" w:sz="8" w:space="0" w:color="000000"/>
              <w:left w:val="single" w:sz="8" w:space="0" w:color="000000"/>
              <w:bottom w:val="single" w:sz="8" w:space="0" w:color="000000"/>
              <w:right w:val="single" w:sz="8" w:space="0" w:color="000000"/>
            </w:tcBorders>
            <w:hideMark/>
          </w:tcPr>
          <w:p w14:paraId="591AF558" w14:textId="77777777" w:rsidR="0033566A" w:rsidRPr="0033566A" w:rsidRDefault="0033566A" w:rsidP="00077437">
            <w:pPr>
              <w:spacing w:after="0"/>
              <w:jc w:val="right"/>
              <w:rPr>
                <w:lang w:val="en-US"/>
              </w:rPr>
            </w:pPr>
            <w:r w:rsidRPr="0033566A">
              <w:rPr>
                <w:lang w:val="en-US"/>
              </w:rPr>
              <w:t>€6,769,982</w:t>
            </w:r>
          </w:p>
        </w:tc>
      </w:tr>
      <w:tr w:rsidR="0033566A" w:rsidRPr="0033566A" w14:paraId="54DFF331" w14:textId="77777777" w:rsidTr="000F3A23">
        <w:trPr>
          <w:trHeight w:val="284"/>
          <w:jc w:val="center"/>
        </w:trPr>
        <w:tc>
          <w:tcPr>
            <w:tcW w:w="7503" w:type="dxa"/>
            <w:tcBorders>
              <w:top w:val="single" w:sz="8" w:space="0" w:color="000000"/>
              <w:left w:val="single" w:sz="8" w:space="0" w:color="000000"/>
              <w:bottom w:val="single" w:sz="8" w:space="0" w:color="000000"/>
              <w:right w:val="single" w:sz="8" w:space="0" w:color="000000"/>
            </w:tcBorders>
            <w:hideMark/>
          </w:tcPr>
          <w:p w14:paraId="798C72A9" w14:textId="77777777" w:rsidR="0033566A" w:rsidRPr="0033566A" w:rsidRDefault="0033566A" w:rsidP="00077437">
            <w:pPr>
              <w:spacing w:after="0"/>
              <w:jc w:val="both"/>
              <w:rPr>
                <w:lang w:val="en-US"/>
              </w:rPr>
            </w:pPr>
            <w:r w:rsidRPr="0033566A">
              <w:rPr>
                <w:lang w:val="en-US"/>
              </w:rPr>
              <w:t>Procurement number of contracts over €25,000 awarded</w:t>
            </w:r>
          </w:p>
        </w:tc>
        <w:tc>
          <w:tcPr>
            <w:tcW w:w="1658" w:type="dxa"/>
            <w:tcBorders>
              <w:top w:val="single" w:sz="8" w:space="0" w:color="000000"/>
              <w:left w:val="single" w:sz="8" w:space="0" w:color="000000"/>
              <w:bottom w:val="single" w:sz="8" w:space="0" w:color="000000"/>
              <w:right w:val="single" w:sz="8" w:space="0" w:color="000000"/>
            </w:tcBorders>
            <w:hideMark/>
          </w:tcPr>
          <w:p w14:paraId="1C17B74E" w14:textId="77777777" w:rsidR="0033566A" w:rsidRPr="0033566A" w:rsidRDefault="0033566A" w:rsidP="00077437">
            <w:pPr>
              <w:spacing w:after="0"/>
              <w:jc w:val="right"/>
              <w:rPr>
                <w:lang w:val="en-US"/>
              </w:rPr>
            </w:pPr>
            <w:r w:rsidRPr="0033566A">
              <w:rPr>
                <w:lang w:val="en-US"/>
              </w:rPr>
              <w:t>124</w:t>
            </w:r>
          </w:p>
        </w:tc>
      </w:tr>
    </w:tbl>
    <w:p w14:paraId="2E81800F" w14:textId="77777777" w:rsidR="0033566A" w:rsidRPr="0033566A" w:rsidRDefault="0033566A" w:rsidP="00B60676">
      <w:pPr>
        <w:jc w:val="both"/>
      </w:pPr>
    </w:p>
    <w:p w14:paraId="5DF5AAEE" w14:textId="798CC0FB" w:rsidR="001740C1" w:rsidRDefault="001740C1" w:rsidP="00B60676">
      <w:pPr>
        <w:jc w:val="both"/>
      </w:pPr>
      <w:r>
        <w:br w:type="page"/>
      </w:r>
    </w:p>
    <w:p w14:paraId="27D450F3" w14:textId="387AEE19" w:rsidR="001740C1" w:rsidRDefault="005B432B" w:rsidP="00B60676">
      <w:pPr>
        <w:pStyle w:val="Heading1"/>
        <w:jc w:val="both"/>
      </w:pPr>
      <w:bookmarkStart w:id="114" w:name="_Toc199244573"/>
      <w:r>
        <w:lastRenderedPageBreak/>
        <w:t>Appendices</w:t>
      </w:r>
      <w:bookmarkEnd w:id="114"/>
    </w:p>
    <w:p w14:paraId="23DB8AAF" w14:textId="62247B0F" w:rsidR="00FE4625" w:rsidRDefault="005B432B" w:rsidP="00B60676">
      <w:pPr>
        <w:pStyle w:val="Heading2"/>
        <w:jc w:val="both"/>
      </w:pPr>
      <w:bookmarkStart w:id="115" w:name="_Toc199244574"/>
      <w:r>
        <w:t>Appendix 1.1</w:t>
      </w:r>
      <w:r w:rsidR="00FE4625">
        <w:t xml:space="preserve"> Statement of Internal Financial Control (SIFC)</w:t>
      </w:r>
      <w:bookmarkEnd w:id="115"/>
      <w:r>
        <w:t xml:space="preserve"> </w:t>
      </w:r>
    </w:p>
    <w:p w14:paraId="4B0B9C45" w14:textId="77777777" w:rsidR="00B64F8C" w:rsidRDefault="00B64F8C" w:rsidP="009073D2">
      <w:pPr>
        <w:jc w:val="both"/>
        <w:rPr>
          <w:b/>
        </w:rPr>
      </w:pPr>
    </w:p>
    <w:p w14:paraId="2AD065A8" w14:textId="48B46175" w:rsidR="009073D2" w:rsidRPr="009073D2" w:rsidRDefault="009073D2" w:rsidP="009073D2">
      <w:pPr>
        <w:jc w:val="both"/>
      </w:pPr>
      <w:r w:rsidRPr="009073D2">
        <w:rPr>
          <w:b/>
        </w:rPr>
        <w:t>Introduction</w:t>
      </w:r>
      <w:r w:rsidRPr="009073D2">
        <w:t xml:space="preserve"> </w:t>
      </w:r>
    </w:p>
    <w:p w14:paraId="17D89D6C" w14:textId="77777777" w:rsidR="009073D2" w:rsidRPr="009073D2" w:rsidRDefault="009073D2" w:rsidP="009073D2">
      <w:pPr>
        <w:spacing w:line="360" w:lineRule="auto"/>
        <w:jc w:val="both"/>
      </w:pPr>
      <w:r w:rsidRPr="009073D2">
        <w:t xml:space="preserve">I, Colm Ward, Chief Executive (CE) of South Dublin County Council am responsible for the annual financial statement (AFS), prepared by the Director of Finance, in accordance with the accounting code of practice issued by the Minister under section 107 of the Local Government Act, 2001. </w:t>
      </w:r>
    </w:p>
    <w:p w14:paraId="6C1C0555" w14:textId="77777777" w:rsidR="009073D2" w:rsidRPr="009073D2" w:rsidRDefault="009073D2" w:rsidP="009073D2">
      <w:pPr>
        <w:spacing w:line="360" w:lineRule="auto"/>
        <w:jc w:val="both"/>
      </w:pPr>
      <w:r w:rsidRPr="009073D2">
        <w:t xml:space="preserve">I certify that the financial statements of South Dublin County Council for the year ended 31 December 2024, </w:t>
      </w:r>
      <w:proofErr w:type="gramStart"/>
      <w:r w:rsidRPr="009073D2">
        <w:t>are in agreement</w:t>
      </w:r>
      <w:proofErr w:type="gramEnd"/>
      <w:r w:rsidRPr="009073D2">
        <w:t xml:space="preserve"> with the books of account and have been prepared in accordance with the accounting requirements of the Minister of Housing, Local Government and Heritage. </w:t>
      </w:r>
    </w:p>
    <w:p w14:paraId="0A058A90" w14:textId="77777777" w:rsidR="009073D2" w:rsidRPr="009073D2" w:rsidRDefault="009073D2" w:rsidP="009073D2">
      <w:pPr>
        <w:spacing w:line="360" w:lineRule="auto"/>
        <w:jc w:val="both"/>
      </w:pPr>
      <w:r w:rsidRPr="009073D2">
        <w:t xml:space="preserve">The AFS is subject to external audit, by an auditor of the Local Government Audit Service, whose purpose is to form an independent opinion of the accounts and state whether the annual financial statement presents fairly the financial position of the local authority and of its income and expenditure for the period in question, and whether the transactions of the audited body conform with the statutory or other authorisation under which they purport to have been carried out. </w:t>
      </w:r>
    </w:p>
    <w:p w14:paraId="11A17362" w14:textId="24F550D2" w:rsidR="009073D2" w:rsidRPr="009073D2" w:rsidRDefault="009073D2" w:rsidP="009073D2">
      <w:pPr>
        <w:spacing w:line="360" w:lineRule="auto"/>
        <w:jc w:val="both"/>
      </w:pPr>
      <w:r w:rsidRPr="009073D2">
        <w:t xml:space="preserve">The AFS reports on the day-to-day activity of South Dublin County Council in the form of the Statement of Comprehensive Income </w:t>
      </w:r>
      <w:r w:rsidR="0037035F">
        <w:t>and</w:t>
      </w:r>
      <w:r w:rsidRPr="009073D2">
        <w:t xml:space="preserve"> Expenditure, summarised by Division. The Statement of Financial Position outlines the South Dublin County Council overall financial position as of the 31st of December 2024. </w:t>
      </w:r>
    </w:p>
    <w:p w14:paraId="79D42B7F" w14:textId="77777777" w:rsidR="009073D2" w:rsidRPr="009073D2" w:rsidRDefault="009073D2" w:rsidP="009073D2">
      <w:pPr>
        <w:spacing w:line="360" w:lineRule="auto"/>
        <w:jc w:val="both"/>
      </w:pPr>
      <w:r w:rsidRPr="009073D2">
        <w:t xml:space="preserve">The </w:t>
      </w:r>
      <w:r w:rsidRPr="009073D2">
        <w:rPr>
          <w:i/>
        </w:rPr>
        <w:t>Statement of Comprehensive Income</w:t>
      </w:r>
      <w:r w:rsidRPr="009073D2">
        <w:t xml:space="preserve"> represents expenditure and income on the day-to-day running of the South Dublin County Council. </w:t>
      </w:r>
    </w:p>
    <w:p w14:paraId="6D92624F" w14:textId="77777777" w:rsidR="00B64F8C" w:rsidRDefault="00B64F8C">
      <w:r>
        <w:br w:type="page"/>
      </w:r>
    </w:p>
    <w:p w14:paraId="5B95B07B" w14:textId="592B4F69" w:rsidR="009073D2" w:rsidRPr="009073D2" w:rsidRDefault="009073D2" w:rsidP="009073D2">
      <w:pPr>
        <w:jc w:val="both"/>
      </w:pPr>
      <w:r w:rsidRPr="009073D2">
        <w:lastRenderedPageBreak/>
        <w:t xml:space="preserve">The key sources of income for South Dublin County Council are as follows: </w:t>
      </w:r>
    </w:p>
    <w:tbl>
      <w:tblPr>
        <w:tblStyle w:val="TableGrid"/>
        <w:tblW w:w="0" w:type="auto"/>
        <w:tblLook w:val="04A0" w:firstRow="1" w:lastRow="0" w:firstColumn="1" w:lastColumn="0" w:noHBand="0" w:noVBand="1"/>
      </w:tblPr>
      <w:tblGrid>
        <w:gridCol w:w="3964"/>
        <w:gridCol w:w="2046"/>
        <w:gridCol w:w="2207"/>
      </w:tblGrid>
      <w:tr w:rsidR="009073D2" w:rsidRPr="009073D2" w14:paraId="0628E0F3" w14:textId="77777777" w:rsidTr="00DF040D">
        <w:tc>
          <w:tcPr>
            <w:tcW w:w="3964" w:type="dxa"/>
          </w:tcPr>
          <w:p w14:paraId="18A03694" w14:textId="77777777" w:rsidR="009073D2" w:rsidRPr="009073D2" w:rsidRDefault="009073D2" w:rsidP="009073D2">
            <w:pPr>
              <w:jc w:val="both"/>
              <w:rPr>
                <w:b/>
                <w:bCs/>
              </w:rPr>
            </w:pPr>
            <w:r w:rsidRPr="009073D2">
              <w:rPr>
                <w:b/>
                <w:bCs/>
              </w:rPr>
              <w:t>Income Source</w:t>
            </w:r>
          </w:p>
        </w:tc>
        <w:tc>
          <w:tcPr>
            <w:tcW w:w="2046" w:type="dxa"/>
          </w:tcPr>
          <w:p w14:paraId="555A81B7" w14:textId="77777777" w:rsidR="009073D2" w:rsidRPr="009073D2" w:rsidRDefault="009073D2" w:rsidP="009073D2">
            <w:pPr>
              <w:jc w:val="both"/>
            </w:pPr>
            <w:r w:rsidRPr="009073D2">
              <w:rPr>
                <w:b/>
              </w:rPr>
              <w:t>Current Year</w:t>
            </w:r>
          </w:p>
        </w:tc>
        <w:tc>
          <w:tcPr>
            <w:tcW w:w="2207" w:type="dxa"/>
          </w:tcPr>
          <w:p w14:paraId="0C2F1AEE" w14:textId="77777777" w:rsidR="009073D2" w:rsidRPr="009073D2" w:rsidRDefault="009073D2" w:rsidP="009073D2">
            <w:pPr>
              <w:jc w:val="both"/>
            </w:pPr>
            <w:r w:rsidRPr="009073D2">
              <w:rPr>
                <w:b/>
              </w:rPr>
              <w:t>Previous Year</w:t>
            </w:r>
          </w:p>
        </w:tc>
      </w:tr>
      <w:tr w:rsidR="009073D2" w:rsidRPr="009073D2" w14:paraId="69EE9A65" w14:textId="77777777" w:rsidTr="00DF040D">
        <w:tc>
          <w:tcPr>
            <w:tcW w:w="3964" w:type="dxa"/>
          </w:tcPr>
          <w:p w14:paraId="694A7E80" w14:textId="4DC529A3" w:rsidR="009073D2" w:rsidRPr="009073D2" w:rsidRDefault="009073D2" w:rsidP="009073D2">
            <w:pPr>
              <w:jc w:val="both"/>
            </w:pPr>
            <w:r w:rsidRPr="009073D2">
              <w:t xml:space="preserve">Goods </w:t>
            </w:r>
            <w:r w:rsidR="0037035F">
              <w:t>and</w:t>
            </w:r>
            <w:r w:rsidRPr="009073D2">
              <w:t xml:space="preserve"> Services</w:t>
            </w:r>
          </w:p>
        </w:tc>
        <w:tc>
          <w:tcPr>
            <w:tcW w:w="2046" w:type="dxa"/>
          </w:tcPr>
          <w:p w14:paraId="69E3E57D" w14:textId="77777777" w:rsidR="009073D2" w:rsidRPr="009073D2" w:rsidRDefault="009073D2" w:rsidP="00DC05B4">
            <w:pPr>
              <w:jc w:val="right"/>
            </w:pPr>
            <w:r w:rsidRPr="009073D2">
              <w:t>€63,090,822</w:t>
            </w:r>
          </w:p>
        </w:tc>
        <w:tc>
          <w:tcPr>
            <w:tcW w:w="2207" w:type="dxa"/>
          </w:tcPr>
          <w:p w14:paraId="66E7E950" w14:textId="77777777" w:rsidR="009073D2" w:rsidRPr="009073D2" w:rsidRDefault="009073D2" w:rsidP="00DC05B4">
            <w:pPr>
              <w:jc w:val="right"/>
            </w:pPr>
            <w:r w:rsidRPr="009073D2">
              <w:t>€63,743,793</w:t>
            </w:r>
          </w:p>
        </w:tc>
      </w:tr>
      <w:tr w:rsidR="009073D2" w:rsidRPr="009073D2" w14:paraId="31F7D9EF" w14:textId="77777777" w:rsidTr="00DF040D">
        <w:tc>
          <w:tcPr>
            <w:tcW w:w="3964" w:type="dxa"/>
          </w:tcPr>
          <w:p w14:paraId="01A609F5" w14:textId="506972C9" w:rsidR="009073D2" w:rsidRPr="009073D2" w:rsidRDefault="009073D2" w:rsidP="009073D2">
            <w:pPr>
              <w:jc w:val="both"/>
            </w:pPr>
            <w:r w:rsidRPr="009073D2">
              <w:t xml:space="preserve">Grants </w:t>
            </w:r>
            <w:r w:rsidR="0037035F">
              <w:t>and</w:t>
            </w:r>
            <w:r w:rsidRPr="009073D2">
              <w:t xml:space="preserve"> Subsidies</w:t>
            </w:r>
          </w:p>
        </w:tc>
        <w:tc>
          <w:tcPr>
            <w:tcW w:w="2046" w:type="dxa"/>
          </w:tcPr>
          <w:p w14:paraId="59D8B9BE" w14:textId="77777777" w:rsidR="009073D2" w:rsidRPr="009073D2" w:rsidRDefault="009073D2" w:rsidP="00DC05B4">
            <w:pPr>
              <w:jc w:val="right"/>
            </w:pPr>
            <w:r w:rsidRPr="009073D2">
              <w:t>€134,819,148</w:t>
            </w:r>
          </w:p>
        </w:tc>
        <w:tc>
          <w:tcPr>
            <w:tcW w:w="2207" w:type="dxa"/>
          </w:tcPr>
          <w:p w14:paraId="6A5AA1A3" w14:textId="77777777" w:rsidR="009073D2" w:rsidRPr="009073D2" w:rsidRDefault="009073D2" w:rsidP="00DC05B4">
            <w:pPr>
              <w:jc w:val="right"/>
            </w:pPr>
            <w:r w:rsidRPr="009073D2">
              <w:t>€95,938,862</w:t>
            </w:r>
          </w:p>
        </w:tc>
      </w:tr>
      <w:tr w:rsidR="009073D2" w:rsidRPr="009073D2" w14:paraId="03B2A7E1" w14:textId="77777777" w:rsidTr="00DF040D">
        <w:tc>
          <w:tcPr>
            <w:tcW w:w="3964" w:type="dxa"/>
          </w:tcPr>
          <w:p w14:paraId="0C707900" w14:textId="77777777" w:rsidR="009073D2" w:rsidRPr="009073D2" w:rsidRDefault="009073D2" w:rsidP="009073D2">
            <w:pPr>
              <w:jc w:val="both"/>
            </w:pPr>
            <w:r w:rsidRPr="009073D2">
              <w:t>Other Contributions (as appropriate)</w:t>
            </w:r>
          </w:p>
        </w:tc>
        <w:tc>
          <w:tcPr>
            <w:tcW w:w="2046" w:type="dxa"/>
          </w:tcPr>
          <w:p w14:paraId="51DE99F0" w14:textId="77777777" w:rsidR="009073D2" w:rsidRPr="009073D2" w:rsidRDefault="009073D2" w:rsidP="00DC05B4">
            <w:pPr>
              <w:jc w:val="right"/>
            </w:pPr>
            <w:r w:rsidRPr="009073D2">
              <w:t>€3,408,450</w:t>
            </w:r>
          </w:p>
        </w:tc>
        <w:tc>
          <w:tcPr>
            <w:tcW w:w="2207" w:type="dxa"/>
          </w:tcPr>
          <w:p w14:paraId="63C47B14" w14:textId="77777777" w:rsidR="009073D2" w:rsidRPr="009073D2" w:rsidRDefault="009073D2" w:rsidP="00DC05B4">
            <w:pPr>
              <w:jc w:val="right"/>
            </w:pPr>
            <w:r w:rsidRPr="009073D2">
              <w:t>€6,148,882</w:t>
            </w:r>
          </w:p>
        </w:tc>
      </w:tr>
      <w:tr w:rsidR="009073D2" w:rsidRPr="009073D2" w14:paraId="0D1FDE12" w14:textId="77777777" w:rsidTr="00DF040D">
        <w:tc>
          <w:tcPr>
            <w:tcW w:w="3964" w:type="dxa"/>
          </w:tcPr>
          <w:p w14:paraId="77DF0EA5" w14:textId="77777777" w:rsidR="009073D2" w:rsidRPr="009073D2" w:rsidRDefault="009073D2" w:rsidP="009073D2">
            <w:pPr>
              <w:jc w:val="both"/>
            </w:pPr>
            <w:r w:rsidRPr="009073D2">
              <w:t>Rates</w:t>
            </w:r>
          </w:p>
        </w:tc>
        <w:tc>
          <w:tcPr>
            <w:tcW w:w="2046" w:type="dxa"/>
          </w:tcPr>
          <w:p w14:paraId="4341BAB7" w14:textId="77777777" w:rsidR="009073D2" w:rsidRPr="009073D2" w:rsidRDefault="009073D2" w:rsidP="00DC05B4">
            <w:pPr>
              <w:jc w:val="right"/>
            </w:pPr>
            <w:r w:rsidRPr="009073D2">
              <w:t>€148,824,757</w:t>
            </w:r>
          </w:p>
        </w:tc>
        <w:tc>
          <w:tcPr>
            <w:tcW w:w="2207" w:type="dxa"/>
          </w:tcPr>
          <w:p w14:paraId="4BA4D22D" w14:textId="77777777" w:rsidR="009073D2" w:rsidRPr="009073D2" w:rsidRDefault="009073D2" w:rsidP="00DC05B4">
            <w:pPr>
              <w:jc w:val="right"/>
            </w:pPr>
            <w:r w:rsidRPr="009073D2">
              <w:t>€143,348,935</w:t>
            </w:r>
          </w:p>
        </w:tc>
      </w:tr>
      <w:tr w:rsidR="009073D2" w:rsidRPr="009073D2" w14:paraId="1CCF0298" w14:textId="77777777" w:rsidTr="00DF040D">
        <w:tc>
          <w:tcPr>
            <w:tcW w:w="3964" w:type="dxa"/>
          </w:tcPr>
          <w:p w14:paraId="1A97043A" w14:textId="77777777" w:rsidR="009073D2" w:rsidRPr="009073D2" w:rsidRDefault="009073D2" w:rsidP="009073D2">
            <w:pPr>
              <w:jc w:val="both"/>
            </w:pPr>
            <w:r w:rsidRPr="009073D2">
              <w:t>Local Property Tax</w:t>
            </w:r>
          </w:p>
        </w:tc>
        <w:tc>
          <w:tcPr>
            <w:tcW w:w="2046" w:type="dxa"/>
          </w:tcPr>
          <w:p w14:paraId="2E89D494" w14:textId="77777777" w:rsidR="009073D2" w:rsidRPr="009073D2" w:rsidRDefault="009073D2" w:rsidP="00DC05B4">
            <w:pPr>
              <w:jc w:val="right"/>
            </w:pPr>
            <w:r w:rsidRPr="009073D2">
              <w:t>€11,509,642</w:t>
            </w:r>
          </w:p>
        </w:tc>
        <w:tc>
          <w:tcPr>
            <w:tcW w:w="2207" w:type="dxa"/>
          </w:tcPr>
          <w:p w14:paraId="78ACEB62" w14:textId="77777777" w:rsidR="009073D2" w:rsidRPr="009073D2" w:rsidRDefault="009073D2" w:rsidP="00DC05B4">
            <w:pPr>
              <w:jc w:val="right"/>
            </w:pPr>
            <w:r w:rsidRPr="009073D2">
              <w:t>€6,276,017</w:t>
            </w:r>
          </w:p>
        </w:tc>
      </w:tr>
    </w:tbl>
    <w:p w14:paraId="4CA33B96" w14:textId="77777777" w:rsidR="009073D2" w:rsidRPr="009073D2" w:rsidRDefault="009073D2" w:rsidP="009073D2">
      <w:pPr>
        <w:spacing w:after="0" w:line="240" w:lineRule="auto"/>
        <w:jc w:val="both"/>
      </w:pPr>
    </w:p>
    <w:p w14:paraId="2D31D670" w14:textId="77777777" w:rsidR="009073D2" w:rsidRPr="009073D2" w:rsidRDefault="009073D2" w:rsidP="009073D2">
      <w:pPr>
        <w:spacing w:after="0" w:line="240" w:lineRule="auto"/>
        <w:jc w:val="both"/>
      </w:pPr>
      <w:r w:rsidRPr="009073D2">
        <w:t xml:space="preserve">Activity on our Income and Expenditure account for 2024 is as follows: </w:t>
      </w:r>
    </w:p>
    <w:tbl>
      <w:tblPr>
        <w:tblStyle w:val="TableGrid"/>
        <w:tblW w:w="0" w:type="auto"/>
        <w:tblLook w:val="04A0" w:firstRow="1" w:lastRow="0" w:firstColumn="1" w:lastColumn="0" w:noHBand="0" w:noVBand="1"/>
      </w:tblPr>
      <w:tblGrid>
        <w:gridCol w:w="3964"/>
        <w:gridCol w:w="2046"/>
        <w:gridCol w:w="2207"/>
      </w:tblGrid>
      <w:tr w:rsidR="009073D2" w:rsidRPr="009073D2" w14:paraId="32E28130" w14:textId="77777777" w:rsidTr="00DF040D">
        <w:tc>
          <w:tcPr>
            <w:tcW w:w="3964" w:type="dxa"/>
          </w:tcPr>
          <w:p w14:paraId="6BFC6492" w14:textId="77777777" w:rsidR="009073D2" w:rsidRPr="009073D2" w:rsidRDefault="009073D2" w:rsidP="009073D2">
            <w:pPr>
              <w:jc w:val="both"/>
            </w:pPr>
          </w:p>
        </w:tc>
        <w:tc>
          <w:tcPr>
            <w:tcW w:w="2046" w:type="dxa"/>
          </w:tcPr>
          <w:p w14:paraId="4CAB25BB" w14:textId="77777777" w:rsidR="009073D2" w:rsidRPr="009073D2" w:rsidRDefault="009073D2" w:rsidP="009073D2">
            <w:pPr>
              <w:jc w:val="both"/>
            </w:pPr>
            <w:r w:rsidRPr="009073D2">
              <w:rPr>
                <w:b/>
              </w:rPr>
              <w:t>Current Year</w:t>
            </w:r>
          </w:p>
        </w:tc>
        <w:tc>
          <w:tcPr>
            <w:tcW w:w="2207" w:type="dxa"/>
          </w:tcPr>
          <w:p w14:paraId="5CD357F7" w14:textId="77777777" w:rsidR="009073D2" w:rsidRPr="009073D2" w:rsidRDefault="009073D2" w:rsidP="009073D2">
            <w:pPr>
              <w:jc w:val="both"/>
            </w:pPr>
            <w:r w:rsidRPr="009073D2">
              <w:rPr>
                <w:b/>
              </w:rPr>
              <w:t>Previous Year</w:t>
            </w:r>
          </w:p>
        </w:tc>
      </w:tr>
      <w:tr w:rsidR="009073D2" w:rsidRPr="009073D2" w14:paraId="4F3C3B54" w14:textId="77777777" w:rsidTr="00DF040D">
        <w:tc>
          <w:tcPr>
            <w:tcW w:w="3964" w:type="dxa"/>
          </w:tcPr>
          <w:p w14:paraId="3682DBD7" w14:textId="77777777" w:rsidR="009073D2" w:rsidRPr="009073D2" w:rsidRDefault="009073D2" w:rsidP="009073D2">
            <w:pPr>
              <w:jc w:val="both"/>
            </w:pPr>
            <w:r w:rsidRPr="009073D2">
              <w:t>Income</w:t>
            </w:r>
          </w:p>
        </w:tc>
        <w:tc>
          <w:tcPr>
            <w:tcW w:w="2046" w:type="dxa"/>
          </w:tcPr>
          <w:p w14:paraId="553892EF" w14:textId="77777777" w:rsidR="009073D2" w:rsidRPr="009073D2" w:rsidRDefault="009073D2" w:rsidP="00DC05B4">
            <w:pPr>
              <w:jc w:val="right"/>
            </w:pPr>
            <w:r w:rsidRPr="009073D2">
              <w:t>€</w:t>
            </w:r>
            <w:r w:rsidRPr="009073D2">
              <w:rPr>
                <w:color w:val="000000"/>
              </w:rPr>
              <w:t>361,652,819</w:t>
            </w:r>
          </w:p>
        </w:tc>
        <w:tc>
          <w:tcPr>
            <w:tcW w:w="2207" w:type="dxa"/>
          </w:tcPr>
          <w:p w14:paraId="7669ADC4" w14:textId="77777777" w:rsidR="009073D2" w:rsidRPr="009073D2" w:rsidRDefault="009073D2" w:rsidP="00DC05B4">
            <w:pPr>
              <w:jc w:val="right"/>
            </w:pPr>
            <w:r w:rsidRPr="009073D2">
              <w:t>€</w:t>
            </w:r>
            <w:r w:rsidRPr="009073D2">
              <w:rPr>
                <w:color w:val="000000"/>
              </w:rPr>
              <w:t>315,456,489</w:t>
            </w:r>
          </w:p>
        </w:tc>
      </w:tr>
      <w:tr w:rsidR="009073D2" w:rsidRPr="009073D2" w14:paraId="1549A37A" w14:textId="77777777" w:rsidTr="00DF040D">
        <w:tc>
          <w:tcPr>
            <w:tcW w:w="3964" w:type="dxa"/>
          </w:tcPr>
          <w:p w14:paraId="54BCDA8F" w14:textId="77777777" w:rsidR="009073D2" w:rsidRPr="009073D2" w:rsidRDefault="009073D2" w:rsidP="009073D2">
            <w:pPr>
              <w:jc w:val="both"/>
            </w:pPr>
            <w:r w:rsidRPr="009073D2">
              <w:t>Expenditure</w:t>
            </w:r>
          </w:p>
        </w:tc>
        <w:tc>
          <w:tcPr>
            <w:tcW w:w="2046" w:type="dxa"/>
          </w:tcPr>
          <w:p w14:paraId="6C198001" w14:textId="77777777" w:rsidR="009073D2" w:rsidRPr="009073D2" w:rsidRDefault="009073D2" w:rsidP="00DC05B4">
            <w:pPr>
              <w:jc w:val="right"/>
            </w:pPr>
            <w:r w:rsidRPr="009073D2">
              <w:t>€</w:t>
            </w:r>
            <w:r w:rsidRPr="009073D2">
              <w:rPr>
                <w:color w:val="000000"/>
              </w:rPr>
              <w:t>313,476,236</w:t>
            </w:r>
          </w:p>
        </w:tc>
        <w:tc>
          <w:tcPr>
            <w:tcW w:w="2207" w:type="dxa"/>
          </w:tcPr>
          <w:p w14:paraId="2950A153" w14:textId="77777777" w:rsidR="009073D2" w:rsidRPr="009073D2" w:rsidRDefault="009073D2" w:rsidP="00DC05B4">
            <w:pPr>
              <w:jc w:val="right"/>
            </w:pPr>
            <w:r w:rsidRPr="009073D2">
              <w:t>€</w:t>
            </w:r>
            <w:r w:rsidRPr="009073D2">
              <w:rPr>
                <w:color w:val="000000"/>
              </w:rPr>
              <w:t>260,195,033</w:t>
            </w:r>
          </w:p>
        </w:tc>
      </w:tr>
      <w:tr w:rsidR="009073D2" w:rsidRPr="009073D2" w14:paraId="1991312A" w14:textId="77777777" w:rsidTr="00DF040D">
        <w:tc>
          <w:tcPr>
            <w:tcW w:w="3964" w:type="dxa"/>
          </w:tcPr>
          <w:p w14:paraId="45114D3F" w14:textId="77777777" w:rsidR="009073D2" w:rsidRPr="009073D2" w:rsidRDefault="009073D2" w:rsidP="009073D2">
            <w:pPr>
              <w:jc w:val="both"/>
            </w:pPr>
            <w:r w:rsidRPr="009073D2">
              <w:t>Transfers to Capital</w:t>
            </w:r>
          </w:p>
        </w:tc>
        <w:tc>
          <w:tcPr>
            <w:tcW w:w="2046" w:type="dxa"/>
          </w:tcPr>
          <w:p w14:paraId="43CD4021" w14:textId="77777777" w:rsidR="009073D2" w:rsidRPr="009073D2" w:rsidRDefault="009073D2" w:rsidP="00DC05B4">
            <w:pPr>
              <w:jc w:val="right"/>
            </w:pPr>
            <w:r w:rsidRPr="009073D2">
              <w:t>€</w:t>
            </w:r>
            <w:r w:rsidRPr="009073D2">
              <w:rPr>
                <w:color w:val="000000"/>
              </w:rPr>
              <w:t>48,143,346</w:t>
            </w:r>
          </w:p>
        </w:tc>
        <w:tc>
          <w:tcPr>
            <w:tcW w:w="2207" w:type="dxa"/>
          </w:tcPr>
          <w:p w14:paraId="34220E73" w14:textId="77777777" w:rsidR="009073D2" w:rsidRPr="009073D2" w:rsidRDefault="009073D2" w:rsidP="00DC05B4">
            <w:pPr>
              <w:jc w:val="right"/>
            </w:pPr>
            <w:r w:rsidRPr="009073D2">
              <w:t>€</w:t>
            </w:r>
            <w:r w:rsidRPr="009073D2">
              <w:rPr>
                <w:color w:val="000000"/>
              </w:rPr>
              <w:t>55,206,355</w:t>
            </w:r>
          </w:p>
        </w:tc>
      </w:tr>
      <w:tr w:rsidR="009073D2" w:rsidRPr="009073D2" w14:paraId="65A69DDD" w14:textId="77777777" w:rsidTr="00DF040D">
        <w:tc>
          <w:tcPr>
            <w:tcW w:w="3964" w:type="dxa"/>
          </w:tcPr>
          <w:p w14:paraId="7217D47F" w14:textId="77777777" w:rsidR="009073D2" w:rsidRPr="009073D2" w:rsidRDefault="009073D2" w:rsidP="009073D2">
            <w:pPr>
              <w:jc w:val="both"/>
            </w:pPr>
            <w:r w:rsidRPr="009073D2">
              <w:t>Exceptional Item</w:t>
            </w:r>
          </w:p>
        </w:tc>
        <w:tc>
          <w:tcPr>
            <w:tcW w:w="2046" w:type="dxa"/>
          </w:tcPr>
          <w:p w14:paraId="17400DD7" w14:textId="77777777" w:rsidR="009073D2" w:rsidRPr="009073D2" w:rsidRDefault="009073D2" w:rsidP="00DC05B4">
            <w:pPr>
              <w:jc w:val="right"/>
            </w:pPr>
            <w:r w:rsidRPr="009073D2">
              <w:t>€0</w:t>
            </w:r>
          </w:p>
        </w:tc>
        <w:tc>
          <w:tcPr>
            <w:tcW w:w="2207" w:type="dxa"/>
          </w:tcPr>
          <w:p w14:paraId="0F5FB4C5" w14:textId="77777777" w:rsidR="009073D2" w:rsidRPr="009073D2" w:rsidRDefault="009073D2" w:rsidP="00DC05B4">
            <w:pPr>
              <w:jc w:val="right"/>
            </w:pPr>
            <w:r w:rsidRPr="009073D2">
              <w:t>€0</w:t>
            </w:r>
          </w:p>
        </w:tc>
      </w:tr>
      <w:tr w:rsidR="009073D2" w:rsidRPr="009073D2" w14:paraId="1E5332BD" w14:textId="77777777" w:rsidTr="00DF040D">
        <w:tc>
          <w:tcPr>
            <w:tcW w:w="3964" w:type="dxa"/>
          </w:tcPr>
          <w:p w14:paraId="44031F3F" w14:textId="77777777" w:rsidR="009073D2" w:rsidRPr="009073D2" w:rsidRDefault="009073D2" w:rsidP="009073D2">
            <w:pPr>
              <w:jc w:val="both"/>
            </w:pPr>
            <w:r w:rsidRPr="009073D2">
              <w:t>Surplus (Deficit) for</w:t>
            </w:r>
          </w:p>
        </w:tc>
        <w:tc>
          <w:tcPr>
            <w:tcW w:w="2046" w:type="dxa"/>
          </w:tcPr>
          <w:p w14:paraId="46D2864F" w14:textId="77777777" w:rsidR="009073D2" w:rsidRPr="009073D2" w:rsidRDefault="009073D2" w:rsidP="00DC05B4">
            <w:pPr>
              <w:jc w:val="right"/>
              <w:rPr>
                <w:color w:val="000000"/>
              </w:rPr>
            </w:pPr>
            <w:r w:rsidRPr="009073D2">
              <w:t>€</w:t>
            </w:r>
            <w:r w:rsidRPr="009073D2">
              <w:rPr>
                <w:color w:val="000000"/>
              </w:rPr>
              <w:t>33,237</w:t>
            </w:r>
          </w:p>
        </w:tc>
        <w:tc>
          <w:tcPr>
            <w:tcW w:w="2207" w:type="dxa"/>
          </w:tcPr>
          <w:p w14:paraId="1577570C" w14:textId="77777777" w:rsidR="009073D2" w:rsidRPr="009073D2" w:rsidRDefault="009073D2" w:rsidP="00DC05B4">
            <w:pPr>
              <w:jc w:val="right"/>
              <w:rPr>
                <w:color w:val="000000"/>
              </w:rPr>
            </w:pPr>
            <w:r w:rsidRPr="009073D2">
              <w:t>€</w:t>
            </w:r>
            <w:r w:rsidRPr="009073D2">
              <w:rPr>
                <w:color w:val="000000"/>
              </w:rPr>
              <w:t>55,101</w:t>
            </w:r>
          </w:p>
        </w:tc>
      </w:tr>
      <w:tr w:rsidR="009073D2" w:rsidRPr="009073D2" w14:paraId="6A25B01E" w14:textId="77777777" w:rsidTr="00DF040D">
        <w:tc>
          <w:tcPr>
            <w:tcW w:w="3964" w:type="dxa"/>
          </w:tcPr>
          <w:p w14:paraId="78CE4C28" w14:textId="77777777" w:rsidR="009073D2" w:rsidRPr="009073D2" w:rsidRDefault="009073D2" w:rsidP="009073D2">
            <w:pPr>
              <w:jc w:val="both"/>
            </w:pPr>
            <w:r w:rsidRPr="009073D2">
              <w:t>Prior Year Adjustment</w:t>
            </w:r>
          </w:p>
        </w:tc>
        <w:tc>
          <w:tcPr>
            <w:tcW w:w="2046" w:type="dxa"/>
          </w:tcPr>
          <w:p w14:paraId="1D4C9005" w14:textId="77777777" w:rsidR="009073D2" w:rsidRPr="009073D2" w:rsidRDefault="009073D2" w:rsidP="00DC05B4">
            <w:pPr>
              <w:jc w:val="right"/>
            </w:pPr>
            <w:r w:rsidRPr="009073D2">
              <w:t>€0</w:t>
            </w:r>
          </w:p>
        </w:tc>
        <w:tc>
          <w:tcPr>
            <w:tcW w:w="2207" w:type="dxa"/>
          </w:tcPr>
          <w:p w14:paraId="1D3DE277" w14:textId="77777777" w:rsidR="009073D2" w:rsidRPr="009073D2" w:rsidRDefault="009073D2" w:rsidP="00DC05B4">
            <w:pPr>
              <w:jc w:val="right"/>
            </w:pPr>
            <w:r w:rsidRPr="009073D2">
              <w:t>€0</w:t>
            </w:r>
          </w:p>
        </w:tc>
      </w:tr>
      <w:tr w:rsidR="009073D2" w:rsidRPr="009073D2" w14:paraId="391B8E98" w14:textId="77777777" w:rsidTr="00DF040D">
        <w:tc>
          <w:tcPr>
            <w:tcW w:w="3964" w:type="dxa"/>
          </w:tcPr>
          <w:p w14:paraId="42E25447" w14:textId="77777777" w:rsidR="009073D2" w:rsidRPr="009073D2" w:rsidRDefault="009073D2" w:rsidP="009073D2">
            <w:pPr>
              <w:jc w:val="both"/>
            </w:pPr>
            <w:r w:rsidRPr="009073D2">
              <w:t>Opening Revenue Reserve</w:t>
            </w:r>
          </w:p>
        </w:tc>
        <w:tc>
          <w:tcPr>
            <w:tcW w:w="2046" w:type="dxa"/>
          </w:tcPr>
          <w:p w14:paraId="7FC7F86A" w14:textId="77777777" w:rsidR="009073D2" w:rsidRPr="009073D2" w:rsidRDefault="009073D2" w:rsidP="00DC05B4">
            <w:pPr>
              <w:jc w:val="right"/>
            </w:pPr>
            <w:r w:rsidRPr="009073D2">
              <w:t>€</w:t>
            </w:r>
            <w:r w:rsidRPr="009073D2">
              <w:rPr>
                <w:color w:val="000000"/>
              </w:rPr>
              <w:t>12,337,595</w:t>
            </w:r>
          </w:p>
        </w:tc>
        <w:tc>
          <w:tcPr>
            <w:tcW w:w="2207" w:type="dxa"/>
          </w:tcPr>
          <w:p w14:paraId="3591E56E" w14:textId="77777777" w:rsidR="009073D2" w:rsidRPr="009073D2" w:rsidRDefault="009073D2" w:rsidP="00DC05B4">
            <w:pPr>
              <w:jc w:val="right"/>
            </w:pPr>
            <w:r w:rsidRPr="009073D2">
              <w:t>€</w:t>
            </w:r>
            <w:r w:rsidRPr="009073D2">
              <w:rPr>
                <w:color w:val="000000"/>
              </w:rPr>
              <w:t>12,282,494</w:t>
            </w:r>
          </w:p>
        </w:tc>
      </w:tr>
      <w:tr w:rsidR="009073D2" w:rsidRPr="009073D2" w14:paraId="7C84354E" w14:textId="77777777" w:rsidTr="00DF040D">
        <w:tc>
          <w:tcPr>
            <w:tcW w:w="3964" w:type="dxa"/>
          </w:tcPr>
          <w:p w14:paraId="713A2AB1" w14:textId="77777777" w:rsidR="009073D2" w:rsidRPr="009073D2" w:rsidRDefault="009073D2" w:rsidP="009073D2">
            <w:pPr>
              <w:jc w:val="both"/>
            </w:pPr>
            <w:r w:rsidRPr="009073D2">
              <w:t>Closing Revenue Reserve</w:t>
            </w:r>
          </w:p>
        </w:tc>
        <w:tc>
          <w:tcPr>
            <w:tcW w:w="2046" w:type="dxa"/>
          </w:tcPr>
          <w:p w14:paraId="5F84C175" w14:textId="77777777" w:rsidR="009073D2" w:rsidRPr="009073D2" w:rsidRDefault="009073D2" w:rsidP="00DC05B4">
            <w:pPr>
              <w:jc w:val="right"/>
            </w:pPr>
            <w:r w:rsidRPr="009073D2">
              <w:t>€</w:t>
            </w:r>
            <w:r w:rsidRPr="009073D2">
              <w:rPr>
                <w:color w:val="000000"/>
              </w:rPr>
              <w:t>12,370,832</w:t>
            </w:r>
          </w:p>
        </w:tc>
        <w:tc>
          <w:tcPr>
            <w:tcW w:w="2207" w:type="dxa"/>
          </w:tcPr>
          <w:p w14:paraId="02FE9AC5" w14:textId="77777777" w:rsidR="009073D2" w:rsidRPr="009073D2" w:rsidRDefault="009073D2" w:rsidP="00DC05B4">
            <w:pPr>
              <w:jc w:val="right"/>
            </w:pPr>
            <w:r w:rsidRPr="009073D2">
              <w:t>€</w:t>
            </w:r>
            <w:r w:rsidRPr="009073D2">
              <w:rPr>
                <w:color w:val="000000"/>
              </w:rPr>
              <w:t>12,337,595</w:t>
            </w:r>
          </w:p>
        </w:tc>
      </w:tr>
    </w:tbl>
    <w:p w14:paraId="76FDE4F3" w14:textId="14FA074E" w:rsidR="009073D2" w:rsidRPr="009073D2" w:rsidRDefault="009073D2" w:rsidP="009073D2">
      <w:pPr>
        <w:spacing w:before="240" w:line="360" w:lineRule="auto"/>
        <w:jc w:val="both"/>
      </w:pPr>
      <w:r w:rsidRPr="009073D2">
        <w:t xml:space="preserve">Income for 2024 increased by €46.2m with the increase of €38.8m in grants and subsidies being mainly attributable to growing activity under the Payment </w:t>
      </w:r>
      <w:r w:rsidR="0037035F">
        <w:t>and</w:t>
      </w:r>
      <w:r w:rsidRPr="009073D2">
        <w:t xml:space="preserve"> Availability and Leasing schemes.  We also received €17m in grants from the Department of Enterprise, Trade and Employment which was distributed to local businesses under the Increased Cost of Business (ICOB) schemes and the Power Up Grants (PUG).  Income from social rents rose by €3.5m to €34.8, while income from commercial Rates rose by €5.5m to 148.8m.  Following a review of baseline funding by the Department of Housing, Local Government and Heritage, income available to the Revenue account from Local Property Tax rose from €6.2m to €11.5m.</w:t>
      </w:r>
    </w:p>
    <w:p w14:paraId="0545398A" w14:textId="77777777" w:rsidR="009073D2" w:rsidRPr="009073D2" w:rsidRDefault="009073D2" w:rsidP="009073D2">
      <w:pPr>
        <w:spacing w:line="360" w:lineRule="auto"/>
        <w:jc w:val="both"/>
      </w:pPr>
      <w:r w:rsidRPr="009073D2">
        <w:t>The council’s closing revenue reserve at €12,370,832 increased by the €33,237 surplus for the year. The continued surpluses over the last number of years demonstrates our commitment to maintaining a strong financial position.</w:t>
      </w:r>
    </w:p>
    <w:p w14:paraId="4BBD0EF7" w14:textId="77777777" w:rsidR="009073D2" w:rsidRPr="009073D2" w:rsidRDefault="009073D2" w:rsidP="009073D2">
      <w:pPr>
        <w:spacing w:line="360" w:lineRule="auto"/>
        <w:jc w:val="both"/>
      </w:pPr>
      <w:r w:rsidRPr="009073D2">
        <w:t xml:space="preserve">The </w:t>
      </w:r>
      <w:r w:rsidRPr="009073D2">
        <w:rPr>
          <w:i/>
        </w:rPr>
        <w:t>Statement of Financial Position (Balance Sheet)</w:t>
      </w:r>
      <w:r w:rsidRPr="009073D2">
        <w:t xml:space="preserve"> represents the total financial activity of the council for the year together with comparative year figures as appropriate. </w:t>
      </w:r>
    </w:p>
    <w:p w14:paraId="2EF3FD89" w14:textId="77777777" w:rsidR="009073D2" w:rsidRPr="009073D2" w:rsidRDefault="009073D2" w:rsidP="009073D2">
      <w:pPr>
        <w:jc w:val="both"/>
      </w:pPr>
      <w:r w:rsidRPr="009073D2">
        <w:t xml:space="preserve">The statement includes assets and liabilities as follows: </w:t>
      </w:r>
    </w:p>
    <w:p w14:paraId="61524882" w14:textId="77777777" w:rsidR="009073D2" w:rsidRPr="009073D2" w:rsidRDefault="009073D2" w:rsidP="009073D2">
      <w:pPr>
        <w:pStyle w:val="ListParagraph"/>
        <w:numPr>
          <w:ilvl w:val="0"/>
          <w:numId w:val="14"/>
        </w:numPr>
        <w:spacing w:line="259" w:lineRule="auto"/>
        <w:jc w:val="both"/>
      </w:pPr>
      <w:r w:rsidRPr="009073D2">
        <w:t>assets both recently constructed/purchased and historical assets</w:t>
      </w:r>
    </w:p>
    <w:p w14:paraId="2CB497F7" w14:textId="77777777" w:rsidR="009073D2" w:rsidRPr="009073D2" w:rsidRDefault="009073D2" w:rsidP="009073D2">
      <w:pPr>
        <w:pStyle w:val="ListParagraph"/>
        <w:numPr>
          <w:ilvl w:val="0"/>
          <w:numId w:val="14"/>
        </w:numPr>
        <w:spacing w:line="259" w:lineRule="auto"/>
        <w:jc w:val="both"/>
      </w:pPr>
      <w:r w:rsidRPr="009073D2">
        <w:t>work in progress and preliminary schemes- mainly roads and housing</w:t>
      </w:r>
    </w:p>
    <w:p w14:paraId="2736B86C" w14:textId="77777777" w:rsidR="009073D2" w:rsidRPr="009073D2" w:rsidRDefault="009073D2" w:rsidP="009073D2">
      <w:pPr>
        <w:pStyle w:val="ListParagraph"/>
        <w:numPr>
          <w:ilvl w:val="0"/>
          <w:numId w:val="14"/>
        </w:numPr>
        <w:spacing w:line="259" w:lineRule="auto"/>
        <w:jc w:val="both"/>
      </w:pPr>
      <w:r w:rsidRPr="009073D2">
        <w:t>long term debtors – housing loans</w:t>
      </w:r>
    </w:p>
    <w:p w14:paraId="794DCAF7" w14:textId="77777777" w:rsidR="009073D2" w:rsidRPr="009073D2" w:rsidRDefault="009073D2" w:rsidP="009073D2">
      <w:pPr>
        <w:pStyle w:val="ListParagraph"/>
        <w:numPr>
          <w:ilvl w:val="0"/>
          <w:numId w:val="14"/>
        </w:numPr>
        <w:spacing w:line="259" w:lineRule="auto"/>
        <w:jc w:val="both"/>
      </w:pPr>
      <w:r w:rsidRPr="009073D2">
        <w:t>current assets- including stock, debtors, cash at bank</w:t>
      </w:r>
    </w:p>
    <w:p w14:paraId="38706DBA" w14:textId="77777777" w:rsidR="009073D2" w:rsidRPr="009073D2" w:rsidRDefault="009073D2" w:rsidP="009073D2">
      <w:pPr>
        <w:pStyle w:val="ListParagraph"/>
        <w:numPr>
          <w:ilvl w:val="0"/>
          <w:numId w:val="14"/>
        </w:numPr>
        <w:spacing w:line="259" w:lineRule="auto"/>
        <w:jc w:val="both"/>
      </w:pPr>
      <w:r w:rsidRPr="009073D2">
        <w:lastRenderedPageBreak/>
        <w:t>current and long-term liabilities- mortgage and non-mortgage loan borrowings</w:t>
      </w:r>
    </w:p>
    <w:p w14:paraId="4C2E461F" w14:textId="77777777" w:rsidR="009073D2" w:rsidRPr="009073D2" w:rsidRDefault="009073D2" w:rsidP="009073D2">
      <w:pPr>
        <w:pStyle w:val="ListParagraph"/>
        <w:numPr>
          <w:ilvl w:val="0"/>
          <w:numId w:val="14"/>
        </w:numPr>
        <w:spacing w:line="259" w:lineRule="auto"/>
        <w:jc w:val="both"/>
      </w:pPr>
      <w:r w:rsidRPr="009073D2">
        <w:t xml:space="preserve">various reserves/balances </w:t>
      </w:r>
    </w:p>
    <w:p w14:paraId="2644ED07" w14:textId="77777777" w:rsidR="009073D2" w:rsidRPr="009073D2" w:rsidRDefault="009073D2" w:rsidP="009073D2">
      <w:pPr>
        <w:jc w:val="both"/>
      </w:pPr>
      <w:r w:rsidRPr="009073D2">
        <w:t>The Net Assets of South Dublin County Council at the end of 2024 total €</w:t>
      </w:r>
      <w:r w:rsidRPr="009073D2">
        <w:rPr>
          <w:rFonts w:eastAsia="Times New Roman" w:cstheme="minorHAnsi"/>
          <w:color w:val="000000"/>
          <w:lang w:eastAsia="en-IE"/>
        </w:rPr>
        <w:t>4,391,210,241</w:t>
      </w:r>
      <w:r w:rsidRPr="009073D2">
        <w:t xml:space="preserve"> and are as follows: </w:t>
      </w:r>
    </w:p>
    <w:tbl>
      <w:tblPr>
        <w:tblStyle w:val="TableGrid"/>
        <w:tblW w:w="0" w:type="auto"/>
        <w:tblLook w:val="04A0" w:firstRow="1" w:lastRow="0" w:firstColumn="1" w:lastColumn="0" w:noHBand="0" w:noVBand="1"/>
      </w:tblPr>
      <w:tblGrid>
        <w:gridCol w:w="3964"/>
        <w:gridCol w:w="2046"/>
        <w:gridCol w:w="2065"/>
      </w:tblGrid>
      <w:tr w:rsidR="009073D2" w:rsidRPr="009073D2" w14:paraId="339E7F8E" w14:textId="77777777" w:rsidTr="00DF040D">
        <w:tc>
          <w:tcPr>
            <w:tcW w:w="3964" w:type="dxa"/>
          </w:tcPr>
          <w:p w14:paraId="3D45F03F" w14:textId="77777777" w:rsidR="009073D2" w:rsidRPr="009073D2" w:rsidRDefault="009073D2" w:rsidP="009073D2">
            <w:pPr>
              <w:jc w:val="both"/>
            </w:pPr>
          </w:p>
        </w:tc>
        <w:tc>
          <w:tcPr>
            <w:tcW w:w="2046" w:type="dxa"/>
          </w:tcPr>
          <w:p w14:paraId="3F1E7E66" w14:textId="77777777" w:rsidR="009073D2" w:rsidRPr="009073D2" w:rsidRDefault="009073D2" w:rsidP="009073D2">
            <w:pPr>
              <w:jc w:val="both"/>
            </w:pPr>
            <w:r w:rsidRPr="009073D2">
              <w:rPr>
                <w:b/>
              </w:rPr>
              <w:t>Current Year</w:t>
            </w:r>
          </w:p>
        </w:tc>
        <w:tc>
          <w:tcPr>
            <w:tcW w:w="2065" w:type="dxa"/>
          </w:tcPr>
          <w:p w14:paraId="0FE3DCE9" w14:textId="77777777" w:rsidR="009073D2" w:rsidRPr="009073D2" w:rsidRDefault="009073D2" w:rsidP="009073D2">
            <w:pPr>
              <w:jc w:val="both"/>
            </w:pPr>
            <w:r w:rsidRPr="009073D2">
              <w:rPr>
                <w:b/>
              </w:rPr>
              <w:t>Previous Year</w:t>
            </w:r>
          </w:p>
        </w:tc>
      </w:tr>
      <w:tr w:rsidR="009073D2" w:rsidRPr="009073D2" w14:paraId="231EEBFB" w14:textId="77777777" w:rsidTr="00DF040D">
        <w:tc>
          <w:tcPr>
            <w:tcW w:w="3964" w:type="dxa"/>
          </w:tcPr>
          <w:p w14:paraId="62904B2B" w14:textId="77777777" w:rsidR="009073D2" w:rsidRPr="009073D2" w:rsidRDefault="009073D2" w:rsidP="009073D2">
            <w:pPr>
              <w:jc w:val="both"/>
            </w:pPr>
            <w:r w:rsidRPr="009073D2">
              <w:t>Fixed Assets</w:t>
            </w:r>
          </w:p>
        </w:tc>
        <w:tc>
          <w:tcPr>
            <w:tcW w:w="2046" w:type="dxa"/>
          </w:tcPr>
          <w:p w14:paraId="54A08FA1" w14:textId="77777777" w:rsidR="009073D2" w:rsidRPr="009073D2" w:rsidRDefault="009073D2" w:rsidP="00DC05B4">
            <w:pPr>
              <w:jc w:val="right"/>
            </w:pPr>
            <w:r w:rsidRPr="009073D2">
              <w:t>€3,631,422,426</w:t>
            </w:r>
          </w:p>
        </w:tc>
        <w:tc>
          <w:tcPr>
            <w:tcW w:w="2065" w:type="dxa"/>
          </w:tcPr>
          <w:p w14:paraId="2EB2F99E" w14:textId="77777777" w:rsidR="009073D2" w:rsidRPr="009073D2" w:rsidRDefault="009073D2" w:rsidP="00DC05B4">
            <w:pPr>
              <w:jc w:val="right"/>
            </w:pPr>
            <w:r w:rsidRPr="009073D2">
              <w:t>€3,455,636,442</w:t>
            </w:r>
          </w:p>
        </w:tc>
      </w:tr>
      <w:tr w:rsidR="009073D2" w:rsidRPr="009073D2" w14:paraId="03E6386E" w14:textId="77777777" w:rsidTr="00DF040D">
        <w:tc>
          <w:tcPr>
            <w:tcW w:w="3964" w:type="dxa"/>
          </w:tcPr>
          <w:p w14:paraId="744FBDE5" w14:textId="77777777" w:rsidR="009073D2" w:rsidRPr="009073D2" w:rsidRDefault="009073D2" w:rsidP="009073D2">
            <w:pPr>
              <w:jc w:val="both"/>
            </w:pPr>
            <w:r w:rsidRPr="009073D2">
              <w:t>Works in Progress</w:t>
            </w:r>
          </w:p>
        </w:tc>
        <w:tc>
          <w:tcPr>
            <w:tcW w:w="2046" w:type="dxa"/>
          </w:tcPr>
          <w:p w14:paraId="3234DF7F" w14:textId="77777777" w:rsidR="009073D2" w:rsidRPr="009073D2" w:rsidRDefault="009073D2" w:rsidP="00DC05B4">
            <w:pPr>
              <w:jc w:val="right"/>
            </w:pPr>
            <w:r w:rsidRPr="009073D2">
              <w:t>€272,267,506</w:t>
            </w:r>
          </w:p>
        </w:tc>
        <w:tc>
          <w:tcPr>
            <w:tcW w:w="2065" w:type="dxa"/>
          </w:tcPr>
          <w:p w14:paraId="316ED4CB" w14:textId="77777777" w:rsidR="009073D2" w:rsidRPr="009073D2" w:rsidRDefault="009073D2" w:rsidP="00DC05B4">
            <w:pPr>
              <w:jc w:val="right"/>
            </w:pPr>
            <w:r w:rsidRPr="009073D2">
              <w:t>€205,252,370</w:t>
            </w:r>
          </w:p>
        </w:tc>
      </w:tr>
      <w:tr w:rsidR="009073D2" w:rsidRPr="009073D2" w14:paraId="16D114A9" w14:textId="77777777" w:rsidTr="00DF040D">
        <w:tc>
          <w:tcPr>
            <w:tcW w:w="3964" w:type="dxa"/>
          </w:tcPr>
          <w:p w14:paraId="320F8EC8" w14:textId="77777777" w:rsidR="009073D2" w:rsidRPr="009073D2" w:rsidRDefault="009073D2" w:rsidP="009073D2">
            <w:pPr>
              <w:jc w:val="both"/>
            </w:pPr>
            <w:r w:rsidRPr="009073D2">
              <w:t>Long Term Debtors</w:t>
            </w:r>
          </w:p>
        </w:tc>
        <w:tc>
          <w:tcPr>
            <w:tcW w:w="2046" w:type="dxa"/>
          </w:tcPr>
          <w:p w14:paraId="19E558B0" w14:textId="77777777" w:rsidR="009073D2" w:rsidRPr="009073D2" w:rsidRDefault="009073D2" w:rsidP="00DC05B4">
            <w:pPr>
              <w:jc w:val="right"/>
            </w:pPr>
            <w:r w:rsidRPr="009073D2">
              <w:t>€345,557,877</w:t>
            </w:r>
          </w:p>
        </w:tc>
        <w:tc>
          <w:tcPr>
            <w:tcW w:w="2065" w:type="dxa"/>
          </w:tcPr>
          <w:p w14:paraId="0E881D1A" w14:textId="77777777" w:rsidR="009073D2" w:rsidRPr="009073D2" w:rsidRDefault="009073D2" w:rsidP="00DC05B4">
            <w:pPr>
              <w:jc w:val="right"/>
            </w:pPr>
            <w:r w:rsidRPr="009073D2">
              <w:t>€212,538,294</w:t>
            </w:r>
          </w:p>
        </w:tc>
      </w:tr>
      <w:tr w:rsidR="009073D2" w:rsidRPr="009073D2" w14:paraId="24020C0F" w14:textId="77777777" w:rsidTr="00DF040D">
        <w:tc>
          <w:tcPr>
            <w:tcW w:w="3964" w:type="dxa"/>
          </w:tcPr>
          <w:p w14:paraId="6E12634B" w14:textId="77777777" w:rsidR="009073D2" w:rsidRPr="009073D2" w:rsidRDefault="009073D2" w:rsidP="009073D2">
            <w:pPr>
              <w:jc w:val="both"/>
            </w:pPr>
            <w:r w:rsidRPr="009073D2">
              <w:t>Current Assets</w:t>
            </w:r>
          </w:p>
        </w:tc>
        <w:tc>
          <w:tcPr>
            <w:tcW w:w="2046" w:type="dxa"/>
          </w:tcPr>
          <w:p w14:paraId="52783486" w14:textId="77777777" w:rsidR="009073D2" w:rsidRPr="009073D2" w:rsidRDefault="009073D2" w:rsidP="00DC05B4">
            <w:pPr>
              <w:jc w:val="right"/>
            </w:pPr>
            <w:r w:rsidRPr="009073D2">
              <w:t>€639,069,211</w:t>
            </w:r>
          </w:p>
        </w:tc>
        <w:tc>
          <w:tcPr>
            <w:tcW w:w="2065" w:type="dxa"/>
          </w:tcPr>
          <w:p w14:paraId="6883D151" w14:textId="77777777" w:rsidR="009073D2" w:rsidRPr="009073D2" w:rsidRDefault="009073D2" w:rsidP="00DC05B4">
            <w:pPr>
              <w:jc w:val="right"/>
            </w:pPr>
            <w:r w:rsidRPr="009073D2">
              <w:t>€613,470,962</w:t>
            </w:r>
          </w:p>
        </w:tc>
      </w:tr>
      <w:tr w:rsidR="009073D2" w:rsidRPr="009073D2" w14:paraId="430157A1" w14:textId="77777777" w:rsidTr="00DF040D">
        <w:tc>
          <w:tcPr>
            <w:tcW w:w="3964" w:type="dxa"/>
          </w:tcPr>
          <w:p w14:paraId="7D956A0C" w14:textId="77777777" w:rsidR="009073D2" w:rsidRPr="009073D2" w:rsidRDefault="009073D2" w:rsidP="009073D2">
            <w:pPr>
              <w:jc w:val="both"/>
            </w:pPr>
            <w:r w:rsidRPr="009073D2">
              <w:t>Current Liabilities</w:t>
            </w:r>
          </w:p>
        </w:tc>
        <w:tc>
          <w:tcPr>
            <w:tcW w:w="2046" w:type="dxa"/>
          </w:tcPr>
          <w:p w14:paraId="68123CF4" w14:textId="77777777" w:rsidR="009073D2" w:rsidRPr="009073D2" w:rsidRDefault="009073D2" w:rsidP="00DC05B4">
            <w:pPr>
              <w:jc w:val="right"/>
            </w:pPr>
            <w:r w:rsidRPr="009073D2">
              <w:t>€88,185,772</w:t>
            </w:r>
          </w:p>
        </w:tc>
        <w:tc>
          <w:tcPr>
            <w:tcW w:w="2065" w:type="dxa"/>
          </w:tcPr>
          <w:p w14:paraId="1EB93A61" w14:textId="77777777" w:rsidR="009073D2" w:rsidRPr="009073D2" w:rsidRDefault="009073D2" w:rsidP="00DC05B4">
            <w:pPr>
              <w:jc w:val="right"/>
            </w:pPr>
            <w:r w:rsidRPr="009073D2">
              <w:t>€94,020,886</w:t>
            </w:r>
          </w:p>
        </w:tc>
      </w:tr>
      <w:tr w:rsidR="009073D2" w:rsidRPr="009073D2" w14:paraId="4A355016" w14:textId="77777777" w:rsidTr="00DF040D">
        <w:tc>
          <w:tcPr>
            <w:tcW w:w="3964" w:type="dxa"/>
          </w:tcPr>
          <w:p w14:paraId="258BA4C4" w14:textId="77777777" w:rsidR="009073D2" w:rsidRPr="009073D2" w:rsidRDefault="009073D2" w:rsidP="009073D2">
            <w:pPr>
              <w:jc w:val="both"/>
            </w:pPr>
            <w:r w:rsidRPr="009073D2">
              <w:t>Net Current Assets / (Liabilities)</w:t>
            </w:r>
          </w:p>
        </w:tc>
        <w:tc>
          <w:tcPr>
            <w:tcW w:w="2046" w:type="dxa"/>
          </w:tcPr>
          <w:p w14:paraId="793CAE8B" w14:textId="77777777" w:rsidR="009073D2" w:rsidRPr="009073D2" w:rsidRDefault="009073D2" w:rsidP="00DC05B4">
            <w:pPr>
              <w:jc w:val="right"/>
            </w:pPr>
            <w:r w:rsidRPr="009073D2">
              <w:t>€550,883,439</w:t>
            </w:r>
          </w:p>
        </w:tc>
        <w:tc>
          <w:tcPr>
            <w:tcW w:w="2065" w:type="dxa"/>
          </w:tcPr>
          <w:p w14:paraId="2801054E" w14:textId="77777777" w:rsidR="009073D2" w:rsidRPr="009073D2" w:rsidRDefault="009073D2" w:rsidP="00DC05B4">
            <w:pPr>
              <w:jc w:val="right"/>
            </w:pPr>
            <w:r w:rsidRPr="009073D2">
              <w:t>€519,450,076</w:t>
            </w:r>
          </w:p>
        </w:tc>
      </w:tr>
      <w:tr w:rsidR="009073D2" w:rsidRPr="009073D2" w14:paraId="0CB936B3" w14:textId="77777777" w:rsidTr="00DF040D">
        <w:tc>
          <w:tcPr>
            <w:tcW w:w="3964" w:type="dxa"/>
          </w:tcPr>
          <w:p w14:paraId="7A4E3228" w14:textId="77777777" w:rsidR="009073D2" w:rsidRPr="009073D2" w:rsidRDefault="009073D2" w:rsidP="009073D2">
            <w:pPr>
              <w:jc w:val="both"/>
            </w:pPr>
            <w:r w:rsidRPr="009073D2">
              <w:t>Creditors (Amounts greater than 1 year)</w:t>
            </w:r>
          </w:p>
        </w:tc>
        <w:tc>
          <w:tcPr>
            <w:tcW w:w="2046" w:type="dxa"/>
          </w:tcPr>
          <w:p w14:paraId="24E72464" w14:textId="77777777" w:rsidR="009073D2" w:rsidRPr="009073D2" w:rsidRDefault="009073D2" w:rsidP="00DC05B4">
            <w:pPr>
              <w:jc w:val="right"/>
            </w:pPr>
            <w:r w:rsidRPr="009073D2">
              <w:t>€408,921,007</w:t>
            </w:r>
          </w:p>
        </w:tc>
        <w:tc>
          <w:tcPr>
            <w:tcW w:w="2065" w:type="dxa"/>
          </w:tcPr>
          <w:p w14:paraId="526BCD8B" w14:textId="77777777" w:rsidR="009073D2" w:rsidRPr="009073D2" w:rsidRDefault="009073D2" w:rsidP="00DC05B4">
            <w:pPr>
              <w:jc w:val="right"/>
            </w:pPr>
            <w:r w:rsidRPr="009073D2">
              <w:t>€273,860,703</w:t>
            </w:r>
          </w:p>
        </w:tc>
      </w:tr>
      <w:tr w:rsidR="009073D2" w:rsidRPr="009073D2" w14:paraId="76DD7C8D" w14:textId="77777777" w:rsidTr="00DF040D">
        <w:tc>
          <w:tcPr>
            <w:tcW w:w="3964" w:type="dxa"/>
          </w:tcPr>
          <w:p w14:paraId="38742567" w14:textId="77777777" w:rsidR="009073D2" w:rsidRPr="009073D2" w:rsidRDefault="009073D2" w:rsidP="009073D2">
            <w:pPr>
              <w:jc w:val="both"/>
            </w:pPr>
            <w:r w:rsidRPr="009073D2">
              <w:t>Net Assets/(Liabilities)</w:t>
            </w:r>
          </w:p>
        </w:tc>
        <w:tc>
          <w:tcPr>
            <w:tcW w:w="2046" w:type="dxa"/>
          </w:tcPr>
          <w:p w14:paraId="5ACBB8FB" w14:textId="77777777" w:rsidR="009073D2" w:rsidRPr="009073D2" w:rsidRDefault="009073D2" w:rsidP="00DC05B4">
            <w:pPr>
              <w:jc w:val="right"/>
            </w:pPr>
            <w:r w:rsidRPr="009073D2">
              <w:t>€4,391,210,241</w:t>
            </w:r>
          </w:p>
        </w:tc>
        <w:tc>
          <w:tcPr>
            <w:tcW w:w="2065" w:type="dxa"/>
          </w:tcPr>
          <w:p w14:paraId="548469D9" w14:textId="77777777" w:rsidR="009073D2" w:rsidRPr="009073D2" w:rsidRDefault="009073D2" w:rsidP="00DC05B4">
            <w:pPr>
              <w:jc w:val="right"/>
            </w:pPr>
            <w:r w:rsidRPr="009073D2">
              <w:t>€4,119,016,479</w:t>
            </w:r>
          </w:p>
        </w:tc>
      </w:tr>
    </w:tbl>
    <w:p w14:paraId="2A001B72" w14:textId="77777777" w:rsidR="009073D2" w:rsidRPr="009073D2" w:rsidRDefault="009073D2" w:rsidP="009073D2">
      <w:pPr>
        <w:spacing w:before="240" w:line="360" w:lineRule="auto"/>
        <w:jc w:val="both"/>
      </w:pPr>
      <w:r w:rsidRPr="009073D2">
        <w:t xml:space="preserve">A </w:t>
      </w:r>
      <w:r w:rsidRPr="009073D2">
        <w:rPr>
          <w:i/>
        </w:rPr>
        <w:t>Statement of Funds Flow</w:t>
      </w:r>
      <w:r w:rsidRPr="009073D2">
        <w:t xml:space="preserve"> was introduced as part of AFS 2011. While the guidance of International Accounting Standard 7 Statement of Cash Flows has been followed, the business of local authorities is substantially different to most private sector organisations and therefore some minor changes to the format have been agreed to ensure the data displayed is meaningful and useful within the local government sector. </w:t>
      </w:r>
    </w:p>
    <w:p w14:paraId="61299F62" w14:textId="77777777" w:rsidR="009073D2" w:rsidRPr="009073D2" w:rsidRDefault="009073D2" w:rsidP="009073D2">
      <w:pPr>
        <w:spacing w:line="360" w:lineRule="auto"/>
        <w:jc w:val="both"/>
      </w:pPr>
      <w:r w:rsidRPr="009073D2">
        <w:rPr>
          <w:b/>
        </w:rPr>
        <w:t>System of Internal Financial Controls</w:t>
      </w:r>
      <w:r w:rsidRPr="009073D2">
        <w:t xml:space="preserve"> </w:t>
      </w:r>
    </w:p>
    <w:p w14:paraId="14D44A92" w14:textId="77777777" w:rsidR="009073D2" w:rsidRPr="009073D2" w:rsidRDefault="009073D2" w:rsidP="009073D2">
      <w:pPr>
        <w:spacing w:line="360" w:lineRule="auto"/>
        <w:jc w:val="both"/>
      </w:pPr>
      <w:r w:rsidRPr="009073D2">
        <w:t xml:space="preserve">As Chief Executive of South Dublin County Council, I acknowledge my responsibility for ensuring that an effective system of internal financial control is maintained and operated by South Dublin County Council. This responsibility is exercised in the context of the resources available to South Dublin County Council. Also, any system of internal financial control can provide only reasonable and not absolute assurance that assets are safeguarded, transactions authorised and properly recorded, and that material errors or irregularities are either prevented or would be detected in a timely manner. Maintaining the system of internal financial controls is a continuous process and the system and its effectiveness are kept under ongoing review. </w:t>
      </w:r>
    </w:p>
    <w:p w14:paraId="2F3D7FF5" w14:textId="77777777" w:rsidR="009073D2" w:rsidRPr="009073D2" w:rsidRDefault="009073D2" w:rsidP="009073D2">
      <w:pPr>
        <w:spacing w:line="360" w:lineRule="auto"/>
        <w:jc w:val="both"/>
      </w:pPr>
      <w:r w:rsidRPr="009073D2">
        <w:rPr>
          <w:b/>
        </w:rPr>
        <w:t>Financial control environment</w:t>
      </w:r>
      <w:r w:rsidRPr="009073D2">
        <w:t xml:space="preserve"> </w:t>
      </w:r>
    </w:p>
    <w:p w14:paraId="6562A754" w14:textId="77777777" w:rsidR="009073D2" w:rsidRPr="009073D2" w:rsidRDefault="009073D2" w:rsidP="009073D2">
      <w:pPr>
        <w:spacing w:line="360" w:lineRule="auto"/>
        <w:jc w:val="both"/>
      </w:pPr>
      <w:r w:rsidRPr="009073D2">
        <w:t xml:space="preserve">As Chief Executive of South Dublin County Council, I confirm that a financial control environment containing the following elements is in place: </w:t>
      </w:r>
    </w:p>
    <w:p w14:paraId="14BA2CBE" w14:textId="77777777" w:rsidR="009073D2" w:rsidRPr="009073D2" w:rsidRDefault="009073D2" w:rsidP="009073D2">
      <w:pPr>
        <w:pStyle w:val="ListParagraph"/>
        <w:numPr>
          <w:ilvl w:val="0"/>
          <w:numId w:val="15"/>
        </w:numPr>
        <w:spacing w:line="360" w:lineRule="auto"/>
        <w:jc w:val="both"/>
      </w:pPr>
      <w:r w:rsidRPr="009073D2">
        <w:t>Financial responsibilities have been assigned at management level with corresponding accountability.</w:t>
      </w:r>
    </w:p>
    <w:p w14:paraId="455325BA" w14:textId="77777777" w:rsidR="009073D2" w:rsidRPr="009073D2" w:rsidRDefault="009073D2" w:rsidP="009073D2">
      <w:pPr>
        <w:pStyle w:val="ListParagraph"/>
        <w:numPr>
          <w:ilvl w:val="0"/>
          <w:numId w:val="15"/>
        </w:numPr>
        <w:spacing w:line="360" w:lineRule="auto"/>
        <w:jc w:val="both"/>
      </w:pPr>
      <w:r w:rsidRPr="009073D2">
        <w:lastRenderedPageBreak/>
        <w:t>Reporting arrangements have been established at all levels where responsibility for financial management has been assigned.</w:t>
      </w:r>
    </w:p>
    <w:p w14:paraId="21DB2CF6" w14:textId="77777777" w:rsidR="009073D2" w:rsidRPr="009073D2" w:rsidRDefault="009073D2" w:rsidP="009073D2">
      <w:pPr>
        <w:pStyle w:val="ListParagraph"/>
        <w:numPr>
          <w:ilvl w:val="0"/>
          <w:numId w:val="15"/>
        </w:numPr>
        <w:spacing w:line="360" w:lineRule="auto"/>
        <w:jc w:val="both"/>
      </w:pPr>
      <w:r w:rsidRPr="009073D2">
        <w:t>Formal procedures have been established for reporting significant control failures and ensuring appropriate corrective action.</w:t>
      </w:r>
    </w:p>
    <w:p w14:paraId="70588B6B" w14:textId="77777777" w:rsidR="009073D2" w:rsidRPr="009073D2" w:rsidRDefault="009073D2" w:rsidP="009073D2">
      <w:pPr>
        <w:pStyle w:val="ListParagraph"/>
        <w:numPr>
          <w:ilvl w:val="0"/>
          <w:numId w:val="15"/>
        </w:numPr>
        <w:spacing w:line="360" w:lineRule="auto"/>
        <w:jc w:val="both"/>
      </w:pPr>
      <w:r w:rsidRPr="009073D2">
        <w:t>There is an Audit Committee which as part of its work programme regularly review the internal financial control system.</w:t>
      </w:r>
    </w:p>
    <w:p w14:paraId="0FE96E9A" w14:textId="77777777" w:rsidR="009073D2" w:rsidRPr="009073D2" w:rsidRDefault="009073D2" w:rsidP="009073D2">
      <w:pPr>
        <w:pStyle w:val="ListParagraph"/>
        <w:numPr>
          <w:ilvl w:val="0"/>
          <w:numId w:val="15"/>
        </w:numPr>
        <w:spacing w:line="360" w:lineRule="auto"/>
        <w:jc w:val="both"/>
      </w:pPr>
      <w:r w:rsidRPr="009073D2">
        <w:t>Procedures for all key business processes have been documented.</w:t>
      </w:r>
    </w:p>
    <w:p w14:paraId="0944BEA0" w14:textId="77777777" w:rsidR="009073D2" w:rsidRPr="009073D2" w:rsidRDefault="009073D2" w:rsidP="009073D2">
      <w:pPr>
        <w:pStyle w:val="ListParagraph"/>
        <w:numPr>
          <w:ilvl w:val="0"/>
          <w:numId w:val="15"/>
        </w:numPr>
        <w:spacing w:line="360" w:lineRule="auto"/>
        <w:jc w:val="both"/>
      </w:pPr>
      <w:r w:rsidRPr="009073D2">
        <w:t>There are systems in place to safeguard the assets.</w:t>
      </w:r>
    </w:p>
    <w:p w14:paraId="2D51A7D7" w14:textId="77777777" w:rsidR="009073D2" w:rsidRPr="009073D2" w:rsidRDefault="009073D2" w:rsidP="009073D2">
      <w:pPr>
        <w:spacing w:line="360" w:lineRule="auto"/>
        <w:jc w:val="both"/>
      </w:pPr>
      <w:r w:rsidRPr="009073D2">
        <w:rPr>
          <w:b/>
        </w:rPr>
        <w:t>Administrative Controls and Management Reporting</w:t>
      </w:r>
      <w:r w:rsidRPr="009073D2">
        <w:t xml:space="preserve"> </w:t>
      </w:r>
    </w:p>
    <w:p w14:paraId="30A0A0EC" w14:textId="77777777" w:rsidR="009073D2" w:rsidRPr="009073D2" w:rsidRDefault="009073D2" w:rsidP="009073D2">
      <w:pPr>
        <w:spacing w:line="360" w:lineRule="auto"/>
        <w:jc w:val="both"/>
      </w:pPr>
      <w:r w:rsidRPr="009073D2">
        <w:t>As Chief Executive of South Dublin County Council, I confirm that a framework of administrative procedures and regular management reporting is in place including segregation of duties and a system of delegation and accountability and</w:t>
      </w:r>
      <w:proofErr w:type="gramStart"/>
      <w:r w:rsidRPr="009073D2">
        <w:t>, in particular, that</w:t>
      </w:r>
      <w:proofErr w:type="gramEnd"/>
      <w:r w:rsidRPr="009073D2">
        <w:t xml:space="preserve">: </w:t>
      </w:r>
    </w:p>
    <w:p w14:paraId="1D4A51F5" w14:textId="77777777" w:rsidR="009073D2" w:rsidRPr="009073D2" w:rsidRDefault="009073D2" w:rsidP="009073D2">
      <w:pPr>
        <w:pStyle w:val="ListParagraph"/>
        <w:numPr>
          <w:ilvl w:val="0"/>
          <w:numId w:val="17"/>
        </w:numPr>
        <w:spacing w:line="360" w:lineRule="auto"/>
        <w:jc w:val="both"/>
      </w:pPr>
      <w:r w:rsidRPr="009073D2">
        <w:t>Procedures for key business processes have been documented.</w:t>
      </w:r>
    </w:p>
    <w:p w14:paraId="4736DDC6" w14:textId="77777777" w:rsidR="009073D2" w:rsidRPr="009073D2" w:rsidRDefault="009073D2" w:rsidP="009073D2">
      <w:pPr>
        <w:pStyle w:val="ListParagraph"/>
        <w:numPr>
          <w:ilvl w:val="0"/>
          <w:numId w:val="17"/>
        </w:numPr>
        <w:spacing w:line="360" w:lineRule="auto"/>
        <w:jc w:val="both"/>
      </w:pPr>
      <w:r w:rsidRPr="009073D2">
        <w:t>There are systems aimed at ensuring the security of the ICT systems.</w:t>
      </w:r>
    </w:p>
    <w:p w14:paraId="1EE6D07F" w14:textId="77777777" w:rsidR="009073D2" w:rsidRPr="009073D2" w:rsidRDefault="009073D2" w:rsidP="009073D2">
      <w:pPr>
        <w:pStyle w:val="ListParagraph"/>
        <w:numPr>
          <w:ilvl w:val="0"/>
          <w:numId w:val="17"/>
        </w:numPr>
        <w:spacing w:line="360" w:lineRule="auto"/>
        <w:jc w:val="both"/>
      </w:pPr>
      <w:r w:rsidRPr="009073D2">
        <w:t>There are systems in place to safeguard the assets of the local authority.</w:t>
      </w:r>
    </w:p>
    <w:p w14:paraId="17D94A44" w14:textId="77777777" w:rsidR="009073D2" w:rsidRPr="009073D2" w:rsidRDefault="009073D2" w:rsidP="009073D2">
      <w:pPr>
        <w:pStyle w:val="ListParagraph"/>
        <w:numPr>
          <w:ilvl w:val="0"/>
          <w:numId w:val="17"/>
        </w:numPr>
        <w:spacing w:line="360" w:lineRule="auto"/>
        <w:jc w:val="both"/>
      </w:pPr>
      <w:r w:rsidRPr="009073D2">
        <w:t xml:space="preserve">There are appropriate capital investment control guidelines and formal project management disciplines in operation. </w:t>
      </w:r>
    </w:p>
    <w:p w14:paraId="0602DA0A" w14:textId="77777777" w:rsidR="009073D2" w:rsidRPr="009073D2" w:rsidRDefault="009073D2" w:rsidP="009073D2">
      <w:pPr>
        <w:spacing w:line="360" w:lineRule="auto"/>
        <w:jc w:val="both"/>
      </w:pPr>
      <w:r w:rsidRPr="009073D2">
        <w:rPr>
          <w:b/>
        </w:rPr>
        <w:t>Procurement compliance</w:t>
      </w:r>
      <w:r w:rsidRPr="009073D2">
        <w:t xml:space="preserve"> </w:t>
      </w:r>
    </w:p>
    <w:p w14:paraId="3673621D" w14:textId="77777777" w:rsidR="009073D2" w:rsidRPr="009073D2" w:rsidRDefault="009073D2" w:rsidP="009073D2">
      <w:pPr>
        <w:spacing w:line="360" w:lineRule="auto"/>
        <w:jc w:val="both"/>
      </w:pPr>
      <w:r w:rsidRPr="009073D2">
        <w:t xml:space="preserve">South Dublin County Council ensures that there is an appropriate and ongoing focus on good practice in tendering and purchasing and that procedures are in place to ensure compliance with all relevant procurement guidelines. </w:t>
      </w:r>
    </w:p>
    <w:p w14:paraId="0387BA05" w14:textId="77777777" w:rsidR="009073D2" w:rsidRPr="009073D2" w:rsidRDefault="009073D2" w:rsidP="009073D2">
      <w:pPr>
        <w:spacing w:line="360" w:lineRule="auto"/>
        <w:jc w:val="both"/>
      </w:pPr>
      <w:r w:rsidRPr="009073D2">
        <w:rPr>
          <w:b/>
        </w:rPr>
        <w:t>Internal audit and Audit Committee</w:t>
      </w:r>
      <w:r w:rsidRPr="009073D2">
        <w:t xml:space="preserve"> </w:t>
      </w:r>
    </w:p>
    <w:p w14:paraId="08F8103C" w14:textId="77777777" w:rsidR="009073D2" w:rsidRPr="009073D2" w:rsidRDefault="009073D2" w:rsidP="009073D2">
      <w:pPr>
        <w:spacing w:line="360" w:lineRule="auto"/>
        <w:jc w:val="both"/>
      </w:pPr>
      <w:r w:rsidRPr="009073D2">
        <w:t xml:space="preserve">As Chief Executive, I can confirm that South Dublin County Council has an internal audit function with appropriately trained personnel, which operates in accordance with a written charter. Its work is informed by analysis of the financial risks to which South Dublin County Council is exposed, and its annual internal audit plans are based on this analysis. I am satisfied that there are procedures in place to ensure that the reports of the internal audit function are followed up. </w:t>
      </w:r>
    </w:p>
    <w:p w14:paraId="2F938D0A" w14:textId="77777777" w:rsidR="009073D2" w:rsidRPr="009073D2" w:rsidRDefault="009073D2" w:rsidP="009073D2">
      <w:pPr>
        <w:spacing w:line="360" w:lineRule="auto"/>
        <w:jc w:val="both"/>
      </w:pPr>
      <w:r w:rsidRPr="009073D2">
        <w:lastRenderedPageBreak/>
        <w:t xml:space="preserve">I can confirm that South Dublin County Council has an effective Audit Committee which carries out an annual effectiveness review of their activities. I can also confirm that an Audit Committee is in place in accordance with the requirements of Section 122 of the Local Government Act 2001 (as amended). </w:t>
      </w:r>
    </w:p>
    <w:p w14:paraId="4A9677CC" w14:textId="77777777" w:rsidR="009073D2" w:rsidRPr="009073D2" w:rsidRDefault="009073D2" w:rsidP="009073D2">
      <w:pPr>
        <w:spacing w:line="360" w:lineRule="auto"/>
        <w:jc w:val="both"/>
      </w:pPr>
      <w:r w:rsidRPr="009073D2">
        <w:t xml:space="preserve">The statutory functions of audit committees as set out in section 59 and 60 of the Local Government Reform Act 2014 are as follows: </w:t>
      </w:r>
    </w:p>
    <w:p w14:paraId="097EABAC" w14:textId="77777777" w:rsidR="009073D2" w:rsidRPr="009073D2" w:rsidRDefault="009073D2" w:rsidP="009073D2">
      <w:pPr>
        <w:pStyle w:val="ListParagraph"/>
        <w:numPr>
          <w:ilvl w:val="0"/>
          <w:numId w:val="16"/>
        </w:numPr>
        <w:spacing w:line="360" w:lineRule="auto"/>
        <w:jc w:val="both"/>
      </w:pPr>
      <w:r w:rsidRPr="009073D2">
        <w:t xml:space="preserve">to review financial and budgetary reporting practices and procedures within the local authority that has established it. </w:t>
      </w:r>
    </w:p>
    <w:p w14:paraId="5B8CA1CD" w14:textId="77777777" w:rsidR="009073D2" w:rsidRPr="009073D2" w:rsidRDefault="009073D2" w:rsidP="009073D2">
      <w:pPr>
        <w:pStyle w:val="ListParagraph"/>
        <w:numPr>
          <w:ilvl w:val="0"/>
          <w:numId w:val="16"/>
        </w:numPr>
        <w:spacing w:line="360" w:lineRule="auto"/>
        <w:jc w:val="both"/>
      </w:pPr>
      <w:r w:rsidRPr="009073D2">
        <w:t xml:space="preserve">to foster the development of best practice in the performance by the local authority of its internal audit function. </w:t>
      </w:r>
    </w:p>
    <w:p w14:paraId="3D2817C7" w14:textId="77777777" w:rsidR="009073D2" w:rsidRPr="009073D2" w:rsidRDefault="009073D2" w:rsidP="009073D2">
      <w:pPr>
        <w:pStyle w:val="ListParagraph"/>
        <w:numPr>
          <w:ilvl w:val="0"/>
          <w:numId w:val="16"/>
        </w:numPr>
        <w:spacing w:line="360" w:lineRule="auto"/>
        <w:jc w:val="both"/>
      </w:pPr>
      <w:r w:rsidRPr="009073D2">
        <w:t xml:space="preserve">to review any audited financial statement, auditor’s report or auditor’s special report in relation to the local authority and assess any actions taken within that authority by its chief executive in response to such a statement or report and to report to that authority on its findings. </w:t>
      </w:r>
    </w:p>
    <w:p w14:paraId="4625131F" w14:textId="77777777" w:rsidR="009073D2" w:rsidRPr="009073D2" w:rsidRDefault="009073D2" w:rsidP="009073D2">
      <w:pPr>
        <w:pStyle w:val="ListParagraph"/>
        <w:numPr>
          <w:ilvl w:val="0"/>
          <w:numId w:val="16"/>
        </w:numPr>
        <w:spacing w:line="360" w:lineRule="auto"/>
        <w:jc w:val="both"/>
      </w:pPr>
      <w:r w:rsidRPr="009073D2">
        <w:t xml:space="preserve">to assess and promote efficiency and value for money with respect to the local authority’s performance of its functions; and </w:t>
      </w:r>
    </w:p>
    <w:p w14:paraId="175B6056" w14:textId="77777777" w:rsidR="009073D2" w:rsidRPr="009073D2" w:rsidRDefault="009073D2" w:rsidP="009073D2">
      <w:pPr>
        <w:pStyle w:val="ListParagraph"/>
        <w:numPr>
          <w:ilvl w:val="0"/>
          <w:numId w:val="16"/>
        </w:numPr>
        <w:spacing w:line="360" w:lineRule="auto"/>
        <w:jc w:val="both"/>
      </w:pPr>
      <w:r w:rsidRPr="009073D2">
        <w:t xml:space="preserve">to review systems that are operated by the local authority for the management of risks. </w:t>
      </w:r>
    </w:p>
    <w:p w14:paraId="278B6F14" w14:textId="77777777" w:rsidR="009073D2" w:rsidRPr="009073D2" w:rsidRDefault="009073D2" w:rsidP="009073D2">
      <w:pPr>
        <w:spacing w:line="360" w:lineRule="auto"/>
        <w:jc w:val="both"/>
      </w:pPr>
      <w:r w:rsidRPr="009073D2">
        <w:t xml:space="preserve">I recognise that the audit committee plays a crucial role in the governance framework of local authorities, particularly in the context of increased public sector accountability. They have an independent role in advising the council on financial reporting processes, internal control, risk management and audit matters as part of the systematic review of the control environment and governance procedures of the local authority. </w:t>
      </w:r>
    </w:p>
    <w:p w14:paraId="2B310FB5" w14:textId="77777777" w:rsidR="009073D2" w:rsidRPr="009073D2" w:rsidRDefault="009073D2" w:rsidP="009073D2">
      <w:pPr>
        <w:spacing w:line="360" w:lineRule="auto"/>
        <w:jc w:val="both"/>
      </w:pPr>
      <w:r w:rsidRPr="009073D2">
        <w:t xml:space="preserve">I acknowledge the Audit Committee’s role in the risk management process and in the continuing review of the control environment and governance procedures in South Dublin County Council. </w:t>
      </w:r>
    </w:p>
    <w:p w14:paraId="14346A7F" w14:textId="77777777" w:rsidR="009073D2" w:rsidRPr="009073D2" w:rsidRDefault="009073D2" w:rsidP="009073D2">
      <w:pPr>
        <w:spacing w:line="360" w:lineRule="auto"/>
        <w:jc w:val="both"/>
      </w:pPr>
      <w:r w:rsidRPr="009073D2">
        <w:rPr>
          <w:b/>
        </w:rPr>
        <w:t>Risk and control framework</w:t>
      </w:r>
      <w:r w:rsidRPr="009073D2">
        <w:t xml:space="preserve"> </w:t>
      </w:r>
    </w:p>
    <w:p w14:paraId="39E65883" w14:textId="77777777" w:rsidR="009073D2" w:rsidRPr="009073D2" w:rsidRDefault="009073D2" w:rsidP="009073D2">
      <w:pPr>
        <w:spacing w:line="360" w:lineRule="auto"/>
        <w:jc w:val="both"/>
      </w:pPr>
      <w:r w:rsidRPr="009073D2">
        <w:t xml:space="preserve">South Dublin County Council has implemented a risk management system which identifies and reports key risks and the management actions being taken to address and, to the greatest extent possible, mitigate those risks. </w:t>
      </w:r>
    </w:p>
    <w:p w14:paraId="54DE7347" w14:textId="77777777" w:rsidR="009073D2" w:rsidRPr="009073D2" w:rsidRDefault="009073D2" w:rsidP="009073D2">
      <w:pPr>
        <w:spacing w:line="360" w:lineRule="auto"/>
        <w:jc w:val="both"/>
      </w:pPr>
      <w:r w:rsidRPr="009073D2">
        <w:lastRenderedPageBreak/>
        <w:t xml:space="preserve">A corporate risk register is in place which identifies the key risks and evaluates and grades them according to their significance. The register is reviewed and updated by the Management Team on a regular basis. There is also a risk register in place for each service </w:t>
      </w:r>
      <w:proofErr w:type="gramStart"/>
      <w:r w:rsidRPr="009073D2">
        <w:t>division</w:t>
      </w:r>
      <w:proofErr w:type="gramEnd"/>
      <w:r w:rsidRPr="009073D2">
        <w:t xml:space="preserve"> and these are also reviewed and updated on a regular basis. </w:t>
      </w:r>
    </w:p>
    <w:p w14:paraId="74F954E3" w14:textId="77777777" w:rsidR="009073D2" w:rsidRPr="009073D2" w:rsidRDefault="009073D2" w:rsidP="009073D2">
      <w:pPr>
        <w:spacing w:line="360" w:lineRule="auto"/>
        <w:jc w:val="both"/>
      </w:pPr>
      <w:r w:rsidRPr="009073D2">
        <w:t xml:space="preserve">The outcome of these assessments is used to plan and allocate resources to ensure risks are managed to an acceptable level. The risk registers which detail the controls and actions needed to mitigate risks and responsibilities for the operation of controls are assigned to specific staff. </w:t>
      </w:r>
    </w:p>
    <w:p w14:paraId="1C3A9076" w14:textId="77777777" w:rsidR="009073D2" w:rsidRPr="009073D2" w:rsidRDefault="009073D2" w:rsidP="009073D2">
      <w:pPr>
        <w:spacing w:line="360" w:lineRule="auto"/>
        <w:jc w:val="both"/>
      </w:pPr>
      <w:r w:rsidRPr="009073D2">
        <w:t xml:space="preserve">As Chief Executive, I confirm that key risks and related controls have been identified, and processes have been put in place to monitor the operation of those key controls and report any identified deficiencies. </w:t>
      </w:r>
    </w:p>
    <w:p w14:paraId="0DC4CC6C" w14:textId="77777777" w:rsidR="009073D2" w:rsidRPr="009073D2" w:rsidRDefault="009073D2" w:rsidP="009073D2">
      <w:pPr>
        <w:spacing w:line="360" w:lineRule="auto"/>
        <w:jc w:val="both"/>
      </w:pPr>
      <w:r w:rsidRPr="009073D2">
        <w:t>The Statement of Internal Financial Control will be included in the draft Annual Report submitted to Council members by 30 April each year and thereafter included in the published Annual Report prepared and adopted by the Council by 30 June each year.</w:t>
      </w:r>
    </w:p>
    <w:p w14:paraId="51E2FEA2" w14:textId="4801BE1D" w:rsidR="009073D2" w:rsidRPr="009073D2" w:rsidRDefault="009073D2" w:rsidP="009073D2">
      <w:pPr>
        <w:spacing w:line="360" w:lineRule="auto"/>
        <w:jc w:val="both"/>
      </w:pPr>
      <w:r>
        <w:rPr>
          <w:noProof/>
        </w:rPr>
        <w:drawing>
          <wp:anchor distT="0" distB="0" distL="114300" distR="114300" simplePos="0" relativeHeight="251662336" behindDoc="0" locked="0" layoutInCell="1" allowOverlap="1" wp14:anchorId="25788169" wp14:editId="2BAB7A20">
            <wp:simplePos x="0" y="0"/>
            <wp:positionH relativeFrom="column">
              <wp:posOffset>733425</wp:posOffset>
            </wp:positionH>
            <wp:positionV relativeFrom="paragraph">
              <wp:posOffset>81915</wp:posOffset>
            </wp:positionV>
            <wp:extent cx="1619250" cy="618101"/>
            <wp:effectExtent l="0" t="0" r="0" b="0"/>
            <wp:wrapNone/>
            <wp:docPr id="294064804" name="Picture 1"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064804" name="Picture 1" descr="A black and white text&#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19250" cy="618101"/>
                    </a:xfrm>
                    <a:prstGeom prst="rect">
                      <a:avLst/>
                    </a:prstGeom>
                  </pic:spPr>
                </pic:pic>
              </a:graphicData>
            </a:graphic>
            <wp14:sizeRelH relativeFrom="page">
              <wp14:pctWidth>0</wp14:pctWidth>
            </wp14:sizeRelH>
            <wp14:sizeRelV relativeFrom="page">
              <wp14:pctHeight>0</wp14:pctHeight>
            </wp14:sizeRelV>
          </wp:anchor>
        </w:drawing>
      </w:r>
    </w:p>
    <w:p w14:paraId="0C4F7DEC" w14:textId="3587B1F0" w:rsidR="009073D2" w:rsidRPr="009073D2" w:rsidRDefault="009073D2" w:rsidP="009073D2">
      <w:pPr>
        <w:spacing w:line="240" w:lineRule="auto"/>
        <w:jc w:val="both"/>
        <w:rPr>
          <w:b/>
          <w:bCs/>
        </w:rPr>
      </w:pPr>
      <w:r w:rsidRPr="009073D2">
        <w:t xml:space="preserve">Signed by: </w:t>
      </w:r>
      <w:r w:rsidRPr="009073D2">
        <w:tab/>
        <w:t>____________________</w:t>
      </w:r>
    </w:p>
    <w:p w14:paraId="609E7DE1" w14:textId="710E2DD8" w:rsidR="009073D2" w:rsidRPr="009073D2" w:rsidRDefault="009073D2" w:rsidP="009073D2">
      <w:pPr>
        <w:spacing w:line="240" w:lineRule="auto"/>
        <w:ind w:left="720" w:firstLine="720"/>
        <w:jc w:val="both"/>
        <w:rPr>
          <w:b/>
          <w:bCs/>
        </w:rPr>
      </w:pPr>
      <w:r w:rsidRPr="009073D2">
        <w:rPr>
          <w:b/>
          <w:bCs/>
        </w:rPr>
        <w:t>Chief Executive</w:t>
      </w:r>
    </w:p>
    <w:p w14:paraId="3B5014F4" w14:textId="77777777" w:rsidR="009073D2" w:rsidRPr="009073D2" w:rsidRDefault="009073D2" w:rsidP="009073D2">
      <w:pPr>
        <w:spacing w:line="240" w:lineRule="auto"/>
        <w:jc w:val="both"/>
        <w:rPr>
          <w:b/>
          <w:bCs/>
        </w:rPr>
      </w:pPr>
    </w:p>
    <w:p w14:paraId="0A40A3EB" w14:textId="05E7481D" w:rsidR="009073D2" w:rsidRPr="009073D2" w:rsidRDefault="009073D2" w:rsidP="009073D2">
      <w:pPr>
        <w:spacing w:line="360" w:lineRule="auto"/>
        <w:jc w:val="both"/>
      </w:pPr>
      <w:r w:rsidRPr="009073D2">
        <w:t xml:space="preserve">Dated: </w:t>
      </w:r>
      <w:r w:rsidRPr="009073D2">
        <w:tab/>
        <w:t>10</w:t>
      </w:r>
      <w:r w:rsidRPr="009073D2">
        <w:rPr>
          <w:vertAlign w:val="superscript"/>
        </w:rPr>
        <w:t>th</w:t>
      </w:r>
      <w:r w:rsidRPr="009073D2">
        <w:t xml:space="preserve"> April 2025</w:t>
      </w:r>
    </w:p>
    <w:p w14:paraId="50E82962" w14:textId="2F061408" w:rsidR="00FE4625" w:rsidRDefault="00FE4625">
      <w:pPr>
        <w:rPr>
          <w:rFonts w:asciiTheme="majorHAnsi" w:eastAsiaTheme="majorEastAsia" w:hAnsiTheme="majorHAnsi" w:cstheme="majorBidi"/>
          <w:color w:val="0F4761" w:themeColor="accent1" w:themeShade="BF"/>
          <w:sz w:val="32"/>
          <w:szCs w:val="32"/>
        </w:rPr>
      </w:pPr>
      <w:r>
        <w:br w:type="page"/>
      </w:r>
    </w:p>
    <w:p w14:paraId="73FAFC5D" w14:textId="3BB42A59" w:rsidR="00FE4625" w:rsidRDefault="00FE4625" w:rsidP="00B60676">
      <w:pPr>
        <w:pStyle w:val="Heading2"/>
        <w:jc w:val="both"/>
      </w:pPr>
      <w:bookmarkStart w:id="116" w:name="_Toc199244575"/>
      <w:r>
        <w:lastRenderedPageBreak/>
        <w:t>Appendix 1.2: Financial Statements</w:t>
      </w:r>
      <w:bookmarkEnd w:id="116"/>
    </w:p>
    <w:p w14:paraId="48E45E08" w14:textId="6634953D" w:rsidR="00593958" w:rsidRDefault="00593958" w:rsidP="00593958">
      <w:pPr>
        <w:pStyle w:val="Heading3"/>
      </w:pPr>
      <w:bookmarkStart w:id="117" w:name="_Toc195533632"/>
      <w:bookmarkStart w:id="118" w:name="_Toc195533704"/>
      <w:bookmarkStart w:id="119" w:name="_Toc195533982"/>
      <w:bookmarkStart w:id="120" w:name="_Toc195534057"/>
      <w:bookmarkStart w:id="121" w:name="_Toc195534420"/>
      <w:bookmarkStart w:id="122" w:name="_Toc195534620"/>
      <w:bookmarkStart w:id="123" w:name="_Toc199244576"/>
      <w:r w:rsidRPr="00F43CA8">
        <w:t>STATEMENT</w:t>
      </w:r>
      <w:r w:rsidRPr="00F43CA8">
        <w:rPr>
          <w:spacing w:val="-1"/>
        </w:rPr>
        <w:t xml:space="preserve"> </w:t>
      </w:r>
      <w:r w:rsidRPr="00F43CA8">
        <w:t>OF</w:t>
      </w:r>
      <w:r w:rsidRPr="00F43CA8">
        <w:rPr>
          <w:spacing w:val="-4"/>
        </w:rPr>
        <w:t xml:space="preserve"> </w:t>
      </w:r>
      <w:r w:rsidRPr="00F43CA8">
        <w:t>COMPREHENSIVE</w:t>
      </w:r>
      <w:r w:rsidRPr="00F43CA8">
        <w:rPr>
          <w:spacing w:val="-5"/>
        </w:rPr>
        <w:t xml:space="preserve"> </w:t>
      </w:r>
      <w:proofErr w:type="gramStart"/>
      <w:r w:rsidRPr="00F43CA8">
        <w:t>INCOME</w:t>
      </w:r>
      <w:r w:rsidRPr="00F43CA8">
        <w:rPr>
          <w:spacing w:val="-5"/>
        </w:rPr>
        <w:t xml:space="preserve"> </w:t>
      </w:r>
      <w:r w:rsidRPr="00F43CA8">
        <w:t xml:space="preserve"> FOR</w:t>
      </w:r>
      <w:proofErr w:type="gramEnd"/>
      <w:r w:rsidRPr="00F43CA8">
        <w:t xml:space="preserve"> YEAR ENDING 31st DECEMBER 2023</w:t>
      </w:r>
      <w:bookmarkEnd w:id="117"/>
      <w:bookmarkEnd w:id="118"/>
      <w:bookmarkEnd w:id="119"/>
      <w:bookmarkEnd w:id="120"/>
      <w:bookmarkEnd w:id="121"/>
      <w:bookmarkEnd w:id="122"/>
      <w:bookmarkEnd w:id="123"/>
    </w:p>
    <w:p w14:paraId="75D968B3" w14:textId="07C1F5DA" w:rsidR="00BE262C" w:rsidRPr="00BE262C" w:rsidRDefault="00BE262C" w:rsidP="00BE262C">
      <w:pPr>
        <w:rPr>
          <w:b/>
          <w:bCs/>
        </w:rPr>
      </w:pPr>
      <w:r w:rsidRPr="00BE262C">
        <w:rPr>
          <w:b/>
          <w:bCs/>
        </w:rPr>
        <w:t>INCOME</w:t>
      </w:r>
      <w:r w:rsidRPr="00BE262C">
        <w:rPr>
          <w:b/>
          <w:bCs/>
          <w:spacing w:val="-5"/>
        </w:rPr>
        <w:t xml:space="preserve"> </w:t>
      </w:r>
      <w:r w:rsidR="0037035F">
        <w:rPr>
          <w:b/>
          <w:bCs/>
        </w:rPr>
        <w:t>and</w:t>
      </w:r>
      <w:r w:rsidRPr="00BE262C">
        <w:rPr>
          <w:b/>
          <w:bCs/>
          <w:spacing w:val="-5"/>
        </w:rPr>
        <w:t xml:space="preserve"> </w:t>
      </w:r>
      <w:r w:rsidRPr="00BE262C">
        <w:rPr>
          <w:b/>
          <w:bCs/>
        </w:rPr>
        <w:t>EXPENDITURE</w:t>
      </w:r>
      <w:r w:rsidRPr="00BE262C">
        <w:rPr>
          <w:b/>
          <w:bCs/>
          <w:spacing w:val="-5"/>
        </w:rPr>
        <w:t xml:space="preserve"> </w:t>
      </w:r>
      <w:r w:rsidRPr="00BE262C">
        <w:rPr>
          <w:b/>
          <w:bCs/>
        </w:rPr>
        <w:t>ACCOUNT</w:t>
      </w:r>
      <w:r w:rsidRPr="00BE262C">
        <w:rPr>
          <w:b/>
          <w:bCs/>
          <w:spacing w:val="-1"/>
        </w:rPr>
        <w:t xml:space="preserve"> </w:t>
      </w:r>
      <w:r w:rsidRPr="00BE262C">
        <w:rPr>
          <w:b/>
          <w:bCs/>
        </w:rPr>
        <w:t>STATEMENT</w:t>
      </w:r>
    </w:p>
    <w:p w14:paraId="7BF8300B" w14:textId="77777777" w:rsidR="00593958" w:rsidRPr="00F43CA8" w:rsidRDefault="00593958" w:rsidP="00593958">
      <w:pPr>
        <w:pStyle w:val="BodyText"/>
        <w:spacing w:before="32"/>
        <w:rPr>
          <w:rFonts w:asciiTheme="minorHAnsi" w:hAnsiTheme="minorHAnsi"/>
          <w:b/>
        </w:rPr>
      </w:pPr>
    </w:p>
    <w:p w14:paraId="7B581FB6" w14:textId="77777777" w:rsidR="00593958" w:rsidRPr="00F43CA8" w:rsidRDefault="00593958" w:rsidP="00593958">
      <w:pPr>
        <w:spacing w:before="1"/>
        <w:ind w:right="25"/>
        <w:rPr>
          <w:rFonts w:cs="Arial"/>
        </w:rPr>
      </w:pPr>
      <w:r w:rsidRPr="00F43CA8">
        <w:rPr>
          <w:rFonts w:cs="Arial"/>
          <w:spacing w:val="-2"/>
          <w:w w:val="105"/>
        </w:rPr>
        <w:t>The</w:t>
      </w:r>
      <w:r w:rsidRPr="00F43CA8">
        <w:rPr>
          <w:rFonts w:cs="Arial"/>
          <w:spacing w:val="-1"/>
          <w:w w:val="105"/>
        </w:rPr>
        <w:t xml:space="preserve"> </w:t>
      </w:r>
      <w:r w:rsidRPr="00F43CA8">
        <w:rPr>
          <w:rFonts w:cs="Arial"/>
          <w:spacing w:val="-2"/>
          <w:w w:val="105"/>
        </w:rPr>
        <w:t>Income</w:t>
      </w:r>
      <w:r w:rsidRPr="00F43CA8">
        <w:rPr>
          <w:rFonts w:cs="Arial"/>
          <w:spacing w:val="-1"/>
          <w:w w:val="105"/>
        </w:rPr>
        <w:t xml:space="preserve"> </w:t>
      </w:r>
      <w:r w:rsidRPr="00F43CA8">
        <w:rPr>
          <w:rFonts w:cs="Arial"/>
          <w:spacing w:val="-2"/>
          <w:w w:val="105"/>
        </w:rPr>
        <w:t>and</w:t>
      </w:r>
      <w:r w:rsidRPr="00F43CA8">
        <w:rPr>
          <w:rFonts w:cs="Arial"/>
          <w:spacing w:val="-1"/>
          <w:w w:val="105"/>
        </w:rPr>
        <w:t xml:space="preserve"> </w:t>
      </w:r>
      <w:r w:rsidRPr="00F43CA8">
        <w:rPr>
          <w:rFonts w:cs="Arial"/>
          <w:spacing w:val="-2"/>
          <w:w w:val="105"/>
        </w:rPr>
        <w:t>Expenditure</w:t>
      </w:r>
      <w:r w:rsidRPr="00F43CA8">
        <w:rPr>
          <w:rFonts w:cs="Arial"/>
          <w:spacing w:val="-1"/>
          <w:w w:val="105"/>
        </w:rPr>
        <w:t xml:space="preserve"> </w:t>
      </w:r>
      <w:r w:rsidRPr="00F43CA8">
        <w:rPr>
          <w:rFonts w:cs="Arial"/>
          <w:spacing w:val="-2"/>
          <w:w w:val="105"/>
        </w:rPr>
        <w:t>Account Statement brings</w:t>
      </w:r>
      <w:r w:rsidRPr="00F43CA8">
        <w:rPr>
          <w:rFonts w:cs="Arial"/>
          <w:spacing w:val="-1"/>
          <w:w w:val="105"/>
        </w:rPr>
        <w:t xml:space="preserve"> </w:t>
      </w:r>
      <w:r w:rsidRPr="00F43CA8">
        <w:rPr>
          <w:rFonts w:cs="Arial"/>
          <w:spacing w:val="-2"/>
          <w:w w:val="105"/>
        </w:rPr>
        <w:t>together all</w:t>
      </w:r>
      <w:r w:rsidRPr="00F43CA8">
        <w:rPr>
          <w:rFonts w:cs="Arial"/>
          <w:spacing w:val="-3"/>
          <w:w w:val="105"/>
        </w:rPr>
        <w:t xml:space="preserve"> </w:t>
      </w:r>
      <w:r w:rsidRPr="00F43CA8">
        <w:rPr>
          <w:rFonts w:cs="Arial"/>
          <w:spacing w:val="-2"/>
          <w:w w:val="105"/>
        </w:rPr>
        <w:t>the</w:t>
      </w:r>
      <w:r w:rsidRPr="00F43CA8">
        <w:rPr>
          <w:rFonts w:cs="Arial"/>
          <w:spacing w:val="-1"/>
          <w:w w:val="105"/>
        </w:rPr>
        <w:t xml:space="preserve"> </w:t>
      </w:r>
      <w:r w:rsidRPr="00F43CA8">
        <w:rPr>
          <w:rFonts w:cs="Arial"/>
          <w:spacing w:val="-2"/>
          <w:w w:val="105"/>
        </w:rPr>
        <w:t>revenue</w:t>
      </w:r>
      <w:r>
        <w:rPr>
          <w:rFonts w:cs="Arial"/>
          <w:spacing w:val="-1"/>
          <w:w w:val="105"/>
        </w:rPr>
        <w:t xml:space="preserve"> </w:t>
      </w:r>
      <w:r w:rsidRPr="00F43CA8">
        <w:rPr>
          <w:rFonts w:cs="Arial"/>
          <w:spacing w:val="-2"/>
          <w:w w:val="105"/>
        </w:rPr>
        <w:t>related</w:t>
      </w:r>
      <w:r w:rsidRPr="00F43CA8">
        <w:rPr>
          <w:rFonts w:cs="Arial"/>
          <w:spacing w:val="-1"/>
          <w:w w:val="105"/>
        </w:rPr>
        <w:t xml:space="preserve"> </w:t>
      </w:r>
      <w:r w:rsidRPr="00F43CA8">
        <w:rPr>
          <w:rFonts w:cs="Arial"/>
          <w:spacing w:val="-2"/>
          <w:w w:val="105"/>
        </w:rPr>
        <w:t>income</w:t>
      </w:r>
      <w:r w:rsidRPr="00F43CA8">
        <w:rPr>
          <w:rFonts w:cs="Arial"/>
          <w:spacing w:val="-1"/>
          <w:w w:val="105"/>
        </w:rPr>
        <w:t xml:space="preserve"> </w:t>
      </w:r>
      <w:r w:rsidRPr="00F43CA8">
        <w:rPr>
          <w:rFonts w:cs="Arial"/>
          <w:spacing w:val="-2"/>
          <w:w w:val="105"/>
        </w:rPr>
        <w:t>and</w:t>
      </w:r>
      <w:r w:rsidRPr="00F43CA8">
        <w:rPr>
          <w:rFonts w:cs="Arial"/>
          <w:w w:val="105"/>
        </w:rPr>
        <w:t xml:space="preserve"> </w:t>
      </w:r>
      <w:r w:rsidRPr="00F43CA8">
        <w:rPr>
          <w:rFonts w:cs="Arial"/>
          <w:spacing w:val="-2"/>
          <w:w w:val="105"/>
        </w:rPr>
        <w:t>expenditure.</w:t>
      </w:r>
      <w:r>
        <w:rPr>
          <w:rFonts w:cs="Arial"/>
        </w:rPr>
        <w:t xml:space="preserve"> </w:t>
      </w:r>
      <w:r w:rsidRPr="00F43CA8">
        <w:rPr>
          <w:rFonts w:cs="Arial"/>
          <w:w w:val="105"/>
        </w:rPr>
        <w:t>It</w:t>
      </w:r>
      <w:r w:rsidRPr="00F43CA8">
        <w:rPr>
          <w:rFonts w:cs="Arial"/>
          <w:spacing w:val="-9"/>
          <w:w w:val="105"/>
        </w:rPr>
        <w:t xml:space="preserve"> </w:t>
      </w:r>
      <w:r w:rsidRPr="00F43CA8">
        <w:rPr>
          <w:rFonts w:cs="Arial"/>
          <w:w w:val="105"/>
        </w:rPr>
        <w:t>shows</w:t>
      </w:r>
      <w:r w:rsidRPr="00F43CA8">
        <w:rPr>
          <w:rFonts w:cs="Arial"/>
          <w:spacing w:val="-9"/>
          <w:w w:val="105"/>
        </w:rPr>
        <w:t xml:space="preserve"> </w:t>
      </w:r>
      <w:r w:rsidRPr="00F43CA8">
        <w:rPr>
          <w:rFonts w:cs="Arial"/>
          <w:w w:val="105"/>
        </w:rPr>
        <w:t>the</w:t>
      </w:r>
      <w:r w:rsidRPr="00F43CA8">
        <w:rPr>
          <w:rFonts w:cs="Arial"/>
          <w:spacing w:val="-9"/>
          <w:w w:val="105"/>
        </w:rPr>
        <w:t xml:space="preserve"> </w:t>
      </w:r>
      <w:r w:rsidRPr="00F43CA8">
        <w:rPr>
          <w:rFonts w:cs="Arial"/>
          <w:w w:val="105"/>
        </w:rPr>
        <w:t>surplus/(deficit)</w:t>
      </w:r>
      <w:r w:rsidRPr="00F43CA8">
        <w:rPr>
          <w:rFonts w:cs="Arial"/>
          <w:spacing w:val="-8"/>
          <w:w w:val="105"/>
        </w:rPr>
        <w:t xml:space="preserve"> </w:t>
      </w:r>
      <w:r w:rsidRPr="00F43CA8">
        <w:rPr>
          <w:rFonts w:cs="Arial"/>
          <w:w w:val="105"/>
        </w:rPr>
        <w:t>for</w:t>
      </w:r>
      <w:r w:rsidRPr="00F43CA8">
        <w:rPr>
          <w:rFonts w:cs="Arial"/>
          <w:spacing w:val="-9"/>
          <w:w w:val="105"/>
        </w:rPr>
        <w:t xml:space="preserve"> </w:t>
      </w:r>
      <w:r w:rsidRPr="00F43CA8">
        <w:rPr>
          <w:rFonts w:cs="Arial"/>
          <w:w w:val="105"/>
        </w:rPr>
        <w:t>the</w:t>
      </w:r>
      <w:r w:rsidRPr="00F43CA8">
        <w:rPr>
          <w:rFonts w:cs="Arial"/>
          <w:spacing w:val="-9"/>
          <w:w w:val="105"/>
        </w:rPr>
        <w:t xml:space="preserve"> </w:t>
      </w:r>
      <w:r w:rsidRPr="00F43CA8">
        <w:rPr>
          <w:rFonts w:cs="Arial"/>
          <w:w w:val="105"/>
        </w:rPr>
        <w:t>year.</w:t>
      </w:r>
      <w:r w:rsidRPr="00F43CA8">
        <w:rPr>
          <w:rFonts w:cs="Arial"/>
          <w:spacing w:val="-9"/>
          <w:w w:val="105"/>
        </w:rPr>
        <w:t xml:space="preserve"> </w:t>
      </w:r>
      <w:r w:rsidRPr="00F43CA8">
        <w:rPr>
          <w:rFonts w:cs="Arial"/>
          <w:w w:val="105"/>
        </w:rPr>
        <w:t>Transfers</w:t>
      </w:r>
      <w:r>
        <w:rPr>
          <w:rFonts w:cs="Arial"/>
          <w:spacing w:val="-9"/>
          <w:w w:val="105"/>
        </w:rPr>
        <w:t xml:space="preserve"> </w:t>
      </w:r>
      <w:r w:rsidRPr="00F43CA8">
        <w:rPr>
          <w:rFonts w:cs="Arial"/>
          <w:w w:val="105"/>
        </w:rPr>
        <w:t>to/from</w:t>
      </w:r>
      <w:r w:rsidRPr="00F43CA8">
        <w:rPr>
          <w:rFonts w:cs="Arial"/>
          <w:spacing w:val="-8"/>
          <w:w w:val="105"/>
        </w:rPr>
        <w:t xml:space="preserve"> </w:t>
      </w:r>
      <w:r w:rsidRPr="00F43CA8">
        <w:rPr>
          <w:rFonts w:cs="Arial"/>
          <w:w w:val="105"/>
        </w:rPr>
        <w:t>reserves</w:t>
      </w:r>
      <w:r w:rsidRPr="00F43CA8">
        <w:rPr>
          <w:rFonts w:cs="Arial"/>
          <w:spacing w:val="-9"/>
          <w:w w:val="105"/>
        </w:rPr>
        <w:t xml:space="preserve"> </w:t>
      </w:r>
      <w:r w:rsidRPr="00F43CA8">
        <w:rPr>
          <w:rFonts w:cs="Arial"/>
          <w:w w:val="105"/>
        </w:rPr>
        <w:t>are</w:t>
      </w:r>
      <w:r w:rsidRPr="00F43CA8">
        <w:rPr>
          <w:rFonts w:cs="Arial"/>
          <w:spacing w:val="-9"/>
          <w:w w:val="105"/>
        </w:rPr>
        <w:t xml:space="preserve"> </w:t>
      </w:r>
      <w:r w:rsidRPr="00F43CA8">
        <w:rPr>
          <w:rFonts w:cs="Arial"/>
          <w:w w:val="105"/>
        </w:rPr>
        <w:t>shown</w:t>
      </w:r>
      <w:r w:rsidRPr="00F43CA8">
        <w:rPr>
          <w:rFonts w:cs="Arial"/>
          <w:spacing w:val="-9"/>
          <w:w w:val="105"/>
        </w:rPr>
        <w:t xml:space="preserve"> </w:t>
      </w:r>
      <w:r w:rsidRPr="00F43CA8">
        <w:rPr>
          <w:rFonts w:cs="Arial"/>
          <w:w w:val="105"/>
        </w:rPr>
        <w:t>separately</w:t>
      </w:r>
      <w:r w:rsidRPr="00F43CA8">
        <w:rPr>
          <w:rFonts w:cs="Arial"/>
          <w:spacing w:val="-8"/>
          <w:w w:val="105"/>
        </w:rPr>
        <w:t xml:space="preserve"> </w:t>
      </w:r>
      <w:r w:rsidRPr="00F43CA8">
        <w:rPr>
          <w:rFonts w:cs="Arial"/>
          <w:w w:val="105"/>
        </w:rPr>
        <w:t>and</w:t>
      </w:r>
      <w:r w:rsidRPr="00F43CA8">
        <w:rPr>
          <w:rFonts w:cs="Arial"/>
          <w:spacing w:val="-9"/>
          <w:w w:val="105"/>
        </w:rPr>
        <w:t xml:space="preserve"> </w:t>
      </w:r>
      <w:r w:rsidRPr="00F43CA8">
        <w:rPr>
          <w:rFonts w:cs="Arial"/>
          <w:w w:val="105"/>
        </w:rPr>
        <w:t>not</w:t>
      </w:r>
      <w:r w:rsidRPr="00F43CA8">
        <w:rPr>
          <w:rFonts w:cs="Arial"/>
          <w:spacing w:val="-9"/>
          <w:w w:val="105"/>
        </w:rPr>
        <w:t xml:space="preserve"> </w:t>
      </w:r>
      <w:r w:rsidRPr="00F43CA8">
        <w:rPr>
          <w:rFonts w:cs="Arial"/>
          <w:w w:val="105"/>
        </w:rPr>
        <w:t>allocated</w:t>
      </w:r>
      <w:r w:rsidRPr="00F43CA8">
        <w:rPr>
          <w:rFonts w:cs="Arial"/>
          <w:spacing w:val="-9"/>
          <w:w w:val="105"/>
        </w:rPr>
        <w:t xml:space="preserve"> </w:t>
      </w:r>
      <w:r w:rsidRPr="00F43CA8">
        <w:rPr>
          <w:rFonts w:cs="Arial"/>
          <w:w w:val="105"/>
        </w:rPr>
        <w:t>by</w:t>
      </w:r>
      <w:r w:rsidRPr="00F43CA8">
        <w:rPr>
          <w:rFonts w:cs="Arial"/>
          <w:spacing w:val="-8"/>
          <w:w w:val="105"/>
        </w:rPr>
        <w:t xml:space="preserve"> </w:t>
      </w:r>
      <w:r w:rsidRPr="00F43CA8">
        <w:rPr>
          <w:rFonts w:cs="Arial"/>
          <w:w w:val="105"/>
        </w:rPr>
        <w:t>service</w:t>
      </w:r>
      <w:r w:rsidRPr="00F43CA8">
        <w:rPr>
          <w:rFonts w:cs="Arial"/>
          <w:spacing w:val="-9"/>
          <w:w w:val="105"/>
        </w:rPr>
        <w:t xml:space="preserve"> </w:t>
      </w:r>
      <w:r w:rsidRPr="00F43CA8">
        <w:rPr>
          <w:rFonts w:cs="Arial"/>
          <w:w w:val="105"/>
        </w:rPr>
        <w:t>division.</w:t>
      </w:r>
      <w:r w:rsidRPr="00F43CA8">
        <w:rPr>
          <w:rFonts w:cs="Arial"/>
          <w:spacing w:val="40"/>
          <w:w w:val="105"/>
        </w:rPr>
        <w:t xml:space="preserve"> </w:t>
      </w:r>
      <w:r w:rsidRPr="00F43CA8">
        <w:rPr>
          <w:rFonts w:cs="Arial"/>
          <w:w w:val="105"/>
        </w:rPr>
        <w:t>Note</w:t>
      </w:r>
      <w:r>
        <w:rPr>
          <w:rFonts w:cs="Arial"/>
          <w:spacing w:val="-4"/>
          <w:w w:val="105"/>
        </w:rPr>
        <w:t xml:space="preserve"> </w:t>
      </w:r>
      <w:r w:rsidRPr="00F43CA8">
        <w:rPr>
          <w:rFonts w:cs="Arial"/>
          <w:w w:val="105"/>
        </w:rPr>
        <w:t>16</w:t>
      </w:r>
      <w:r w:rsidRPr="00F43CA8">
        <w:rPr>
          <w:rFonts w:cs="Arial"/>
          <w:spacing w:val="-4"/>
          <w:w w:val="105"/>
        </w:rPr>
        <w:t xml:space="preserve"> </w:t>
      </w:r>
      <w:r w:rsidRPr="00F43CA8">
        <w:rPr>
          <w:rFonts w:cs="Arial"/>
          <w:w w:val="105"/>
        </w:rPr>
        <w:t>allocates</w:t>
      </w:r>
      <w:r w:rsidRPr="00F43CA8">
        <w:rPr>
          <w:rFonts w:cs="Arial"/>
          <w:spacing w:val="-4"/>
          <w:w w:val="105"/>
        </w:rPr>
        <w:t xml:space="preserve"> </w:t>
      </w:r>
      <w:r w:rsidRPr="00F43CA8">
        <w:rPr>
          <w:rFonts w:cs="Arial"/>
          <w:w w:val="105"/>
        </w:rPr>
        <w:t>transfers</w:t>
      </w:r>
      <w:r w:rsidRPr="00F43CA8">
        <w:rPr>
          <w:rFonts w:cs="Arial"/>
          <w:spacing w:val="-4"/>
          <w:w w:val="105"/>
        </w:rPr>
        <w:t xml:space="preserve"> </w:t>
      </w:r>
      <w:r w:rsidRPr="00F43CA8">
        <w:rPr>
          <w:rFonts w:cs="Arial"/>
          <w:w w:val="105"/>
        </w:rPr>
        <w:t>by</w:t>
      </w:r>
      <w:r w:rsidRPr="00F43CA8">
        <w:rPr>
          <w:rFonts w:cs="Arial"/>
          <w:spacing w:val="-7"/>
          <w:w w:val="105"/>
        </w:rPr>
        <w:t xml:space="preserve"> </w:t>
      </w:r>
      <w:r w:rsidRPr="00F43CA8">
        <w:rPr>
          <w:rFonts w:cs="Arial"/>
          <w:w w:val="105"/>
        </w:rPr>
        <w:t>service</w:t>
      </w:r>
      <w:r w:rsidRPr="00F43CA8">
        <w:rPr>
          <w:rFonts w:cs="Arial"/>
          <w:spacing w:val="-4"/>
          <w:w w:val="105"/>
        </w:rPr>
        <w:t xml:space="preserve"> </w:t>
      </w:r>
      <w:r w:rsidRPr="00F43CA8">
        <w:rPr>
          <w:rFonts w:cs="Arial"/>
          <w:w w:val="105"/>
        </w:rPr>
        <w:t>division</w:t>
      </w:r>
      <w:r w:rsidRPr="00F43CA8">
        <w:rPr>
          <w:rFonts w:cs="Arial"/>
          <w:spacing w:val="-6"/>
          <w:w w:val="105"/>
        </w:rPr>
        <w:t xml:space="preserve"> </w:t>
      </w:r>
      <w:r w:rsidRPr="00F43CA8">
        <w:rPr>
          <w:rFonts w:cs="Arial"/>
          <w:w w:val="105"/>
        </w:rPr>
        <w:t>in</w:t>
      </w:r>
      <w:r w:rsidRPr="00F43CA8">
        <w:rPr>
          <w:rFonts w:cs="Arial"/>
          <w:spacing w:val="-7"/>
          <w:w w:val="105"/>
        </w:rPr>
        <w:t xml:space="preserve"> </w:t>
      </w:r>
      <w:r w:rsidRPr="00F43CA8">
        <w:rPr>
          <w:rFonts w:cs="Arial"/>
          <w:w w:val="105"/>
        </w:rPr>
        <w:t>the</w:t>
      </w:r>
      <w:r w:rsidRPr="00F43CA8">
        <w:rPr>
          <w:rFonts w:cs="Arial"/>
          <w:spacing w:val="-4"/>
          <w:w w:val="105"/>
        </w:rPr>
        <w:t xml:space="preserve"> </w:t>
      </w:r>
      <w:r w:rsidRPr="00F43CA8">
        <w:rPr>
          <w:rFonts w:cs="Arial"/>
          <w:w w:val="105"/>
        </w:rPr>
        <w:t>same</w:t>
      </w:r>
      <w:r w:rsidRPr="00F43CA8">
        <w:rPr>
          <w:rFonts w:cs="Arial"/>
          <w:spacing w:val="-4"/>
          <w:w w:val="105"/>
        </w:rPr>
        <w:t xml:space="preserve"> </w:t>
      </w:r>
      <w:r w:rsidRPr="00F43CA8">
        <w:rPr>
          <w:rFonts w:cs="Arial"/>
          <w:w w:val="105"/>
        </w:rPr>
        <w:t>format</w:t>
      </w:r>
      <w:r w:rsidRPr="00F43CA8">
        <w:rPr>
          <w:rFonts w:cs="Arial"/>
          <w:spacing w:val="-5"/>
          <w:w w:val="105"/>
        </w:rPr>
        <w:t xml:space="preserve"> </w:t>
      </w:r>
      <w:r w:rsidRPr="00F43CA8">
        <w:rPr>
          <w:rFonts w:cs="Arial"/>
          <w:w w:val="105"/>
        </w:rPr>
        <w:t>as</w:t>
      </w:r>
      <w:r w:rsidRPr="00F43CA8">
        <w:rPr>
          <w:rFonts w:cs="Arial"/>
          <w:spacing w:val="-4"/>
          <w:w w:val="105"/>
        </w:rPr>
        <w:t xml:space="preserve"> </w:t>
      </w:r>
      <w:r w:rsidRPr="00F43CA8">
        <w:rPr>
          <w:rFonts w:cs="Arial"/>
          <w:w w:val="105"/>
        </w:rPr>
        <w:t>Table</w:t>
      </w:r>
      <w:r w:rsidRPr="00F43CA8">
        <w:rPr>
          <w:rFonts w:cs="Arial"/>
          <w:spacing w:val="-4"/>
          <w:w w:val="105"/>
        </w:rPr>
        <w:t xml:space="preserve"> </w:t>
      </w:r>
      <w:r w:rsidRPr="00F43CA8">
        <w:rPr>
          <w:rFonts w:cs="Arial"/>
          <w:w w:val="105"/>
        </w:rPr>
        <w:t>A</w:t>
      </w:r>
      <w:r w:rsidRPr="00F43CA8">
        <w:rPr>
          <w:rFonts w:cs="Arial"/>
          <w:spacing w:val="-3"/>
          <w:w w:val="105"/>
        </w:rPr>
        <w:t xml:space="preserve"> </w:t>
      </w:r>
      <w:r w:rsidRPr="00F43CA8">
        <w:rPr>
          <w:rFonts w:cs="Arial"/>
          <w:w w:val="105"/>
        </w:rPr>
        <w:t>of</w:t>
      </w:r>
      <w:r w:rsidRPr="00F43CA8">
        <w:rPr>
          <w:rFonts w:cs="Arial"/>
          <w:spacing w:val="-3"/>
          <w:w w:val="105"/>
        </w:rPr>
        <w:t xml:space="preserve"> </w:t>
      </w:r>
      <w:r w:rsidRPr="00F43CA8">
        <w:rPr>
          <w:rFonts w:cs="Arial"/>
          <w:w w:val="105"/>
        </w:rPr>
        <w:t>the</w:t>
      </w:r>
      <w:r>
        <w:rPr>
          <w:rFonts w:cs="Arial"/>
          <w:spacing w:val="-4"/>
          <w:w w:val="105"/>
        </w:rPr>
        <w:t xml:space="preserve"> </w:t>
      </w:r>
      <w:r w:rsidRPr="00F43CA8">
        <w:rPr>
          <w:rFonts w:cs="Arial"/>
          <w:w w:val="105"/>
        </w:rPr>
        <w:t>adopted</w:t>
      </w:r>
      <w:r w:rsidRPr="00F43CA8">
        <w:rPr>
          <w:rFonts w:cs="Arial"/>
          <w:spacing w:val="-4"/>
          <w:w w:val="105"/>
        </w:rPr>
        <w:t xml:space="preserve"> </w:t>
      </w:r>
      <w:r w:rsidRPr="00F43CA8">
        <w:rPr>
          <w:rFonts w:cs="Arial"/>
          <w:w w:val="105"/>
        </w:rPr>
        <w:t>Local</w:t>
      </w:r>
      <w:r w:rsidRPr="00F43CA8">
        <w:rPr>
          <w:rFonts w:cs="Arial"/>
          <w:spacing w:val="-5"/>
          <w:w w:val="105"/>
        </w:rPr>
        <w:t xml:space="preserve"> </w:t>
      </w:r>
      <w:r w:rsidRPr="00F43CA8">
        <w:rPr>
          <w:rFonts w:cs="Arial"/>
          <w:w w:val="105"/>
        </w:rPr>
        <w:t>Authority</w:t>
      </w:r>
      <w:r w:rsidRPr="00F43CA8">
        <w:rPr>
          <w:rFonts w:cs="Arial"/>
          <w:spacing w:val="-7"/>
          <w:w w:val="105"/>
        </w:rPr>
        <w:t xml:space="preserve"> </w:t>
      </w:r>
      <w:r w:rsidRPr="00F43CA8">
        <w:rPr>
          <w:rFonts w:cs="Arial"/>
          <w:w w:val="105"/>
        </w:rPr>
        <w:t>budget.</w:t>
      </w:r>
    </w:p>
    <w:p w14:paraId="7EC583EC" w14:textId="77777777" w:rsidR="00593958" w:rsidRPr="00F43CA8" w:rsidRDefault="00593958" w:rsidP="00593958">
      <w:pPr>
        <w:spacing w:before="51" w:line="328" w:lineRule="auto"/>
        <w:ind w:right="25"/>
        <w:rPr>
          <w:rFonts w:cs="Arial"/>
          <w:w w:val="105"/>
        </w:rPr>
      </w:pPr>
    </w:p>
    <w:p w14:paraId="7A62E9D8" w14:textId="2737CAB3" w:rsidR="00593958" w:rsidRPr="00F43CA8" w:rsidRDefault="00BE4EDC" w:rsidP="00593958">
      <w:pPr>
        <w:rPr>
          <w:rFonts w:cs="Arial"/>
          <w:b/>
          <w:bCs/>
        </w:rPr>
      </w:pPr>
      <w:r w:rsidRPr="00F43CA8">
        <w:rPr>
          <w:rFonts w:ascii="Arial" w:hAnsi="Arial" w:cs="Arial"/>
          <w:noProof/>
        </w:rPr>
        <w:drawing>
          <wp:anchor distT="0" distB="0" distL="114300" distR="114300" simplePos="0" relativeHeight="251659264" behindDoc="0" locked="0" layoutInCell="1" allowOverlap="1" wp14:anchorId="4CD3C23B" wp14:editId="28E08839">
            <wp:simplePos x="0" y="0"/>
            <wp:positionH relativeFrom="column">
              <wp:posOffset>-504825</wp:posOffset>
            </wp:positionH>
            <wp:positionV relativeFrom="paragraph">
              <wp:posOffset>284480</wp:posOffset>
            </wp:positionV>
            <wp:extent cx="7079785" cy="5048250"/>
            <wp:effectExtent l="0" t="0" r="6985" b="0"/>
            <wp:wrapNone/>
            <wp:docPr id="1823516811" name="Picture 1" descr="A screenshot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516811" name="Picture 1" descr="A screenshot of a document&#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7079785" cy="5048250"/>
                    </a:xfrm>
                    <a:prstGeom prst="rect">
                      <a:avLst/>
                    </a:prstGeom>
                  </pic:spPr>
                </pic:pic>
              </a:graphicData>
            </a:graphic>
            <wp14:sizeRelH relativeFrom="margin">
              <wp14:pctWidth>0</wp14:pctWidth>
            </wp14:sizeRelH>
            <wp14:sizeRelV relativeFrom="margin">
              <wp14:pctHeight>0</wp14:pctHeight>
            </wp14:sizeRelV>
          </wp:anchor>
        </w:drawing>
      </w:r>
      <w:r w:rsidR="00593958" w:rsidRPr="00F43CA8">
        <w:rPr>
          <w:b/>
          <w:bCs/>
        </w:rPr>
        <w:t xml:space="preserve">Expenditure by Division </w:t>
      </w:r>
    </w:p>
    <w:p w14:paraId="3FB20013" w14:textId="4A6531E4" w:rsidR="00593958" w:rsidRPr="00CE2DA1" w:rsidRDefault="00593958" w:rsidP="00593958">
      <w:pPr>
        <w:spacing w:before="51" w:line="328" w:lineRule="auto"/>
        <w:ind w:right="25"/>
        <w:rPr>
          <w:rFonts w:ascii="Arial" w:hAnsi="Arial" w:cs="Arial"/>
        </w:rPr>
      </w:pPr>
    </w:p>
    <w:p w14:paraId="2AB9B571" w14:textId="77777777" w:rsidR="00593958" w:rsidRDefault="00593958" w:rsidP="00593958">
      <w:pPr>
        <w:jc w:val="both"/>
      </w:pPr>
      <w:r>
        <w:br w:type="page"/>
      </w:r>
    </w:p>
    <w:p w14:paraId="3172700A" w14:textId="078420F4" w:rsidR="00593958" w:rsidRDefault="00593958" w:rsidP="00593958">
      <w:pPr>
        <w:pStyle w:val="Heading3"/>
      </w:pPr>
      <w:bookmarkStart w:id="124" w:name="_Toc195533633"/>
      <w:bookmarkStart w:id="125" w:name="_Toc195533705"/>
      <w:bookmarkStart w:id="126" w:name="_Toc195533983"/>
      <w:bookmarkStart w:id="127" w:name="_Toc195534058"/>
      <w:bookmarkStart w:id="128" w:name="_Toc195534421"/>
      <w:bookmarkStart w:id="129" w:name="_Toc195534621"/>
      <w:bookmarkStart w:id="130" w:name="_Toc199244577"/>
      <w:r>
        <w:lastRenderedPageBreak/>
        <w:t>STATEMENT OF FINANCIAL POSITION AT 31st DECEMBER 2024</w:t>
      </w:r>
      <w:bookmarkEnd w:id="124"/>
      <w:bookmarkEnd w:id="125"/>
      <w:bookmarkEnd w:id="126"/>
      <w:bookmarkEnd w:id="127"/>
      <w:bookmarkEnd w:id="128"/>
      <w:bookmarkEnd w:id="129"/>
      <w:bookmarkEnd w:id="130"/>
      <w:r>
        <w:t xml:space="preserve"> </w:t>
      </w:r>
    </w:p>
    <w:p w14:paraId="1E74C42F" w14:textId="05C727F8" w:rsidR="00BE262C" w:rsidRPr="00BE262C" w:rsidRDefault="00BE4EDC" w:rsidP="00BE262C">
      <w:pPr>
        <w:rPr>
          <w:b/>
          <w:bCs/>
        </w:rPr>
      </w:pPr>
      <w:r w:rsidRPr="00F43CA8">
        <w:rPr>
          <w:noProof/>
        </w:rPr>
        <w:drawing>
          <wp:anchor distT="0" distB="0" distL="114300" distR="114300" simplePos="0" relativeHeight="251660288" behindDoc="0" locked="0" layoutInCell="1" allowOverlap="1" wp14:anchorId="120F1ED8" wp14:editId="4454F949">
            <wp:simplePos x="0" y="0"/>
            <wp:positionH relativeFrom="margin">
              <wp:align>center</wp:align>
            </wp:positionH>
            <wp:positionV relativeFrom="paragraph">
              <wp:posOffset>393700</wp:posOffset>
            </wp:positionV>
            <wp:extent cx="7057814" cy="7435743"/>
            <wp:effectExtent l="0" t="0" r="0" b="0"/>
            <wp:wrapNone/>
            <wp:docPr id="986072328" name="Picture 1" descr="A screenshot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072328" name="Picture 1" descr="A screenshot of a document&#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7057814" cy="7435743"/>
                    </a:xfrm>
                    <a:prstGeom prst="rect">
                      <a:avLst/>
                    </a:prstGeom>
                  </pic:spPr>
                </pic:pic>
              </a:graphicData>
            </a:graphic>
            <wp14:sizeRelH relativeFrom="margin">
              <wp14:pctWidth>0</wp14:pctWidth>
            </wp14:sizeRelH>
            <wp14:sizeRelV relativeFrom="margin">
              <wp14:pctHeight>0</wp14:pctHeight>
            </wp14:sizeRelV>
          </wp:anchor>
        </w:drawing>
      </w:r>
      <w:r w:rsidR="00BE262C" w:rsidRPr="00BE262C">
        <w:rPr>
          <w:b/>
          <w:bCs/>
        </w:rPr>
        <w:t>BALANCE SHEET</w:t>
      </w:r>
    </w:p>
    <w:p w14:paraId="0E410E1F" w14:textId="774DFBF0" w:rsidR="00593958" w:rsidRPr="00F43CA8" w:rsidRDefault="00593958" w:rsidP="00593958"/>
    <w:p w14:paraId="70C7709C" w14:textId="77777777" w:rsidR="00593958" w:rsidRDefault="00593958" w:rsidP="00593958">
      <w:pPr>
        <w:rPr>
          <w:rFonts w:asciiTheme="majorHAnsi" w:eastAsiaTheme="majorEastAsia" w:hAnsiTheme="majorHAnsi" w:cstheme="majorBidi"/>
          <w:color w:val="0F4761" w:themeColor="accent1" w:themeShade="BF"/>
          <w:sz w:val="32"/>
          <w:szCs w:val="32"/>
        </w:rPr>
      </w:pPr>
      <w:r>
        <w:br w:type="page"/>
      </w:r>
    </w:p>
    <w:p w14:paraId="2E37F71A" w14:textId="1D9E5467" w:rsidR="00593958" w:rsidRDefault="00593958" w:rsidP="00593958">
      <w:pPr>
        <w:pStyle w:val="Heading3"/>
      </w:pPr>
      <w:bookmarkStart w:id="131" w:name="_Toc195533634"/>
      <w:bookmarkStart w:id="132" w:name="_Toc195533706"/>
      <w:bookmarkStart w:id="133" w:name="_Toc195533984"/>
      <w:bookmarkStart w:id="134" w:name="_Toc195534059"/>
      <w:bookmarkStart w:id="135" w:name="_Toc195534422"/>
      <w:bookmarkStart w:id="136" w:name="_Toc195534622"/>
      <w:bookmarkStart w:id="137" w:name="_Toc199244578"/>
      <w:r w:rsidRPr="00D04F1D">
        <w:lastRenderedPageBreak/>
        <w:t>STATEMENT OF FUNDS FLOW AS AT 31ST DECEMBER 2024</w:t>
      </w:r>
      <w:bookmarkEnd w:id="131"/>
      <w:bookmarkEnd w:id="132"/>
      <w:bookmarkEnd w:id="133"/>
      <w:bookmarkEnd w:id="134"/>
      <w:bookmarkEnd w:id="135"/>
      <w:bookmarkEnd w:id="136"/>
      <w:bookmarkEnd w:id="137"/>
    </w:p>
    <w:p w14:paraId="13BD5122" w14:textId="5E18B6C7" w:rsidR="00BE262C" w:rsidRPr="00BE262C" w:rsidRDefault="00BE4EDC" w:rsidP="00BE262C">
      <w:pPr>
        <w:rPr>
          <w:b/>
          <w:bCs/>
        </w:rPr>
      </w:pPr>
      <w:r w:rsidRPr="00D04F1D">
        <w:rPr>
          <w:noProof/>
        </w:rPr>
        <w:drawing>
          <wp:anchor distT="0" distB="0" distL="114300" distR="114300" simplePos="0" relativeHeight="251661312" behindDoc="0" locked="0" layoutInCell="1" allowOverlap="1" wp14:anchorId="65E6BBE4" wp14:editId="7528D571">
            <wp:simplePos x="0" y="0"/>
            <wp:positionH relativeFrom="margin">
              <wp:align>center</wp:align>
            </wp:positionH>
            <wp:positionV relativeFrom="paragraph">
              <wp:posOffset>250190</wp:posOffset>
            </wp:positionV>
            <wp:extent cx="6934835" cy="4197985"/>
            <wp:effectExtent l="0" t="0" r="0" b="0"/>
            <wp:wrapNone/>
            <wp:docPr id="220630731"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630731" name="Picture 1" descr="A close-up of a document&#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6934835" cy="4197985"/>
                    </a:xfrm>
                    <a:prstGeom prst="rect">
                      <a:avLst/>
                    </a:prstGeom>
                  </pic:spPr>
                </pic:pic>
              </a:graphicData>
            </a:graphic>
            <wp14:sizeRelH relativeFrom="margin">
              <wp14:pctWidth>0</wp14:pctWidth>
            </wp14:sizeRelH>
            <wp14:sizeRelV relativeFrom="margin">
              <wp14:pctHeight>0</wp14:pctHeight>
            </wp14:sizeRelV>
          </wp:anchor>
        </w:drawing>
      </w:r>
      <w:r w:rsidR="00BE262C" w:rsidRPr="00BE262C">
        <w:rPr>
          <w:b/>
          <w:bCs/>
        </w:rPr>
        <w:t>FUNDS FLOW STATEMENT</w:t>
      </w:r>
    </w:p>
    <w:p w14:paraId="340F5F9C" w14:textId="77777777" w:rsidR="00593958" w:rsidRDefault="00593958" w:rsidP="00593958">
      <w:pPr>
        <w:rPr>
          <w:rFonts w:asciiTheme="majorHAnsi" w:eastAsiaTheme="majorEastAsia" w:hAnsiTheme="majorHAnsi" w:cstheme="majorBidi"/>
          <w:color w:val="0F4761" w:themeColor="accent1" w:themeShade="BF"/>
          <w:sz w:val="32"/>
          <w:szCs w:val="32"/>
        </w:rPr>
      </w:pPr>
      <w:r>
        <w:br w:type="page"/>
      </w:r>
    </w:p>
    <w:p w14:paraId="40200DA3" w14:textId="6816DFFA" w:rsidR="005B432B" w:rsidRDefault="005B432B" w:rsidP="00593958">
      <w:pPr>
        <w:pStyle w:val="Heading2"/>
      </w:pPr>
      <w:bookmarkStart w:id="138" w:name="_Toc199244579"/>
      <w:r>
        <w:lastRenderedPageBreak/>
        <w:t>Appendix 1.</w:t>
      </w:r>
      <w:r w:rsidR="00FE4625">
        <w:t>3</w:t>
      </w:r>
      <w:r>
        <w:t xml:space="preserve"> Entertainment and Associated Expenses</w:t>
      </w:r>
      <w:bookmarkEnd w:id="138"/>
    </w:p>
    <w:p w14:paraId="568DB5C7" w14:textId="77777777" w:rsidR="00B64F8C" w:rsidRDefault="00B64F8C" w:rsidP="007715D2">
      <w:pPr>
        <w:jc w:val="both"/>
      </w:pPr>
    </w:p>
    <w:p w14:paraId="162BF6F2" w14:textId="23D25182" w:rsidR="007715D2" w:rsidRPr="007715D2" w:rsidRDefault="007715D2" w:rsidP="007715D2">
      <w:pPr>
        <w:jc w:val="both"/>
      </w:pPr>
      <w:r w:rsidRPr="007715D2">
        <w:t>Section 76 of the Local Government Act 2001 requires that the annual report of a local authority record the expenditure and other particulars in connection with the provision of receptions and entertainment in relation to:</w:t>
      </w:r>
    </w:p>
    <w:p w14:paraId="2FAD53BE" w14:textId="77777777" w:rsidR="007715D2" w:rsidRPr="007715D2" w:rsidRDefault="007715D2" w:rsidP="007715D2">
      <w:pPr>
        <w:jc w:val="both"/>
      </w:pPr>
      <w:r w:rsidRPr="007715D2">
        <w:rPr>
          <w:b/>
          <w:bCs/>
        </w:rPr>
        <w:t xml:space="preserve">a. </w:t>
      </w:r>
      <w:r w:rsidRPr="007715D2">
        <w:t>Distinguished persons, and</w:t>
      </w:r>
    </w:p>
    <w:p w14:paraId="277271D9" w14:textId="77777777" w:rsidR="007715D2" w:rsidRPr="007715D2" w:rsidRDefault="007715D2" w:rsidP="007715D2">
      <w:pPr>
        <w:jc w:val="both"/>
      </w:pPr>
      <w:r w:rsidRPr="007715D2">
        <w:rPr>
          <w:b/>
          <w:bCs/>
        </w:rPr>
        <w:t xml:space="preserve">b. </w:t>
      </w:r>
      <w:r w:rsidRPr="007715D2">
        <w:t>In connection with the holding of special events relevant to its function.</w:t>
      </w:r>
    </w:p>
    <w:p w14:paraId="6C8652CB" w14:textId="1B897EB1" w:rsidR="007715D2" w:rsidRPr="007715D2" w:rsidRDefault="007715D2" w:rsidP="007715D2">
      <w:pPr>
        <w:jc w:val="both"/>
      </w:pPr>
      <w:r w:rsidRPr="007715D2">
        <w:t>Pursuant to this requirement, South Dublin County Council hereby confirms that this figure was €</w:t>
      </w:r>
      <w:r>
        <w:t>2,567.60</w:t>
      </w:r>
      <w:r w:rsidRPr="007715D2">
        <w:t xml:space="preserve"> in total for 202</w:t>
      </w:r>
      <w:r>
        <w:t>4</w:t>
      </w:r>
      <w:r w:rsidRPr="007715D2">
        <w:t>.</w:t>
      </w:r>
    </w:p>
    <w:p w14:paraId="25926CE2" w14:textId="77777777" w:rsidR="009736E4" w:rsidRDefault="009736E4" w:rsidP="00B60676">
      <w:pPr>
        <w:jc w:val="both"/>
      </w:pPr>
    </w:p>
    <w:p w14:paraId="653F4F31" w14:textId="6CF56936" w:rsidR="005C7678" w:rsidRDefault="007C7CE4" w:rsidP="005C7678">
      <w:pPr>
        <w:pStyle w:val="Heading2"/>
      </w:pPr>
      <w:bookmarkStart w:id="139" w:name="_Toc199244580"/>
      <w:r>
        <w:t xml:space="preserve">Appendix 1.4 </w:t>
      </w:r>
      <w:r w:rsidR="005C7678">
        <w:t>Acceptance of Gifts by the Council</w:t>
      </w:r>
      <w:bookmarkEnd w:id="139"/>
    </w:p>
    <w:p w14:paraId="48CDF1FA" w14:textId="69AEECAD" w:rsidR="005C7678" w:rsidRPr="005C7678" w:rsidRDefault="005C7678" w:rsidP="005C7678">
      <w:pPr>
        <w:autoSpaceDE w:val="0"/>
        <w:autoSpaceDN w:val="0"/>
        <w:adjustRightInd w:val="0"/>
        <w:spacing w:after="0" w:line="240" w:lineRule="auto"/>
        <w:rPr>
          <w:rFonts w:cs="Calibri-Bold"/>
          <w:b/>
          <w:bCs/>
        </w:rPr>
      </w:pPr>
      <w:r w:rsidRPr="005C7678">
        <w:rPr>
          <w:rFonts w:cs="Calibri"/>
        </w:rPr>
        <w:t xml:space="preserve">There were </w:t>
      </w:r>
      <w:r w:rsidR="00B64F8C">
        <w:rPr>
          <w:rFonts w:cs="Calibri"/>
        </w:rPr>
        <w:t>no</w:t>
      </w:r>
      <w:r w:rsidRPr="005C7678">
        <w:rPr>
          <w:rFonts w:cs="Calibri"/>
        </w:rPr>
        <w:t xml:space="preserve"> gifts received by the local authority</w:t>
      </w:r>
      <w:r w:rsidRPr="005C7678">
        <w:rPr>
          <w:rFonts w:cs="Calibri-Bold"/>
          <w:b/>
          <w:bCs/>
        </w:rPr>
        <w:t xml:space="preserve"> </w:t>
      </w:r>
      <w:r w:rsidRPr="005C7678">
        <w:rPr>
          <w:rFonts w:cs="Calibri"/>
        </w:rPr>
        <w:t>in 2024.</w:t>
      </w:r>
    </w:p>
    <w:p w14:paraId="53A95BBA" w14:textId="4FB81D0D" w:rsidR="00CB0432" w:rsidRDefault="00CB0432" w:rsidP="00B60676">
      <w:pPr>
        <w:jc w:val="both"/>
      </w:pPr>
      <w:r>
        <w:br w:type="page"/>
      </w:r>
    </w:p>
    <w:p w14:paraId="1D09C1B2" w14:textId="752AE786" w:rsidR="003B3846" w:rsidRDefault="003B3846" w:rsidP="003B3846">
      <w:pPr>
        <w:pStyle w:val="Heading2"/>
      </w:pPr>
      <w:bookmarkStart w:id="140" w:name="_Toc199244581"/>
      <w:r>
        <w:lastRenderedPageBreak/>
        <w:t xml:space="preserve">Appendix 2: </w:t>
      </w:r>
      <w:r w:rsidRPr="000A6343">
        <w:t>Governance Statement</w:t>
      </w:r>
      <w:bookmarkEnd w:id="140"/>
      <w:r>
        <w:t xml:space="preserve"> </w:t>
      </w:r>
    </w:p>
    <w:p w14:paraId="1A589173" w14:textId="77777777" w:rsidR="003B3846" w:rsidRDefault="003B3846" w:rsidP="003B3846">
      <w:pPr>
        <w:rPr>
          <w:b/>
        </w:rPr>
      </w:pPr>
    </w:p>
    <w:p w14:paraId="52D09CB4" w14:textId="77777777" w:rsidR="003B3846" w:rsidRDefault="003B3846" w:rsidP="003B3846">
      <w:r w:rsidRPr="000A6343">
        <w:rPr>
          <w:b/>
        </w:rPr>
        <w:t xml:space="preserve">Purpose </w:t>
      </w:r>
    </w:p>
    <w:p w14:paraId="28187A83" w14:textId="77777777" w:rsidR="003B3846" w:rsidRDefault="003B3846" w:rsidP="003B3846">
      <w:r>
        <w:t xml:space="preserve">The purpose of this governance statement is to provide relevant information on the governance structures and governance arrangements within South Dublin County Council including on council, committees, senior management and related areas. It demonstrates our commitment to effective governance, recognises key legislative and good governance requirements and affirms the council’s compliance with the Local Government Code of Governance obligations. </w:t>
      </w:r>
    </w:p>
    <w:p w14:paraId="4E20B441" w14:textId="77777777" w:rsidR="003B3846" w:rsidRDefault="003B3846" w:rsidP="003B3846">
      <w:pPr>
        <w:rPr>
          <w:b/>
        </w:rPr>
      </w:pPr>
    </w:p>
    <w:p w14:paraId="57AFF216" w14:textId="77777777" w:rsidR="003B3846" w:rsidRDefault="003B3846" w:rsidP="003B3846">
      <w:r w:rsidRPr="000A6343">
        <w:rPr>
          <w:b/>
        </w:rPr>
        <w:t>Good Governance</w:t>
      </w:r>
      <w:r>
        <w:t xml:space="preserve"> </w:t>
      </w:r>
    </w:p>
    <w:p w14:paraId="13E712FB" w14:textId="77777777" w:rsidR="003B3846" w:rsidRDefault="003B3846" w:rsidP="003B3846">
      <w:r>
        <w:t xml:space="preserve">Fundamentally, good governance in the local government sector and wider public sector is about delivering priorities, achieving objectives, behaving with integrity and acting in the public interest, in ways that are consistent with legal, regulatory and government policy obligations. Governance refers to the framework of rules, relationships, systems and processes by which the local authority is directed, controlled and held to account and whereby authority within an organisation is exercised and maintained. It encompasses authority, accountability, stewardship and leadership, direction and control. </w:t>
      </w:r>
    </w:p>
    <w:p w14:paraId="22CFEA9F" w14:textId="77777777" w:rsidR="003B3846" w:rsidRDefault="003B3846" w:rsidP="003B3846">
      <w:pPr>
        <w:rPr>
          <w:b/>
        </w:rPr>
      </w:pPr>
    </w:p>
    <w:p w14:paraId="1D689B86" w14:textId="77777777" w:rsidR="003B3846" w:rsidRDefault="003B3846" w:rsidP="003B3846">
      <w:r w:rsidRPr="000A6343">
        <w:rPr>
          <w:b/>
        </w:rPr>
        <w:t>Good Governance Principles</w:t>
      </w:r>
      <w:r>
        <w:t xml:space="preserve"> </w:t>
      </w:r>
    </w:p>
    <w:p w14:paraId="51231B47" w14:textId="77777777" w:rsidR="003B3846" w:rsidRDefault="003B3846" w:rsidP="003B3846">
      <w:r w:rsidRPr="000A6343">
        <w:rPr>
          <w:b/>
        </w:rPr>
        <w:t>CORE PRINCIPLE 1</w:t>
      </w:r>
      <w:r>
        <w:t xml:space="preserve"> - Good governance means focusing on the purpose of the authority, on outcomes that deliver sustainable economic, community and wider societal benefits and on implementing a vision for the local authority. </w:t>
      </w:r>
    </w:p>
    <w:p w14:paraId="4ADA4417" w14:textId="77777777" w:rsidR="003B3846" w:rsidRDefault="003B3846" w:rsidP="003B3846">
      <w:r w:rsidRPr="000A6343">
        <w:rPr>
          <w:b/>
        </w:rPr>
        <w:t>CORE PRINCIPLE 2</w:t>
      </w:r>
      <w:r>
        <w:t xml:space="preserve"> - Good governance means promoting and demonstrating public service values through upholding high standards of conduct and behaviour. </w:t>
      </w:r>
    </w:p>
    <w:p w14:paraId="32730345" w14:textId="77777777" w:rsidR="003B3846" w:rsidRDefault="003B3846" w:rsidP="003B3846">
      <w:r w:rsidRPr="000A6343">
        <w:rPr>
          <w:b/>
        </w:rPr>
        <w:t>CORE PRINCIPLE 3</w:t>
      </w:r>
      <w:r>
        <w:t xml:space="preserve"> - Good governance means elected members and officials working together to achieve a common purpose within a framework of clearly defined functions and roles. </w:t>
      </w:r>
    </w:p>
    <w:p w14:paraId="01512A8A" w14:textId="77777777" w:rsidR="003B3846" w:rsidRDefault="003B3846" w:rsidP="003B3846">
      <w:r w:rsidRPr="000A6343">
        <w:rPr>
          <w:b/>
        </w:rPr>
        <w:t>CORE PRINCIPLE 4</w:t>
      </w:r>
      <w:r>
        <w:t xml:space="preserve"> - Good governance means developing the organisational capacity and the leadership capability and competencies of elected members and officials to operate effectively and fulfil the purpose of the organisation. </w:t>
      </w:r>
    </w:p>
    <w:p w14:paraId="21D993A7" w14:textId="77777777" w:rsidR="003B3846" w:rsidRDefault="003B3846" w:rsidP="003B3846">
      <w:r w:rsidRPr="000A6343">
        <w:rPr>
          <w:b/>
        </w:rPr>
        <w:t>CORE PRINCIPLE 5</w:t>
      </w:r>
      <w:r>
        <w:t xml:space="preserve"> - Good governance means taking well-informed and transparent decisions and managing risks and performance. </w:t>
      </w:r>
    </w:p>
    <w:p w14:paraId="330224E4" w14:textId="77777777" w:rsidR="003B3846" w:rsidRDefault="003B3846" w:rsidP="003B3846">
      <w:r w:rsidRPr="000A6343">
        <w:rPr>
          <w:b/>
        </w:rPr>
        <w:t>CORE PRINCIPLE 6</w:t>
      </w:r>
      <w:r>
        <w:t xml:space="preserve"> - Good governance means engaging openly and comprehensively with local people, citizens and other stakeholders to ensure robust public accountability. </w:t>
      </w:r>
    </w:p>
    <w:p w14:paraId="744E1F25" w14:textId="77777777" w:rsidR="003B3846" w:rsidRDefault="003B3846" w:rsidP="003B3846">
      <w:r w:rsidRPr="000A6343">
        <w:rPr>
          <w:b/>
        </w:rPr>
        <w:lastRenderedPageBreak/>
        <w:t>CORE PRINCIPLE 7</w:t>
      </w:r>
      <w:r>
        <w:t xml:space="preserve"> - Good governance means actively contributing to the furtherance and achievement of the Sustainable Development Goals by delivering on the priorities and actions within the Climate Action Plan and the provisions of the Climate Act.</w:t>
      </w:r>
    </w:p>
    <w:p w14:paraId="740DCE9A" w14:textId="77777777" w:rsidR="003B3846" w:rsidRDefault="003B3846" w:rsidP="003B3846">
      <w:pPr>
        <w:ind w:left="720"/>
      </w:pPr>
    </w:p>
    <w:p w14:paraId="50BBF1CA" w14:textId="77777777" w:rsidR="003B3846" w:rsidRDefault="003B3846" w:rsidP="003B3846">
      <w:pPr>
        <w:ind w:left="720"/>
      </w:pPr>
    </w:p>
    <w:p w14:paraId="5537B85C" w14:textId="77777777" w:rsidR="003B3846" w:rsidRDefault="003B3846" w:rsidP="003B3846">
      <w:r w:rsidRPr="000A6343">
        <w:rPr>
          <w:b/>
        </w:rPr>
        <w:t>Our Commitment to Good Governance</w:t>
      </w:r>
      <w:r>
        <w:t xml:space="preserve"> </w:t>
      </w:r>
    </w:p>
    <w:p w14:paraId="55A8836D" w14:textId="77777777" w:rsidR="003B3846" w:rsidRDefault="003B3846" w:rsidP="003B3846">
      <w:r>
        <w:t>As the Mayor and Chief Executive of South Dublin County Council, and on behalf of the elected members, management and staff we confirm that:</w:t>
      </w:r>
    </w:p>
    <w:p w14:paraId="3CC6DCEA" w14:textId="77777777" w:rsidR="003B3846" w:rsidRDefault="003B3846" w:rsidP="003B3846">
      <w:pPr>
        <w:pStyle w:val="ListParagraph"/>
        <w:numPr>
          <w:ilvl w:val="0"/>
          <w:numId w:val="27"/>
        </w:numPr>
        <w:spacing w:line="259" w:lineRule="auto"/>
        <w:ind w:left="360"/>
      </w:pPr>
      <w:r>
        <w:t>We have adopted the governance principles as the fundamental bedrock and philosophy on how we operate as a governing body and as an executive.</w:t>
      </w:r>
    </w:p>
    <w:p w14:paraId="3415E190" w14:textId="77777777" w:rsidR="003B3846" w:rsidRDefault="003B3846" w:rsidP="003B3846">
      <w:pPr>
        <w:pStyle w:val="ListParagraph"/>
        <w:ind w:left="360"/>
      </w:pPr>
    </w:p>
    <w:p w14:paraId="467B2203" w14:textId="77777777" w:rsidR="003B3846" w:rsidRDefault="003B3846" w:rsidP="003B3846">
      <w:pPr>
        <w:pStyle w:val="ListParagraph"/>
        <w:numPr>
          <w:ilvl w:val="0"/>
          <w:numId w:val="27"/>
        </w:numPr>
        <w:spacing w:line="259" w:lineRule="auto"/>
        <w:ind w:left="360"/>
      </w:pPr>
      <w:r>
        <w:t xml:space="preserve">The Local Government Code of Governance has been adopted and the extent to which the council </w:t>
      </w:r>
      <w:proofErr w:type="gramStart"/>
      <w:r>
        <w:t>is in compliance with</w:t>
      </w:r>
      <w:proofErr w:type="gramEnd"/>
      <w:r>
        <w:t xml:space="preserve"> the code has been reviewed and assessed. </w:t>
      </w:r>
    </w:p>
    <w:p w14:paraId="7CD4989D" w14:textId="77777777" w:rsidR="003B3846" w:rsidRDefault="003B3846" w:rsidP="003B3846">
      <w:pPr>
        <w:pStyle w:val="ListParagraph"/>
        <w:ind w:left="360"/>
      </w:pPr>
    </w:p>
    <w:p w14:paraId="02EFC2D7" w14:textId="77777777" w:rsidR="003B3846" w:rsidRDefault="003B3846" w:rsidP="003B3846">
      <w:pPr>
        <w:pStyle w:val="ListParagraph"/>
        <w:numPr>
          <w:ilvl w:val="0"/>
          <w:numId w:val="27"/>
        </w:numPr>
        <w:spacing w:line="259" w:lineRule="auto"/>
        <w:ind w:left="360"/>
      </w:pPr>
      <w:r>
        <w:t xml:space="preserve">The Statement of Internal Financial Control is submitted by the Chief Executive to the elected members and to the Audit Committee. The Audit Committee reviews the SIFC and provides an assurance on an annual basis to the elected members. Mechanisms are available to the Audit Committee to notify the elected members of any issues that arise outside of the normal annual reporting. </w:t>
      </w:r>
    </w:p>
    <w:p w14:paraId="431252B3" w14:textId="77777777" w:rsidR="003B3846" w:rsidRDefault="003B3846" w:rsidP="003B3846">
      <w:pPr>
        <w:pStyle w:val="ListParagraph"/>
        <w:ind w:left="360"/>
      </w:pPr>
    </w:p>
    <w:p w14:paraId="30FB7765" w14:textId="77777777" w:rsidR="003B3846" w:rsidRDefault="003B3846" w:rsidP="003B3846">
      <w:pPr>
        <w:pStyle w:val="ListParagraph"/>
        <w:numPr>
          <w:ilvl w:val="0"/>
          <w:numId w:val="27"/>
        </w:numPr>
        <w:spacing w:line="259" w:lineRule="auto"/>
        <w:ind w:left="360"/>
      </w:pPr>
      <w:r>
        <w:t xml:space="preserve">Compliance with legal and regulatory obligations are acknowledged and adhered to. </w:t>
      </w:r>
    </w:p>
    <w:p w14:paraId="3A202A6B" w14:textId="77777777" w:rsidR="003B3846" w:rsidRDefault="003B3846" w:rsidP="003B3846">
      <w:pPr>
        <w:pStyle w:val="ListParagraph"/>
        <w:ind w:left="360"/>
      </w:pPr>
    </w:p>
    <w:p w14:paraId="7F0824B5" w14:textId="77777777" w:rsidR="003B3846" w:rsidRDefault="003B3846" w:rsidP="003B3846">
      <w:pPr>
        <w:pStyle w:val="ListParagraph"/>
        <w:numPr>
          <w:ilvl w:val="0"/>
          <w:numId w:val="27"/>
        </w:numPr>
        <w:spacing w:line="259" w:lineRule="auto"/>
        <w:ind w:left="360"/>
      </w:pPr>
      <w:r>
        <w:t xml:space="preserve">There is clarity of roles and responsibilities based on the reserved and executive functions and based on committee terms of reference. </w:t>
      </w:r>
    </w:p>
    <w:p w14:paraId="76752BC9" w14:textId="77777777" w:rsidR="003B3846" w:rsidRDefault="003B3846" w:rsidP="003B3846">
      <w:pPr>
        <w:pStyle w:val="ListParagraph"/>
        <w:ind w:left="360"/>
      </w:pPr>
    </w:p>
    <w:p w14:paraId="081DBDED" w14:textId="77777777" w:rsidR="003B3846" w:rsidRDefault="003B3846" w:rsidP="003B3846">
      <w:pPr>
        <w:pStyle w:val="ListParagraph"/>
        <w:numPr>
          <w:ilvl w:val="0"/>
          <w:numId w:val="27"/>
        </w:numPr>
        <w:spacing w:line="259" w:lineRule="auto"/>
        <w:ind w:left="360"/>
      </w:pPr>
      <w:r>
        <w:t>Codes of Conduct and ethics declarations for members and employees are in place.</w:t>
      </w:r>
    </w:p>
    <w:p w14:paraId="780BE2F8" w14:textId="77777777" w:rsidR="003B3846" w:rsidRDefault="003B3846" w:rsidP="003B3846">
      <w:pPr>
        <w:pStyle w:val="ListParagraph"/>
        <w:ind w:left="360"/>
      </w:pPr>
    </w:p>
    <w:p w14:paraId="7B0F34EF" w14:textId="77777777" w:rsidR="003B3846" w:rsidRDefault="003B3846" w:rsidP="003B3846">
      <w:pPr>
        <w:pStyle w:val="ListParagraph"/>
        <w:numPr>
          <w:ilvl w:val="0"/>
          <w:numId w:val="27"/>
        </w:numPr>
        <w:spacing w:line="259" w:lineRule="auto"/>
        <w:ind w:left="360"/>
      </w:pPr>
      <w:r>
        <w:t xml:space="preserve">Procedures are in place for the making of protected disclosures in accordance with section 21(1) of the Protected Disclosures Act 2014 and confirmation that the annual report required under section 22(1) of the Act has been published. </w:t>
      </w:r>
    </w:p>
    <w:p w14:paraId="116EA3F2" w14:textId="77777777" w:rsidR="003B3846" w:rsidRDefault="003B3846" w:rsidP="003B3846">
      <w:pPr>
        <w:pStyle w:val="ListParagraph"/>
        <w:ind w:left="360"/>
      </w:pPr>
    </w:p>
    <w:p w14:paraId="5C943CC6" w14:textId="77777777" w:rsidR="003B3846" w:rsidRDefault="003B3846" w:rsidP="003B3846">
      <w:pPr>
        <w:pStyle w:val="ListParagraph"/>
        <w:numPr>
          <w:ilvl w:val="0"/>
          <w:numId w:val="27"/>
        </w:numPr>
        <w:spacing w:line="259" w:lineRule="auto"/>
        <w:ind w:left="360"/>
      </w:pPr>
      <w:r>
        <w:t xml:space="preserve">The council and committees review their own performance on a periodic basis. </w:t>
      </w:r>
    </w:p>
    <w:p w14:paraId="3DEC6B2B" w14:textId="77777777" w:rsidR="003B3846" w:rsidRDefault="003B3846" w:rsidP="003B3846">
      <w:pPr>
        <w:pStyle w:val="ListParagraph"/>
        <w:ind w:left="360"/>
      </w:pPr>
    </w:p>
    <w:p w14:paraId="31D83866" w14:textId="77777777" w:rsidR="003B3846" w:rsidRDefault="003B3846" w:rsidP="003B3846">
      <w:pPr>
        <w:pStyle w:val="ListParagraph"/>
        <w:numPr>
          <w:ilvl w:val="0"/>
          <w:numId w:val="27"/>
        </w:numPr>
        <w:spacing w:line="259" w:lineRule="auto"/>
        <w:ind w:left="360"/>
      </w:pPr>
      <w:r>
        <w:t xml:space="preserve">We have instituted appropriate governance oversight arrangements in respect of subsidiary, associated and related companies. </w:t>
      </w:r>
    </w:p>
    <w:p w14:paraId="4EF86A7C" w14:textId="77777777" w:rsidR="003B3846" w:rsidRDefault="003B3846" w:rsidP="003B3846">
      <w:pPr>
        <w:pStyle w:val="ListParagraph"/>
        <w:ind w:left="360"/>
      </w:pPr>
    </w:p>
    <w:p w14:paraId="2B19F130" w14:textId="77777777" w:rsidR="003B3846" w:rsidRDefault="003B3846" w:rsidP="003B3846">
      <w:pPr>
        <w:pStyle w:val="ListParagraph"/>
        <w:numPr>
          <w:ilvl w:val="0"/>
          <w:numId w:val="27"/>
        </w:numPr>
        <w:spacing w:line="259" w:lineRule="auto"/>
        <w:ind w:left="360"/>
      </w:pPr>
      <w:r>
        <w:t xml:space="preserve">As part of our commitment to effective oversight and accountability, we have developed and continue to enhance our overall assurance framework utilising external and internal assurance sources to ensure good performance as part of our governance culture. </w:t>
      </w:r>
    </w:p>
    <w:p w14:paraId="1D46859F" w14:textId="77777777" w:rsidR="003B3846" w:rsidRDefault="003B3846" w:rsidP="003B3846">
      <w:pPr>
        <w:pStyle w:val="ListParagraph"/>
        <w:ind w:left="360"/>
      </w:pPr>
    </w:p>
    <w:p w14:paraId="3580EDAB" w14:textId="77777777" w:rsidR="003B3846" w:rsidRDefault="003B3846" w:rsidP="003B3846">
      <w:pPr>
        <w:pStyle w:val="ListParagraph"/>
        <w:ind w:left="360"/>
      </w:pPr>
      <w:r>
        <w:rPr>
          <w:noProof/>
        </w:rPr>
        <w:lastRenderedPageBreak/>
        <w:drawing>
          <wp:anchor distT="0" distB="0" distL="114300" distR="114300" simplePos="0" relativeHeight="251665408" behindDoc="0" locked="0" layoutInCell="1" allowOverlap="1" wp14:anchorId="6B59926D" wp14:editId="6653529C">
            <wp:simplePos x="0" y="0"/>
            <wp:positionH relativeFrom="column">
              <wp:posOffset>460762</wp:posOffset>
            </wp:positionH>
            <wp:positionV relativeFrom="paragraph">
              <wp:posOffset>19685</wp:posOffset>
            </wp:positionV>
            <wp:extent cx="956047" cy="726495"/>
            <wp:effectExtent l="0" t="0" r="0" b="0"/>
            <wp:wrapNone/>
            <wp:docPr id="151171694" name="Picture 1" descr="A black and white image of a h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71694" name="Picture 1" descr="A black and white image of a hat&#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56047" cy="726495"/>
                    </a:xfrm>
                    <a:prstGeom prst="rect">
                      <a:avLst/>
                    </a:prstGeom>
                  </pic:spPr>
                </pic:pic>
              </a:graphicData>
            </a:graphic>
            <wp14:sizeRelH relativeFrom="page">
              <wp14:pctWidth>0</wp14:pctWidth>
            </wp14:sizeRelH>
            <wp14:sizeRelV relativeFrom="page">
              <wp14:pctHeight>0</wp14:pctHeight>
            </wp14:sizeRelV>
          </wp:anchor>
        </w:drawing>
      </w:r>
    </w:p>
    <w:p w14:paraId="2E2A88D9" w14:textId="77777777" w:rsidR="003B3846" w:rsidRDefault="003B3846" w:rsidP="003B3846">
      <w:pPr>
        <w:pStyle w:val="ListParagraph"/>
      </w:pPr>
    </w:p>
    <w:p w14:paraId="30D0AA80" w14:textId="77777777" w:rsidR="003B3846" w:rsidRDefault="003B3846" w:rsidP="003B3846">
      <w:pPr>
        <w:pStyle w:val="ListParagraph"/>
      </w:pPr>
    </w:p>
    <w:p w14:paraId="5029B6C8" w14:textId="77777777" w:rsidR="003B3846" w:rsidRDefault="003B3846" w:rsidP="003B3846">
      <w:pPr>
        <w:pStyle w:val="ListParagraph"/>
      </w:pPr>
      <w:r>
        <w:t xml:space="preserve">______________________ </w:t>
      </w:r>
      <w:r>
        <w:tab/>
      </w:r>
      <w:r>
        <w:tab/>
      </w:r>
      <w:r>
        <w:tab/>
      </w:r>
      <w:r>
        <w:tab/>
        <w:t xml:space="preserve">Date: </w:t>
      </w:r>
      <w:r w:rsidRPr="007D7323">
        <w:rPr>
          <w:u w:val="single"/>
        </w:rPr>
        <w:t>2</w:t>
      </w:r>
      <w:r>
        <w:rPr>
          <w:u w:val="single"/>
        </w:rPr>
        <w:t>1</w:t>
      </w:r>
      <w:r w:rsidRPr="007D7323">
        <w:rPr>
          <w:u w:val="single"/>
          <w:vertAlign w:val="superscript"/>
        </w:rPr>
        <w:t>st</w:t>
      </w:r>
      <w:r>
        <w:rPr>
          <w:u w:val="single"/>
        </w:rPr>
        <w:t xml:space="preserve"> </w:t>
      </w:r>
      <w:r w:rsidRPr="007D7323">
        <w:rPr>
          <w:u w:val="single"/>
        </w:rPr>
        <w:t>May 2025</w:t>
      </w:r>
      <w:r>
        <w:t xml:space="preserve"> </w:t>
      </w:r>
    </w:p>
    <w:p w14:paraId="6B55FF07" w14:textId="77777777" w:rsidR="003B3846" w:rsidRDefault="003B3846" w:rsidP="003B3846">
      <w:pPr>
        <w:pStyle w:val="ListParagraph"/>
      </w:pPr>
      <w:r>
        <w:t>Mayor</w:t>
      </w:r>
      <w:r>
        <w:tab/>
      </w:r>
      <w:r>
        <w:tab/>
      </w:r>
      <w:r>
        <w:tab/>
      </w:r>
      <w:r>
        <w:tab/>
      </w:r>
    </w:p>
    <w:p w14:paraId="5D25B0B8" w14:textId="77777777" w:rsidR="003B3846" w:rsidRDefault="003B3846" w:rsidP="003B3846">
      <w:pPr>
        <w:pStyle w:val="ListParagraph"/>
      </w:pPr>
    </w:p>
    <w:p w14:paraId="09F96262" w14:textId="77777777" w:rsidR="003B3846" w:rsidRDefault="003B3846" w:rsidP="003B3846">
      <w:pPr>
        <w:pStyle w:val="ListParagraph"/>
      </w:pPr>
    </w:p>
    <w:p w14:paraId="3F3FED6B" w14:textId="77777777" w:rsidR="003B3846" w:rsidRDefault="003B3846" w:rsidP="003B3846">
      <w:pPr>
        <w:pStyle w:val="ListParagraph"/>
      </w:pPr>
      <w:r w:rsidRPr="00011E75">
        <w:rPr>
          <w:noProof/>
          <w:sz w:val="20"/>
          <w:u w:val="single"/>
        </w:rPr>
        <w:drawing>
          <wp:inline distT="0" distB="0" distL="0" distR="0" wp14:anchorId="259523FC" wp14:editId="659230F1">
            <wp:extent cx="1829466" cy="571500"/>
            <wp:effectExtent l="0" t="0" r="0" b="0"/>
            <wp:docPr id="1891516377" name="Image 1" descr="A signature on a black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signature on a black background&#10;&#10;AI-generated content may be incorrect."/>
                    <pic:cNvPicPr/>
                  </pic:nvPicPr>
                  <pic:blipFill>
                    <a:blip r:embed="rId18" cstate="print"/>
                    <a:stretch>
                      <a:fillRect/>
                    </a:stretch>
                  </pic:blipFill>
                  <pic:spPr>
                    <a:xfrm>
                      <a:off x="0" y="0"/>
                      <a:ext cx="1829466" cy="571500"/>
                    </a:xfrm>
                    <a:prstGeom prst="rect">
                      <a:avLst/>
                    </a:prstGeom>
                  </pic:spPr>
                </pic:pic>
              </a:graphicData>
            </a:graphic>
          </wp:inline>
        </w:drawing>
      </w:r>
      <w:r>
        <w:tab/>
      </w:r>
      <w:r>
        <w:tab/>
      </w:r>
      <w:r>
        <w:tab/>
        <w:t xml:space="preserve">Date: </w:t>
      </w:r>
      <w:r w:rsidRPr="007D7323">
        <w:rPr>
          <w:u w:val="single"/>
        </w:rPr>
        <w:t>2</w:t>
      </w:r>
      <w:r>
        <w:rPr>
          <w:u w:val="single"/>
        </w:rPr>
        <w:t>1</w:t>
      </w:r>
      <w:r w:rsidRPr="007D7323">
        <w:rPr>
          <w:u w:val="single"/>
          <w:vertAlign w:val="superscript"/>
        </w:rPr>
        <w:t>st</w:t>
      </w:r>
      <w:r>
        <w:rPr>
          <w:u w:val="single"/>
        </w:rPr>
        <w:t xml:space="preserve"> </w:t>
      </w:r>
      <w:r w:rsidRPr="007D7323">
        <w:rPr>
          <w:u w:val="single"/>
        </w:rPr>
        <w:t>May 2025</w:t>
      </w:r>
    </w:p>
    <w:p w14:paraId="1283F4F8" w14:textId="77777777" w:rsidR="003B3846" w:rsidRDefault="003B3846" w:rsidP="003B3846">
      <w:pPr>
        <w:pStyle w:val="ListParagraph"/>
      </w:pPr>
      <w:r>
        <w:t>Chief Executive</w:t>
      </w:r>
    </w:p>
    <w:p w14:paraId="21C45CC6" w14:textId="77777777" w:rsidR="003B3846" w:rsidRDefault="003B3846">
      <w:pPr>
        <w:rPr>
          <w:rFonts w:asciiTheme="majorHAnsi" w:eastAsiaTheme="majorEastAsia" w:hAnsiTheme="majorHAnsi" w:cstheme="majorBidi"/>
          <w:color w:val="0F4761" w:themeColor="accent1" w:themeShade="BF"/>
          <w:sz w:val="32"/>
          <w:szCs w:val="32"/>
        </w:rPr>
      </w:pPr>
      <w:r>
        <w:br w:type="page"/>
      </w:r>
    </w:p>
    <w:p w14:paraId="54C82930" w14:textId="35C45418" w:rsidR="005B432B" w:rsidRDefault="00CB0432" w:rsidP="00B60676">
      <w:pPr>
        <w:pStyle w:val="Heading2"/>
        <w:jc w:val="both"/>
      </w:pPr>
      <w:bookmarkStart w:id="141" w:name="_Toc199244582"/>
      <w:r>
        <w:lastRenderedPageBreak/>
        <w:t xml:space="preserve">Appendix </w:t>
      </w:r>
      <w:r w:rsidR="003B3846">
        <w:t>3</w:t>
      </w:r>
      <w:r>
        <w:t>.1 Elected Members</w:t>
      </w:r>
      <w:bookmarkEnd w:id="141"/>
    </w:p>
    <w:p w14:paraId="3D6A770A" w14:textId="4EB67EF4" w:rsidR="00D974FC" w:rsidRPr="00D974FC" w:rsidRDefault="00D974FC" w:rsidP="00D974FC">
      <w:pPr>
        <w:rPr>
          <w:b/>
          <w:bCs/>
        </w:rPr>
      </w:pPr>
      <w:r>
        <w:rPr>
          <w:b/>
          <w:bCs/>
        </w:rPr>
        <w:t>January 2024 – June 2024</w:t>
      </w:r>
    </w:p>
    <w:p w14:paraId="5A854495" w14:textId="77777777" w:rsidR="0062605A" w:rsidRPr="0062605A" w:rsidRDefault="0062605A" w:rsidP="0062605A">
      <w:pPr>
        <w:rPr>
          <w:b/>
          <w:bCs/>
        </w:rPr>
      </w:pPr>
      <w:r w:rsidRPr="0062605A">
        <w:rPr>
          <w:b/>
          <w:bCs/>
        </w:rPr>
        <w:t xml:space="preserve">Clondalkin </w:t>
      </w:r>
    </w:p>
    <w:p w14:paraId="45A4DDEC" w14:textId="77777777" w:rsidR="0062605A" w:rsidRPr="0062605A" w:rsidRDefault="0062605A" w:rsidP="0062605A">
      <w:r w:rsidRPr="0062605A">
        <w:t xml:space="preserve">Councillor Trevor Gilligan </w:t>
      </w:r>
      <w:r w:rsidRPr="0062605A">
        <w:tab/>
      </w:r>
      <w:r w:rsidRPr="0062605A">
        <w:tab/>
        <w:t xml:space="preserve">FF </w:t>
      </w:r>
    </w:p>
    <w:p w14:paraId="60E27FBF" w14:textId="77777777" w:rsidR="0062605A" w:rsidRPr="0062605A" w:rsidRDefault="0062605A" w:rsidP="0062605A">
      <w:r w:rsidRPr="0062605A">
        <w:t xml:space="preserve">Councillor Shirley O’Hara </w:t>
      </w:r>
      <w:r w:rsidRPr="0062605A">
        <w:tab/>
      </w:r>
      <w:r w:rsidRPr="0062605A">
        <w:tab/>
        <w:t xml:space="preserve">FG </w:t>
      </w:r>
    </w:p>
    <w:p w14:paraId="6C4BBA7F" w14:textId="77777777" w:rsidR="0062605A" w:rsidRPr="0062605A" w:rsidRDefault="0062605A" w:rsidP="0062605A">
      <w:r w:rsidRPr="0062605A">
        <w:t xml:space="preserve">Councillor Kenneth Egan </w:t>
      </w:r>
      <w:r w:rsidRPr="0062605A">
        <w:tab/>
      </w:r>
      <w:r w:rsidRPr="0062605A">
        <w:tab/>
        <w:t xml:space="preserve">FG </w:t>
      </w:r>
    </w:p>
    <w:p w14:paraId="303E7A7F" w14:textId="264B3B7F" w:rsidR="0062605A" w:rsidRPr="0062605A" w:rsidRDefault="0062605A" w:rsidP="0062605A">
      <w:r w:rsidRPr="0062605A">
        <w:t xml:space="preserve">Councillor Francis Timmons </w:t>
      </w:r>
      <w:r w:rsidRPr="0062605A">
        <w:tab/>
        <w:t xml:space="preserve">IND </w:t>
      </w:r>
    </w:p>
    <w:p w14:paraId="67EE2463" w14:textId="77777777" w:rsidR="0062605A" w:rsidRPr="0062605A" w:rsidRDefault="0062605A" w:rsidP="0062605A">
      <w:r w:rsidRPr="0062605A">
        <w:t xml:space="preserve">Councillor William Joseph Carey </w:t>
      </w:r>
      <w:r w:rsidRPr="0062605A">
        <w:tab/>
        <w:t xml:space="preserve">SF </w:t>
      </w:r>
    </w:p>
    <w:p w14:paraId="35F6EA65" w14:textId="77777777" w:rsidR="0062605A" w:rsidRPr="0062605A" w:rsidRDefault="0062605A" w:rsidP="0062605A">
      <w:r w:rsidRPr="0062605A">
        <w:t>Councillor Laura Donaghy</w:t>
      </w:r>
      <w:r w:rsidRPr="0062605A">
        <w:tab/>
      </w:r>
      <w:r w:rsidRPr="0062605A">
        <w:tab/>
        <w:t xml:space="preserve">Green </w:t>
      </w:r>
    </w:p>
    <w:p w14:paraId="5C8AE4E7" w14:textId="77777777" w:rsidR="0062605A" w:rsidRPr="0062605A" w:rsidRDefault="0062605A" w:rsidP="0062605A">
      <w:r w:rsidRPr="0062605A">
        <w:t xml:space="preserve">Councillor Eoin Ó Broin </w:t>
      </w:r>
      <w:r w:rsidRPr="0062605A">
        <w:tab/>
      </w:r>
      <w:r w:rsidRPr="0062605A">
        <w:tab/>
        <w:t xml:space="preserve">SD </w:t>
      </w:r>
    </w:p>
    <w:p w14:paraId="577C654E" w14:textId="77777777" w:rsidR="0062605A" w:rsidRPr="0062605A" w:rsidRDefault="0062605A" w:rsidP="0062605A">
      <w:pPr>
        <w:rPr>
          <w:b/>
          <w:bCs/>
        </w:rPr>
      </w:pPr>
      <w:r w:rsidRPr="0062605A">
        <w:rPr>
          <w:b/>
          <w:bCs/>
        </w:rPr>
        <w:t xml:space="preserve">Rathfarnham – Templeogue </w:t>
      </w:r>
    </w:p>
    <w:p w14:paraId="5A47570C" w14:textId="77777777" w:rsidR="0062605A" w:rsidRPr="0062605A" w:rsidRDefault="0062605A" w:rsidP="0062605A">
      <w:r w:rsidRPr="0062605A">
        <w:t xml:space="preserve">Councillor Justin Sinnott </w:t>
      </w:r>
      <w:r w:rsidRPr="0062605A">
        <w:tab/>
      </w:r>
      <w:r w:rsidRPr="0062605A">
        <w:tab/>
        <w:t xml:space="preserve">SD </w:t>
      </w:r>
    </w:p>
    <w:p w14:paraId="7DE34EE8" w14:textId="77777777" w:rsidR="0062605A" w:rsidRPr="0062605A" w:rsidRDefault="0062605A" w:rsidP="0062605A">
      <w:r w:rsidRPr="0062605A">
        <w:t xml:space="preserve">Councillor Yvonne Collins </w:t>
      </w:r>
      <w:r w:rsidRPr="0062605A">
        <w:tab/>
      </w:r>
      <w:r w:rsidRPr="0062605A">
        <w:tab/>
        <w:t xml:space="preserve">FF </w:t>
      </w:r>
    </w:p>
    <w:p w14:paraId="14571B89" w14:textId="77777777" w:rsidR="0062605A" w:rsidRPr="0062605A" w:rsidRDefault="0062605A" w:rsidP="0062605A">
      <w:r w:rsidRPr="0062605A">
        <w:t xml:space="preserve">Councillor Lynn McCrave </w:t>
      </w:r>
      <w:r w:rsidRPr="0062605A">
        <w:tab/>
      </w:r>
      <w:r w:rsidRPr="0062605A">
        <w:tab/>
        <w:t xml:space="preserve">FG </w:t>
      </w:r>
    </w:p>
    <w:p w14:paraId="6CC816FB" w14:textId="77777777" w:rsidR="0062605A" w:rsidRPr="0062605A" w:rsidRDefault="0062605A" w:rsidP="0062605A">
      <w:r w:rsidRPr="0062605A">
        <w:t xml:space="preserve">Councillor Pamela Kearns </w:t>
      </w:r>
      <w:r w:rsidRPr="0062605A">
        <w:tab/>
      </w:r>
      <w:r w:rsidRPr="0062605A">
        <w:tab/>
        <w:t xml:space="preserve">LAB </w:t>
      </w:r>
    </w:p>
    <w:p w14:paraId="53268E93" w14:textId="2F363EFF" w:rsidR="0062605A" w:rsidRPr="0062605A" w:rsidRDefault="0062605A" w:rsidP="0062605A">
      <w:r w:rsidRPr="0062605A">
        <w:t xml:space="preserve">Councillor Ronan McMahon </w:t>
      </w:r>
      <w:r w:rsidRPr="0062605A">
        <w:tab/>
        <w:t xml:space="preserve">IND </w:t>
      </w:r>
    </w:p>
    <w:p w14:paraId="09386CC1" w14:textId="77777777" w:rsidR="0062605A" w:rsidRPr="0062605A" w:rsidRDefault="0062605A" w:rsidP="0062605A">
      <w:r w:rsidRPr="0062605A">
        <w:t xml:space="preserve">Councillor David McManus </w:t>
      </w:r>
      <w:r w:rsidRPr="0062605A">
        <w:tab/>
      </w:r>
      <w:r w:rsidRPr="0062605A">
        <w:tab/>
        <w:t xml:space="preserve">FG </w:t>
      </w:r>
    </w:p>
    <w:p w14:paraId="54B0E94D" w14:textId="77777777" w:rsidR="0062605A" w:rsidRPr="0062605A" w:rsidRDefault="0062605A" w:rsidP="0062605A">
      <w:r w:rsidRPr="0062605A">
        <w:t xml:space="preserve">Councillor Mark Lynch </w:t>
      </w:r>
      <w:r w:rsidRPr="0062605A">
        <w:tab/>
      </w:r>
      <w:r w:rsidRPr="0062605A">
        <w:tab/>
        <w:t xml:space="preserve">Green </w:t>
      </w:r>
    </w:p>
    <w:p w14:paraId="03CE236E" w14:textId="77777777" w:rsidR="0062605A" w:rsidRPr="0062605A" w:rsidRDefault="0062605A" w:rsidP="0062605A">
      <w:pPr>
        <w:rPr>
          <w:b/>
          <w:bCs/>
        </w:rPr>
      </w:pPr>
      <w:r w:rsidRPr="0062605A">
        <w:rPr>
          <w:b/>
          <w:bCs/>
        </w:rPr>
        <w:t xml:space="preserve">Lucan </w:t>
      </w:r>
    </w:p>
    <w:p w14:paraId="1631D2A9" w14:textId="77777777" w:rsidR="0062605A" w:rsidRPr="0062605A" w:rsidRDefault="0062605A" w:rsidP="0062605A">
      <w:r w:rsidRPr="0062605A">
        <w:t xml:space="preserve">Councillor Ed O’Brien </w:t>
      </w:r>
      <w:r w:rsidRPr="0062605A">
        <w:tab/>
      </w:r>
      <w:r w:rsidRPr="0062605A">
        <w:tab/>
        <w:t xml:space="preserve">FF </w:t>
      </w:r>
    </w:p>
    <w:p w14:paraId="106B4A81" w14:textId="77777777" w:rsidR="0062605A" w:rsidRPr="0062605A" w:rsidRDefault="0062605A" w:rsidP="0062605A">
      <w:r w:rsidRPr="0062605A">
        <w:t xml:space="preserve">Councillor Vicki Casserly </w:t>
      </w:r>
      <w:r w:rsidRPr="0062605A">
        <w:tab/>
      </w:r>
      <w:r w:rsidRPr="0062605A">
        <w:tab/>
        <w:t xml:space="preserve">FG </w:t>
      </w:r>
    </w:p>
    <w:p w14:paraId="7F15F7AC" w14:textId="77777777" w:rsidR="0062605A" w:rsidRPr="0062605A" w:rsidRDefault="0062605A" w:rsidP="0062605A">
      <w:r w:rsidRPr="0062605A">
        <w:t xml:space="preserve">Councillor Liona O’Toole </w:t>
      </w:r>
      <w:r w:rsidRPr="0062605A">
        <w:tab/>
      </w:r>
      <w:r w:rsidRPr="0062605A">
        <w:tab/>
        <w:t xml:space="preserve">IND </w:t>
      </w:r>
    </w:p>
    <w:p w14:paraId="08CB8643" w14:textId="1C7F7CC6" w:rsidR="0062605A" w:rsidRPr="0062605A" w:rsidRDefault="0062605A" w:rsidP="0062605A">
      <w:r w:rsidRPr="0062605A">
        <w:t xml:space="preserve">Councillor Paul Gogarty </w:t>
      </w:r>
      <w:r w:rsidRPr="0062605A">
        <w:tab/>
      </w:r>
      <w:r w:rsidR="00273068">
        <w:tab/>
      </w:r>
      <w:r w:rsidRPr="0062605A">
        <w:t xml:space="preserve">IND </w:t>
      </w:r>
    </w:p>
    <w:p w14:paraId="02EA66B9" w14:textId="77777777" w:rsidR="0062605A" w:rsidRPr="0062605A" w:rsidRDefault="0062605A" w:rsidP="0062605A">
      <w:r w:rsidRPr="0062605A">
        <w:t xml:space="preserve">Councillor Joanna Tuffy </w:t>
      </w:r>
      <w:r w:rsidRPr="0062605A">
        <w:tab/>
      </w:r>
      <w:r w:rsidRPr="0062605A">
        <w:tab/>
        <w:t xml:space="preserve">LAB </w:t>
      </w:r>
    </w:p>
    <w:p w14:paraId="6CB76068" w14:textId="77777777" w:rsidR="0062605A" w:rsidRPr="0062605A" w:rsidRDefault="0062605A" w:rsidP="0062605A">
      <w:pPr>
        <w:rPr>
          <w:b/>
          <w:bCs/>
        </w:rPr>
      </w:pPr>
      <w:r w:rsidRPr="0062605A">
        <w:rPr>
          <w:b/>
          <w:bCs/>
        </w:rPr>
        <w:t xml:space="preserve">Palmerstown – North Clondalkin </w:t>
      </w:r>
    </w:p>
    <w:p w14:paraId="51FA67E5" w14:textId="77777777" w:rsidR="0062605A" w:rsidRPr="0062605A" w:rsidRDefault="0062605A" w:rsidP="0062605A">
      <w:r w:rsidRPr="0062605A">
        <w:t xml:space="preserve">Councillor Guss O’Connell </w:t>
      </w:r>
      <w:r w:rsidRPr="0062605A">
        <w:tab/>
      </w:r>
      <w:r w:rsidRPr="0062605A">
        <w:tab/>
        <w:t xml:space="preserve">IND </w:t>
      </w:r>
    </w:p>
    <w:p w14:paraId="0E70AE9C" w14:textId="77777777" w:rsidR="0062605A" w:rsidRPr="0062605A" w:rsidRDefault="0062605A" w:rsidP="0062605A">
      <w:r w:rsidRPr="0062605A">
        <w:t xml:space="preserve">Councillor Derren Ó Brádaigh </w:t>
      </w:r>
      <w:r w:rsidRPr="0062605A">
        <w:tab/>
        <w:t xml:space="preserve">SF </w:t>
      </w:r>
    </w:p>
    <w:p w14:paraId="13E7582A" w14:textId="77777777" w:rsidR="0062605A" w:rsidRPr="0062605A" w:rsidRDefault="0062605A" w:rsidP="0062605A">
      <w:r w:rsidRPr="0062605A">
        <w:t xml:space="preserve">Councillor Madeleine Johansson </w:t>
      </w:r>
      <w:r w:rsidRPr="0062605A">
        <w:tab/>
        <w:t xml:space="preserve">PBP </w:t>
      </w:r>
    </w:p>
    <w:p w14:paraId="2D2DED4B" w14:textId="77777777" w:rsidR="0062605A" w:rsidRPr="0062605A" w:rsidRDefault="0062605A" w:rsidP="0062605A">
      <w:r w:rsidRPr="0062605A">
        <w:lastRenderedPageBreak/>
        <w:t xml:space="preserve">Councillor Alan Hayes </w:t>
      </w:r>
      <w:r w:rsidRPr="0062605A">
        <w:tab/>
      </w:r>
      <w:r w:rsidRPr="0062605A">
        <w:tab/>
        <w:t xml:space="preserve">IND </w:t>
      </w:r>
    </w:p>
    <w:p w14:paraId="55F52C43" w14:textId="4F1B7788" w:rsidR="0062605A" w:rsidRPr="0062605A" w:rsidRDefault="0062605A" w:rsidP="0062605A">
      <w:r w:rsidRPr="0062605A">
        <w:t xml:space="preserve">Councillor Shane Moynihan </w:t>
      </w:r>
      <w:r w:rsidRPr="0062605A">
        <w:tab/>
        <w:t xml:space="preserve">FF </w:t>
      </w:r>
    </w:p>
    <w:p w14:paraId="137661B1" w14:textId="77777777" w:rsidR="0062605A" w:rsidRPr="0062605A" w:rsidRDefault="0062605A" w:rsidP="0062605A">
      <w:pPr>
        <w:rPr>
          <w:b/>
          <w:bCs/>
        </w:rPr>
      </w:pPr>
      <w:r w:rsidRPr="0062605A">
        <w:rPr>
          <w:b/>
          <w:bCs/>
        </w:rPr>
        <w:t xml:space="preserve">Firhouse – Bohernabreena </w:t>
      </w:r>
    </w:p>
    <w:p w14:paraId="3F8E82D7" w14:textId="6BC56D67" w:rsidR="0062605A" w:rsidRPr="0062605A" w:rsidRDefault="0062605A" w:rsidP="0062605A">
      <w:r w:rsidRPr="0062605A">
        <w:t xml:space="preserve">Councillor Lyn Hagin-Meade </w:t>
      </w:r>
      <w:r w:rsidRPr="0062605A">
        <w:tab/>
        <w:t xml:space="preserve">Green </w:t>
      </w:r>
    </w:p>
    <w:p w14:paraId="593E4D24" w14:textId="77777777" w:rsidR="0062605A" w:rsidRPr="0062605A" w:rsidRDefault="0062605A" w:rsidP="0062605A">
      <w:r w:rsidRPr="0062605A">
        <w:t xml:space="preserve">Councillor Lilian </w:t>
      </w:r>
      <w:proofErr w:type="spellStart"/>
      <w:r w:rsidRPr="0062605A">
        <w:t>Guéret</w:t>
      </w:r>
      <w:proofErr w:type="spellEnd"/>
      <w:r w:rsidRPr="0062605A">
        <w:tab/>
      </w:r>
      <w:r w:rsidRPr="0062605A">
        <w:tab/>
        <w:t xml:space="preserve">FF </w:t>
      </w:r>
    </w:p>
    <w:p w14:paraId="46225284" w14:textId="77777777" w:rsidR="0062605A" w:rsidRPr="0062605A" w:rsidRDefault="0062605A" w:rsidP="0062605A">
      <w:r w:rsidRPr="0062605A">
        <w:t xml:space="preserve">Councillor Brian Lawlor </w:t>
      </w:r>
      <w:r w:rsidRPr="0062605A">
        <w:tab/>
      </w:r>
      <w:r w:rsidRPr="0062605A">
        <w:tab/>
        <w:t xml:space="preserve">FG </w:t>
      </w:r>
    </w:p>
    <w:p w14:paraId="2DC47622" w14:textId="77777777" w:rsidR="0062605A" w:rsidRPr="0062605A" w:rsidRDefault="0062605A" w:rsidP="0062605A">
      <w:r w:rsidRPr="0062605A">
        <w:t xml:space="preserve">Councillor Emma Murphy </w:t>
      </w:r>
      <w:r w:rsidRPr="0062605A">
        <w:tab/>
      </w:r>
      <w:r w:rsidRPr="0062605A">
        <w:tab/>
        <w:t xml:space="preserve">FF </w:t>
      </w:r>
    </w:p>
    <w:p w14:paraId="64F4CA92" w14:textId="1002EFD2" w:rsidR="0062605A" w:rsidRPr="0062605A" w:rsidRDefault="0062605A" w:rsidP="0062605A">
      <w:r w:rsidRPr="0062605A">
        <w:t xml:space="preserve">Councillor Alan Edge </w:t>
      </w:r>
      <w:r w:rsidRPr="0062605A">
        <w:tab/>
      </w:r>
      <w:r w:rsidRPr="0062605A">
        <w:tab/>
        <w:t xml:space="preserve">IND </w:t>
      </w:r>
    </w:p>
    <w:p w14:paraId="52AE2A8C" w14:textId="77777777" w:rsidR="0062605A" w:rsidRPr="0062605A" w:rsidRDefault="0062605A" w:rsidP="0062605A">
      <w:pPr>
        <w:rPr>
          <w:b/>
          <w:bCs/>
        </w:rPr>
      </w:pPr>
      <w:r w:rsidRPr="0062605A">
        <w:rPr>
          <w:b/>
          <w:bCs/>
        </w:rPr>
        <w:t xml:space="preserve">Tallaght Central </w:t>
      </w:r>
    </w:p>
    <w:p w14:paraId="7EA31559" w14:textId="77777777" w:rsidR="0062605A" w:rsidRPr="0062605A" w:rsidRDefault="0062605A" w:rsidP="0062605A">
      <w:r w:rsidRPr="0062605A">
        <w:t xml:space="preserve">Councillor Kieran Mahon </w:t>
      </w:r>
      <w:r w:rsidRPr="0062605A">
        <w:tab/>
      </w:r>
      <w:r w:rsidRPr="0062605A">
        <w:tab/>
        <w:t xml:space="preserve">SOL </w:t>
      </w:r>
    </w:p>
    <w:p w14:paraId="5176E507" w14:textId="5BB7183D" w:rsidR="0062605A" w:rsidRPr="0062605A" w:rsidRDefault="0062605A" w:rsidP="0062605A">
      <w:r w:rsidRPr="0062605A">
        <w:t xml:space="preserve">Councillor Charlie O’Connor </w:t>
      </w:r>
      <w:r w:rsidRPr="0062605A">
        <w:tab/>
        <w:t xml:space="preserve">FF </w:t>
      </w:r>
    </w:p>
    <w:p w14:paraId="593D1462" w14:textId="1A29CAE8" w:rsidR="0062605A" w:rsidRPr="0062605A" w:rsidRDefault="0062605A" w:rsidP="0062605A">
      <w:r w:rsidRPr="0062605A">
        <w:t xml:space="preserve">Councillor Mick Duff </w:t>
      </w:r>
      <w:r w:rsidRPr="0062605A">
        <w:tab/>
      </w:r>
      <w:r w:rsidRPr="0062605A">
        <w:tab/>
        <w:t xml:space="preserve">IND </w:t>
      </w:r>
    </w:p>
    <w:p w14:paraId="1743E173" w14:textId="77777777" w:rsidR="0062605A" w:rsidRPr="0062605A" w:rsidRDefault="0062605A" w:rsidP="0062605A">
      <w:r w:rsidRPr="0062605A">
        <w:t xml:space="preserve">Councillor Teresa Costello </w:t>
      </w:r>
      <w:r w:rsidRPr="0062605A">
        <w:tab/>
      </w:r>
      <w:r w:rsidRPr="0062605A">
        <w:tab/>
        <w:t xml:space="preserve">FF </w:t>
      </w:r>
    </w:p>
    <w:p w14:paraId="222CB732" w14:textId="77777777" w:rsidR="0062605A" w:rsidRPr="0062605A" w:rsidRDefault="0062605A" w:rsidP="0062605A">
      <w:r w:rsidRPr="0062605A">
        <w:t xml:space="preserve">Councillor Cathal King </w:t>
      </w:r>
      <w:r w:rsidRPr="0062605A">
        <w:tab/>
      </w:r>
      <w:r w:rsidRPr="0062605A">
        <w:tab/>
        <w:t xml:space="preserve">SF </w:t>
      </w:r>
    </w:p>
    <w:p w14:paraId="287CB868" w14:textId="77777777" w:rsidR="0062605A" w:rsidRPr="0062605A" w:rsidRDefault="0062605A" w:rsidP="0062605A">
      <w:r w:rsidRPr="0062605A">
        <w:t xml:space="preserve">Councillor Vanessa Mulhall </w:t>
      </w:r>
      <w:r w:rsidRPr="0062605A">
        <w:tab/>
      </w:r>
      <w:r w:rsidRPr="0062605A">
        <w:tab/>
        <w:t xml:space="preserve">Green </w:t>
      </w:r>
    </w:p>
    <w:p w14:paraId="4EB81E79" w14:textId="77777777" w:rsidR="0062605A" w:rsidRPr="0062605A" w:rsidRDefault="0062605A" w:rsidP="0062605A">
      <w:pPr>
        <w:rPr>
          <w:b/>
          <w:bCs/>
        </w:rPr>
      </w:pPr>
      <w:r w:rsidRPr="0062605A">
        <w:rPr>
          <w:b/>
          <w:bCs/>
        </w:rPr>
        <w:t xml:space="preserve">Tallaght South </w:t>
      </w:r>
    </w:p>
    <w:p w14:paraId="0875EAA4" w14:textId="77777777" w:rsidR="0062605A" w:rsidRPr="0062605A" w:rsidRDefault="0062605A" w:rsidP="0062605A">
      <w:r w:rsidRPr="0062605A">
        <w:t xml:space="preserve">Councillor Patrick Pearse Holohan </w:t>
      </w:r>
      <w:r w:rsidRPr="0062605A">
        <w:tab/>
        <w:t xml:space="preserve">IND </w:t>
      </w:r>
    </w:p>
    <w:p w14:paraId="2EB75186" w14:textId="77777777" w:rsidR="0062605A" w:rsidRPr="0062605A" w:rsidRDefault="0062605A" w:rsidP="0062605A">
      <w:r w:rsidRPr="0062605A">
        <w:t xml:space="preserve">Councillor Leah Whelan </w:t>
      </w:r>
      <w:r w:rsidRPr="0062605A">
        <w:tab/>
      </w:r>
      <w:r w:rsidRPr="0062605A">
        <w:tab/>
        <w:t xml:space="preserve">SOL </w:t>
      </w:r>
    </w:p>
    <w:p w14:paraId="49BF4125" w14:textId="77777777" w:rsidR="0062605A" w:rsidRPr="0062605A" w:rsidRDefault="0062605A" w:rsidP="0062605A">
      <w:r w:rsidRPr="0062605A">
        <w:t xml:space="preserve">Councillor Dermot Richardson </w:t>
      </w:r>
      <w:r w:rsidRPr="0062605A">
        <w:tab/>
        <w:t xml:space="preserve">SF </w:t>
      </w:r>
    </w:p>
    <w:p w14:paraId="4932FC83" w14:textId="77777777" w:rsidR="0062605A" w:rsidRPr="0062605A" w:rsidRDefault="0062605A" w:rsidP="0062605A">
      <w:r w:rsidRPr="0062605A">
        <w:t>Councillor Louise Dunne</w:t>
      </w:r>
      <w:r w:rsidRPr="0062605A">
        <w:tab/>
      </w:r>
      <w:r w:rsidRPr="0062605A">
        <w:tab/>
        <w:t xml:space="preserve">SF </w:t>
      </w:r>
    </w:p>
    <w:p w14:paraId="440DFFC9" w14:textId="5059EB97" w:rsidR="0062605A" w:rsidRPr="0062605A" w:rsidRDefault="0062605A" w:rsidP="0062605A">
      <w:r w:rsidRPr="0062605A">
        <w:t xml:space="preserve">Councillor Baby Pereppadan </w:t>
      </w:r>
      <w:r w:rsidRPr="0062605A">
        <w:tab/>
        <w:t>FG</w:t>
      </w:r>
    </w:p>
    <w:p w14:paraId="71EEC497" w14:textId="77777777" w:rsidR="00E2065C" w:rsidRDefault="00E2065C" w:rsidP="00D974FC">
      <w:pPr>
        <w:rPr>
          <w:b/>
          <w:bCs/>
          <w:sz w:val="28"/>
          <w:szCs w:val="28"/>
        </w:rPr>
      </w:pPr>
    </w:p>
    <w:p w14:paraId="2C795212" w14:textId="48D6C274" w:rsidR="00D974FC" w:rsidRPr="00273068" w:rsidRDefault="00D974FC" w:rsidP="00D974FC">
      <w:pPr>
        <w:rPr>
          <w:b/>
          <w:bCs/>
          <w:sz w:val="28"/>
          <w:szCs w:val="28"/>
        </w:rPr>
      </w:pPr>
      <w:r w:rsidRPr="00273068">
        <w:rPr>
          <w:b/>
          <w:bCs/>
          <w:sz w:val="28"/>
          <w:szCs w:val="28"/>
        </w:rPr>
        <w:t>June 2024 – December 2024</w:t>
      </w:r>
    </w:p>
    <w:p w14:paraId="5DED8D2F" w14:textId="77777777" w:rsidR="00CB0432" w:rsidRPr="00CB0432" w:rsidRDefault="00CB0432" w:rsidP="00B60676">
      <w:pPr>
        <w:jc w:val="both"/>
        <w:rPr>
          <w:b/>
          <w:bCs/>
        </w:rPr>
      </w:pPr>
      <w:r w:rsidRPr="00CB0432">
        <w:rPr>
          <w:b/>
          <w:bCs/>
        </w:rPr>
        <w:t xml:space="preserve">Clondalkin </w:t>
      </w:r>
    </w:p>
    <w:p w14:paraId="7D4E258D" w14:textId="77777777" w:rsidR="00CB0432" w:rsidRPr="00CB0432" w:rsidRDefault="00CB0432" w:rsidP="00B60676">
      <w:pPr>
        <w:jc w:val="both"/>
      </w:pPr>
      <w:r w:rsidRPr="00CB0432">
        <w:t xml:space="preserve">Councillor Trevor Gilligan </w:t>
      </w:r>
      <w:r w:rsidRPr="00CB0432">
        <w:tab/>
      </w:r>
      <w:r w:rsidRPr="00CB0432">
        <w:tab/>
        <w:t xml:space="preserve">FF </w:t>
      </w:r>
    </w:p>
    <w:p w14:paraId="3A039E7D" w14:textId="77777777" w:rsidR="00CB0432" w:rsidRPr="00CB0432" w:rsidRDefault="00CB0432" w:rsidP="00B60676">
      <w:pPr>
        <w:jc w:val="both"/>
      </w:pPr>
      <w:r w:rsidRPr="00CB0432">
        <w:t xml:space="preserve">Councillor Shirley O’Hara </w:t>
      </w:r>
      <w:r w:rsidRPr="00CB0432">
        <w:tab/>
      </w:r>
      <w:r w:rsidRPr="00CB0432">
        <w:tab/>
        <w:t xml:space="preserve">FG </w:t>
      </w:r>
    </w:p>
    <w:p w14:paraId="37E3FC73" w14:textId="028CB783" w:rsidR="00CB0432" w:rsidRPr="00CB0432" w:rsidRDefault="00CB0432" w:rsidP="00B60676">
      <w:pPr>
        <w:jc w:val="both"/>
      </w:pPr>
      <w:r w:rsidRPr="00CB0432">
        <w:t>Councillor Darragh Adelaide</w:t>
      </w:r>
      <w:r w:rsidRPr="00CB0432">
        <w:tab/>
        <w:t xml:space="preserve">PBP </w:t>
      </w:r>
    </w:p>
    <w:p w14:paraId="405895DA" w14:textId="3F0D76A0" w:rsidR="00CB0432" w:rsidRPr="00CB0432" w:rsidRDefault="00CB0432" w:rsidP="00B60676">
      <w:pPr>
        <w:jc w:val="both"/>
      </w:pPr>
      <w:r w:rsidRPr="00CB0432">
        <w:t xml:space="preserve">Councillor Francis Timmons </w:t>
      </w:r>
      <w:r w:rsidRPr="00CB0432">
        <w:tab/>
        <w:t xml:space="preserve">IND </w:t>
      </w:r>
    </w:p>
    <w:p w14:paraId="2179B060" w14:textId="77777777" w:rsidR="00CB0432" w:rsidRPr="00CB0432" w:rsidRDefault="00CB0432" w:rsidP="00B60676">
      <w:pPr>
        <w:jc w:val="both"/>
      </w:pPr>
      <w:r w:rsidRPr="00CB0432">
        <w:lastRenderedPageBreak/>
        <w:t xml:space="preserve">Councillor William Joseph Carey </w:t>
      </w:r>
      <w:r w:rsidRPr="00CB0432">
        <w:tab/>
        <w:t xml:space="preserve">SF </w:t>
      </w:r>
    </w:p>
    <w:p w14:paraId="54702718" w14:textId="7369DB42" w:rsidR="00CB0432" w:rsidRPr="00CB0432" w:rsidRDefault="00CB0432" w:rsidP="00B60676">
      <w:pPr>
        <w:jc w:val="both"/>
      </w:pPr>
      <w:r w:rsidRPr="00CB0432">
        <w:t>Councillor Linda de Courcy</w:t>
      </w:r>
      <w:r w:rsidRPr="00CB0432">
        <w:tab/>
        <w:t xml:space="preserve">   </w:t>
      </w:r>
      <w:r>
        <w:tab/>
      </w:r>
      <w:r w:rsidRPr="00CB0432">
        <w:t xml:space="preserve">IND IRE </w:t>
      </w:r>
    </w:p>
    <w:p w14:paraId="6D98A3D9" w14:textId="77777777" w:rsidR="00CB0432" w:rsidRPr="00CB0432" w:rsidRDefault="00CB0432" w:rsidP="00B60676">
      <w:pPr>
        <w:jc w:val="both"/>
      </w:pPr>
      <w:r w:rsidRPr="00CB0432">
        <w:t xml:space="preserve">Councillor Eoin Ó Broin </w:t>
      </w:r>
      <w:r w:rsidRPr="00CB0432">
        <w:tab/>
      </w:r>
      <w:r w:rsidRPr="00CB0432">
        <w:tab/>
        <w:t xml:space="preserve">SD </w:t>
      </w:r>
    </w:p>
    <w:p w14:paraId="13D2BDC3" w14:textId="1158F94D" w:rsidR="00CB0432" w:rsidRPr="00CB0432" w:rsidRDefault="00CB0432" w:rsidP="00B60676">
      <w:pPr>
        <w:jc w:val="both"/>
        <w:rPr>
          <w:b/>
          <w:bCs/>
        </w:rPr>
      </w:pPr>
      <w:r w:rsidRPr="00CB0432">
        <w:rPr>
          <w:b/>
          <w:bCs/>
        </w:rPr>
        <w:t xml:space="preserve">Rathfarnham – Templeogue </w:t>
      </w:r>
    </w:p>
    <w:p w14:paraId="16C6941F" w14:textId="77777777" w:rsidR="00CB0432" w:rsidRPr="00CB0432" w:rsidRDefault="00CB0432" w:rsidP="00B60676">
      <w:pPr>
        <w:jc w:val="both"/>
      </w:pPr>
      <w:r w:rsidRPr="00CB0432">
        <w:t xml:space="preserve">Councillor Justin Sinnott </w:t>
      </w:r>
      <w:r w:rsidRPr="00CB0432">
        <w:tab/>
      </w:r>
      <w:r w:rsidRPr="00CB0432">
        <w:tab/>
        <w:t xml:space="preserve">SD </w:t>
      </w:r>
    </w:p>
    <w:p w14:paraId="5B2D182A" w14:textId="77777777" w:rsidR="00CB0432" w:rsidRPr="00CB0432" w:rsidRDefault="00CB0432" w:rsidP="00B60676">
      <w:pPr>
        <w:jc w:val="both"/>
      </w:pPr>
      <w:r w:rsidRPr="00CB0432">
        <w:t xml:space="preserve">Councillor Yvonne Collins </w:t>
      </w:r>
      <w:r w:rsidRPr="00CB0432">
        <w:tab/>
      </w:r>
      <w:r w:rsidRPr="00CB0432">
        <w:tab/>
        <w:t xml:space="preserve">FF </w:t>
      </w:r>
    </w:p>
    <w:p w14:paraId="6C04F838" w14:textId="77777777" w:rsidR="00CB0432" w:rsidRPr="00CB0432" w:rsidRDefault="00CB0432" w:rsidP="00B60676">
      <w:pPr>
        <w:jc w:val="both"/>
      </w:pPr>
      <w:r w:rsidRPr="00CB0432">
        <w:t xml:space="preserve">Councillor Lynn McCrave </w:t>
      </w:r>
      <w:r w:rsidRPr="00CB0432">
        <w:tab/>
      </w:r>
      <w:r w:rsidRPr="00CB0432">
        <w:tab/>
        <w:t xml:space="preserve">FG </w:t>
      </w:r>
    </w:p>
    <w:p w14:paraId="15B36AF1" w14:textId="77777777" w:rsidR="00CB0432" w:rsidRPr="00CB0432" w:rsidRDefault="00CB0432" w:rsidP="00B60676">
      <w:pPr>
        <w:jc w:val="both"/>
      </w:pPr>
      <w:r w:rsidRPr="00CB0432">
        <w:t xml:space="preserve">Councillor Pamela Kearns </w:t>
      </w:r>
      <w:r w:rsidRPr="00CB0432">
        <w:tab/>
      </w:r>
      <w:r w:rsidRPr="00CB0432">
        <w:tab/>
        <w:t xml:space="preserve">LAB </w:t>
      </w:r>
    </w:p>
    <w:p w14:paraId="1F1A56ED" w14:textId="698D790D" w:rsidR="00CB0432" w:rsidRPr="00CB0432" w:rsidRDefault="00CB0432" w:rsidP="00B60676">
      <w:pPr>
        <w:jc w:val="both"/>
      </w:pPr>
      <w:r w:rsidRPr="00CB0432">
        <w:t xml:space="preserve">Councillor Ronan McMahon </w:t>
      </w:r>
      <w:r w:rsidRPr="00CB0432">
        <w:tab/>
        <w:t xml:space="preserve">IND </w:t>
      </w:r>
    </w:p>
    <w:p w14:paraId="50857E7D" w14:textId="77777777" w:rsidR="00CB0432" w:rsidRDefault="00CB0432" w:rsidP="00B60676">
      <w:pPr>
        <w:jc w:val="both"/>
      </w:pPr>
      <w:r w:rsidRPr="00CB0432">
        <w:t xml:space="preserve">Councillor David McManus </w:t>
      </w:r>
      <w:r w:rsidRPr="00CB0432">
        <w:tab/>
      </w:r>
      <w:r w:rsidRPr="00CB0432">
        <w:tab/>
        <w:t xml:space="preserve">FG </w:t>
      </w:r>
    </w:p>
    <w:p w14:paraId="5257F621" w14:textId="151BB89F" w:rsidR="00273068" w:rsidRPr="00CB0432" w:rsidRDefault="00273068" w:rsidP="00B60676">
      <w:pPr>
        <w:jc w:val="both"/>
      </w:pPr>
      <w:r>
        <w:t>Councillor Ciarán Ahern</w:t>
      </w:r>
      <w:r>
        <w:tab/>
      </w:r>
      <w:r>
        <w:tab/>
        <w:t xml:space="preserve">LAB </w:t>
      </w:r>
      <w:r>
        <w:rPr>
          <w:rFonts w:eastAsia="Times New Roman" w:cs="Times New Roman"/>
          <w:lang w:eastAsia="en-IE"/>
        </w:rPr>
        <w:t>– Elected to the 34</w:t>
      </w:r>
      <w:r w:rsidRPr="00273068">
        <w:rPr>
          <w:rFonts w:eastAsia="Times New Roman" w:cs="Times New Roman"/>
          <w:vertAlign w:val="superscript"/>
          <w:lang w:eastAsia="en-IE"/>
        </w:rPr>
        <w:t>th</w:t>
      </w:r>
      <w:r>
        <w:rPr>
          <w:rFonts w:eastAsia="Times New Roman" w:cs="Times New Roman"/>
          <w:lang w:eastAsia="en-IE"/>
        </w:rPr>
        <w:t xml:space="preserve"> Dáil on 29</w:t>
      </w:r>
      <w:r w:rsidRPr="00273068">
        <w:rPr>
          <w:rFonts w:eastAsia="Times New Roman" w:cs="Times New Roman"/>
          <w:vertAlign w:val="superscript"/>
          <w:lang w:eastAsia="en-IE"/>
        </w:rPr>
        <w:t>th</w:t>
      </w:r>
      <w:r>
        <w:rPr>
          <w:rFonts w:eastAsia="Times New Roman" w:cs="Times New Roman"/>
          <w:lang w:eastAsia="en-IE"/>
        </w:rPr>
        <w:t xml:space="preserve"> November</w:t>
      </w:r>
    </w:p>
    <w:p w14:paraId="2C526AB0" w14:textId="5C8EAFBD" w:rsidR="00CB0432" w:rsidRPr="00CB0432" w:rsidRDefault="00CB0432" w:rsidP="00B60676">
      <w:pPr>
        <w:jc w:val="both"/>
      </w:pPr>
      <w:r w:rsidRPr="00CB0432">
        <w:t>Councillor Paddy Cosgrave</w:t>
      </w:r>
      <w:r w:rsidRPr="00CB0432">
        <w:tab/>
      </w:r>
      <w:r w:rsidRPr="00CB0432">
        <w:tab/>
        <w:t xml:space="preserve">LAB </w:t>
      </w:r>
      <w:r w:rsidR="00273068">
        <w:t>– Co-opted at the December Council meeting</w:t>
      </w:r>
    </w:p>
    <w:p w14:paraId="0145A79B" w14:textId="77777777" w:rsidR="00CB0432" w:rsidRPr="00CB0432" w:rsidRDefault="00CB0432" w:rsidP="00B60676">
      <w:pPr>
        <w:jc w:val="both"/>
        <w:rPr>
          <w:b/>
          <w:bCs/>
        </w:rPr>
      </w:pPr>
      <w:r w:rsidRPr="00CB0432">
        <w:rPr>
          <w:b/>
          <w:bCs/>
        </w:rPr>
        <w:t xml:space="preserve">Lucan </w:t>
      </w:r>
    </w:p>
    <w:p w14:paraId="683B8DB1" w14:textId="77777777" w:rsidR="00CB0432" w:rsidRDefault="00CB0432" w:rsidP="00B60676">
      <w:pPr>
        <w:jc w:val="both"/>
      </w:pPr>
      <w:r w:rsidRPr="00CB0432">
        <w:t>Councillor Caroline Brady</w:t>
      </w:r>
      <w:r w:rsidRPr="00CB0432">
        <w:tab/>
      </w:r>
      <w:r w:rsidRPr="00CB0432">
        <w:tab/>
        <w:t>FG</w:t>
      </w:r>
    </w:p>
    <w:p w14:paraId="572C7C1B" w14:textId="7D55BA47" w:rsidR="00273068" w:rsidRPr="00CB0432" w:rsidRDefault="00273068" w:rsidP="00B60676">
      <w:pPr>
        <w:jc w:val="both"/>
      </w:pPr>
      <w:r>
        <w:t>Councillor Paul Nicholas Gogarty</w:t>
      </w:r>
      <w:r>
        <w:tab/>
        <w:t xml:space="preserve">IND </w:t>
      </w:r>
      <w:r>
        <w:rPr>
          <w:rFonts w:eastAsia="Times New Roman" w:cs="Times New Roman"/>
          <w:lang w:eastAsia="en-IE"/>
        </w:rPr>
        <w:t>– Elected to the 34</w:t>
      </w:r>
      <w:r w:rsidRPr="00273068">
        <w:rPr>
          <w:rFonts w:eastAsia="Times New Roman" w:cs="Times New Roman"/>
          <w:vertAlign w:val="superscript"/>
          <w:lang w:eastAsia="en-IE"/>
        </w:rPr>
        <w:t>th</w:t>
      </w:r>
      <w:r>
        <w:rPr>
          <w:rFonts w:eastAsia="Times New Roman" w:cs="Times New Roman"/>
          <w:lang w:eastAsia="en-IE"/>
        </w:rPr>
        <w:t xml:space="preserve"> Dáil on 29</w:t>
      </w:r>
      <w:r w:rsidRPr="00273068">
        <w:rPr>
          <w:rFonts w:eastAsia="Times New Roman" w:cs="Times New Roman"/>
          <w:vertAlign w:val="superscript"/>
          <w:lang w:eastAsia="en-IE"/>
        </w:rPr>
        <w:t>th</w:t>
      </w:r>
      <w:r>
        <w:rPr>
          <w:rFonts w:eastAsia="Times New Roman" w:cs="Times New Roman"/>
          <w:lang w:eastAsia="en-IE"/>
        </w:rPr>
        <w:t xml:space="preserve"> November</w:t>
      </w:r>
    </w:p>
    <w:p w14:paraId="4FB7BBD5" w14:textId="67C1412D" w:rsidR="00CB0432" w:rsidRPr="00CB0432" w:rsidRDefault="00CB0432" w:rsidP="00B60676">
      <w:pPr>
        <w:jc w:val="both"/>
      </w:pPr>
      <w:r w:rsidRPr="00CB0432">
        <w:t>Councillor Helen Farrell</w:t>
      </w:r>
      <w:r w:rsidRPr="00CB0432">
        <w:tab/>
      </w:r>
      <w:r w:rsidRPr="00CB0432">
        <w:tab/>
        <w:t xml:space="preserve">IND </w:t>
      </w:r>
      <w:r w:rsidR="00273068">
        <w:t>– Co-opted at the December Council meeting</w:t>
      </w:r>
    </w:p>
    <w:p w14:paraId="56ADBB56" w14:textId="77777777" w:rsidR="00CB0432" w:rsidRPr="00CB0432" w:rsidRDefault="00CB0432" w:rsidP="00B60676">
      <w:pPr>
        <w:jc w:val="both"/>
      </w:pPr>
      <w:r w:rsidRPr="00CB0432">
        <w:t xml:space="preserve">Councillor Vicki Casserly </w:t>
      </w:r>
      <w:r w:rsidRPr="00CB0432">
        <w:tab/>
      </w:r>
      <w:r w:rsidRPr="00CB0432">
        <w:tab/>
        <w:t xml:space="preserve">FG </w:t>
      </w:r>
    </w:p>
    <w:p w14:paraId="61F8ADBA" w14:textId="77777777" w:rsidR="00CB0432" w:rsidRPr="00CB0432" w:rsidRDefault="00CB0432" w:rsidP="00B60676">
      <w:pPr>
        <w:jc w:val="both"/>
      </w:pPr>
      <w:r w:rsidRPr="00CB0432">
        <w:t xml:space="preserve">Councillor Liona O’Toole </w:t>
      </w:r>
      <w:r w:rsidRPr="00CB0432">
        <w:tab/>
      </w:r>
      <w:r w:rsidRPr="00CB0432">
        <w:tab/>
        <w:t xml:space="preserve">IND </w:t>
      </w:r>
    </w:p>
    <w:p w14:paraId="1C2DB075" w14:textId="77777777" w:rsidR="00CB0432" w:rsidRPr="00CB0432" w:rsidRDefault="00CB0432" w:rsidP="00B60676">
      <w:pPr>
        <w:jc w:val="both"/>
      </w:pPr>
      <w:r w:rsidRPr="00CB0432">
        <w:t xml:space="preserve">Councillor Joanna Tuffy </w:t>
      </w:r>
      <w:r w:rsidRPr="00CB0432">
        <w:tab/>
      </w:r>
      <w:r w:rsidRPr="00CB0432">
        <w:tab/>
        <w:t xml:space="preserve">LAB </w:t>
      </w:r>
    </w:p>
    <w:p w14:paraId="2056E479" w14:textId="77777777" w:rsidR="00CB0432" w:rsidRPr="00CB0432" w:rsidRDefault="00CB0432" w:rsidP="00B60676">
      <w:pPr>
        <w:jc w:val="both"/>
        <w:rPr>
          <w:b/>
          <w:bCs/>
        </w:rPr>
      </w:pPr>
      <w:r w:rsidRPr="00CB0432">
        <w:rPr>
          <w:b/>
          <w:bCs/>
        </w:rPr>
        <w:t xml:space="preserve">Palmerstown – North Clondalkin </w:t>
      </w:r>
    </w:p>
    <w:p w14:paraId="4087C0F6" w14:textId="65306E2E" w:rsidR="00CB0432" w:rsidRDefault="00CB0432" w:rsidP="00B60676">
      <w:pPr>
        <w:jc w:val="both"/>
      </w:pPr>
      <w:r w:rsidRPr="00CB0432">
        <w:t>Councillor Glen Moore</w:t>
      </w:r>
      <w:r w:rsidRPr="00CB0432">
        <w:tab/>
      </w:r>
      <w:r w:rsidRPr="00CB0432">
        <w:tab/>
        <w:t>I</w:t>
      </w:r>
      <w:r>
        <w:t>ND</w:t>
      </w:r>
    </w:p>
    <w:p w14:paraId="51CD59C7" w14:textId="6052AC7B" w:rsidR="00273068" w:rsidRPr="00CB0432" w:rsidRDefault="00273068" w:rsidP="00B60676">
      <w:pPr>
        <w:jc w:val="both"/>
      </w:pPr>
      <w:r>
        <w:t>Councillor Shane Moynihan</w:t>
      </w:r>
      <w:r>
        <w:tab/>
      </w:r>
      <w:r>
        <w:tab/>
        <w:t xml:space="preserve">FF </w:t>
      </w:r>
      <w:r>
        <w:rPr>
          <w:rFonts w:eastAsia="Times New Roman" w:cs="Times New Roman"/>
          <w:lang w:eastAsia="en-IE"/>
        </w:rPr>
        <w:t>– Elected to the 34</w:t>
      </w:r>
      <w:r w:rsidRPr="00273068">
        <w:rPr>
          <w:rFonts w:eastAsia="Times New Roman" w:cs="Times New Roman"/>
          <w:vertAlign w:val="superscript"/>
          <w:lang w:eastAsia="en-IE"/>
        </w:rPr>
        <w:t>th</w:t>
      </w:r>
      <w:r>
        <w:rPr>
          <w:rFonts w:eastAsia="Times New Roman" w:cs="Times New Roman"/>
          <w:lang w:eastAsia="en-IE"/>
        </w:rPr>
        <w:t xml:space="preserve"> Dáil on 29</w:t>
      </w:r>
      <w:r w:rsidRPr="00273068">
        <w:rPr>
          <w:rFonts w:eastAsia="Times New Roman" w:cs="Times New Roman"/>
          <w:vertAlign w:val="superscript"/>
          <w:lang w:eastAsia="en-IE"/>
        </w:rPr>
        <w:t>th</w:t>
      </w:r>
      <w:r>
        <w:rPr>
          <w:rFonts w:eastAsia="Times New Roman" w:cs="Times New Roman"/>
          <w:lang w:eastAsia="en-IE"/>
        </w:rPr>
        <w:t xml:space="preserve"> November</w:t>
      </w:r>
    </w:p>
    <w:p w14:paraId="33027064" w14:textId="0FD9B392" w:rsidR="00CB0432" w:rsidRPr="00CB0432" w:rsidRDefault="00CB0432" w:rsidP="00B60676">
      <w:pPr>
        <w:jc w:val="both"/>
      </w:pPr>
      <w:r w:rsidRPr="00CB0432">
        <w:t>Councillor Jacqueline Sheehy</w:t>
      </w:r>
      <w:r w:rsidRPr="00CB0432">
        <w:tab/>
        <w:t xml:space="preserve">FF </w:t>
      </w:r>
      <w:r w:rsidR="00273068">
        <w:t>– Co-opted at the December Council meeting</w:t>
      </w:r>
    </w:p>
    <w:p w14:paraId="7F9E69B1" w14:textId="77777777" w:rsidR="00CB0432" w:rsidRPr="00CB0432" w:rsidRDefault="00CB0432" w:rsidP="00B60676">
      <w:pPr>
        <w:jc w:val="both"/>
      </w:pPr>
      <w:r w:rsidRPr="00CB0432">
        <w:t xml:space="preserve">Councillor Madeleine Johansson </w:t>
      </w:r>
      <w:r w:rsidRPr="00CB0432">
        <w:tab/>
        <w:t xml:space="preserve">PBP </w:t>
      </w:r>
    </w:p>
    <w:p w14:paraId="7B49A26F" w14:textId="77777777" w:rsidR="00CB0432" w:rsidRPr="00CB0432" w:rsidRDefault="00CB0432" w:rsidP="00B60676">
      <w:pPr>
        <w:jc w:val="both"/>
      </w:pPr>
      <w:r w:rsidRPr="00CB0432">
        <w:t xml:space="preserve">Councillor Alan Hayes </w:t>
      </w:r>
      <w:r w:rsidRPr="00CB0432">
        <w:tab/>
      </w:r>
      <w:r w:rsidRPr="00CB0432">
        <w:tab/>
        <w:t xml:space="preserve">IND </w:t>
      </w:r>
    </w:p>
    <w:p w14:paraId="52E97555" w14:textId="77777777" w:rsidR="00CB0432" w:rsidRPr="00CB0432" w:rsidRDefault="00CB0432" w:rsidP="00B60676">
      <w:pPr>
        <w:jc w:val="both"/>
      </w:pPr>
      <w:r w:rsidRPr="00CB0432">
        <w:t>Councillor Niamh Fennell</w:t>
      </w:r>
      <w:r w:rsidRPr="00CB0432">
        <w:tab/>
      </w:r>
      <w:r w:rsidRPr="00CB0432">
        <w:tab/>
        <w:t xml:space="preserve">SF </w:t>
      </w:r>
    </w:p>
    <w:p w14:paraId="61472534" w14:textId="77777777" w:rsidR="00CB0432" w:rsidRPr="00CB0432" w:rsidRDefault="00CB0432" w:rsidP="00B60676">
      <w:pPr>
        <w:jc w:val="both"/>
        <w:rPr>
          <w:b/>
          <w:bCs/>
        </w:rPr>
      </w:pPr>
    </w:p>
    <w:p w14:paraId="016B283E" w14:textId="77777777" w:rsidR="00CB0432" w:rsidRPr="00CB0432" w:rsidRDefault="00CB0432" w:rsidP="00B60676">
      <w:pPr>
        <w:jc w:val="both"/>
        <w:rPr>
          <w:b/>
          <w:bCs/>
        </w:rPr>
      </w:pPr>
    </w:p>
    <w:p w14:paraId="06F378AA" w14:textId="77777777" w:rsidR="00CB0432" w:rsidRPr="00CB0432" w:rsidRDefault="00CB0432" w:rsidP="00B60676">
      <w:pPr>
        <w:jc w:val="both"/>
        <w:rPr>
          <w:b/>
          <w:bCs/>
        </w:rPr>
      </w:pPr>
      <w:r w:rsidRPr="00CB0432">
        <w:rPr>
          <w:b/>
          <w:bCs/>
        </w:rPr>
        <w:lastRenderedPageBreak/>
        <w:t xml:space="preserve">Firhouse – Bohernabreena </w:t>
      </w:r>
    </w:p>
    <w:p w14:paraId="4568D6B1" w14:textId="77777777" w:rsidR="00CB0432" w:rsidRPr="00CB0432" w:rsidRDefault="00CB0432" w:rsidP="00B60676">
      <w:pPr>
        <w:jc w:val="both"/>
      </w:pPr>
      <w:r w:rsidRPr="00CB0432">
        <w:t>Councillor Sarah Barnes</w:t>
      </w:r>
      <w:r w:rsidRPr="00CB0432">
        <w:tab/>
      </w:r>
      <w:r w:rsidRPr="00CB0432">
        <w:tab/>
        <w:t xml:space="preserve">FG </w:t>
      </w:r>
    </w:p>
    <w:p w14:paraId="62012DD6" w14:textId="77777777" w:rsidR="00CB0432" w:rsidRPr="00CB0432" w:rsidRDefault="00CB0432" w:rsidP="00B60676">
      <w:pPr>
        <w:jc w:val="both"/>
      </w:pPr>
      <w:r w:rsidRPr="00CB0432">
        <w:t>Councillor Róisín Mannion</w:t>
      </w:r>
      <w:r w:rsidRPr="00CB0432">
        <w:tab/>
      </w:r>
      <w:r w:rsidRPr="00CB0432">
        <w:tab/>
        <w:t xml:space="preserve">SF </w:t>
      </w:r>
    </w:p>
    <w:p w14:paraId="624851B1" w14:textId="77777777" w:rsidR="00CB0432" w:rsidRPr="00CB0432" w:rsidRDefault="00CB0432" w:rsidP="00B60676">
      <w:pPr>
        <w:jc w:val="both"/>
      </w:pPr>
      <w:r w:rsidRPr="00CB0432">
        <w:t xml:space="preserve">Councillor Brian Lawlor </w:t>
      </w:r>
      <w:r w:rsidRPr="00CB0432">
        <w:tab/>
      </w:r>
      <w:r w:rsidRPr="00CB0432">
        <w:tab/>
        <w:t xml:space="preserve">FG </w:t>
      </w:r>
    </w:p>
    <w:p w14:paraId="0B72E32C" w14:textId="77777777" w:rsidR="00CB0432" w:rsidRPr="00CB0432" w:rsidRDefault="00CB0432" w:rsidP="00B60676">
      <w:pPr>
        <w:jc w:val="both"/>
      </w:pPr>
      <w:r w:rsidRPr="00CB0432">
        <w:t xml:space="preserve">Councillor Emma Murphy </w:t>
      </w:r>
      <w:r w:rsidRPr="00CB0432">
        <w:tab/>
      </w:r>
      <w:r w:rsidRPr="00CB0432">
        <w:tab/>
        <w:t xml:space="preserve">FF </w:t>
      </w:r>
    </w:p>
    <w:p w14:paraId="5181C9BA" w14:textId="0EAA75AC" w:rsidR="00CB0432" w:rsidRPr="00CB0432" w:rsidRDefault="00CB0432" w:rsidP="00B60676">
      <w:pPr>
        <w:jc w:val="both"/>
      </w:pPr>
      <w:r w:rsidRPr="00CB0432">
        <w:t xml:space="preserve">Councillor Alan Edge </w:t>
      </w:r>
      <w:r w:rsidRPr="00CB0432">
        <w:tab/>
      </w:r>
      <w:r w:rsidRPr="00CB0432">
        <w:tab/>
        <w:t xml:space="preserve">IND </w:t>
      </w:r>
    </w:p>
    <w:p w14:paraId="4DFF78EB" w14:textId="77777777" w:rsidR="00CB0432" w:rsidRPr="00CB0432" w:rsidRDefault="00CB0432" w:rsidP="00B60676">
      <w:pPr>
        <w:jc w:val="both"/>
        <w:rPr>
          <w:b/>
          <w:bCs/>
        </w:rPr>
      </w:pPr>
      <w:r w:rsidRPr="00CB0432">
        <w:rPr>
          <w:b/>
          <w:bCs/>
        </w:rPr>
        <w:t xml:space="preserve">Tallaght Central </w:t>
      </w:r>
    </w:p>
    <w:p w14:paraId="5CCE9BB9" w14:textId="3C7100F4" w:rsidR="00CB0432" w:rsidRPr="00CB0432" w:rsidRDefault="00CB0432" w:rsidP="00B60676">
      <w:pPr>
        <w:jc w:val="both"/>
      </w:pPr>
      <w:r w:rsidRPr="00CB0432">
        <w:t>Councillor Britto Pereppadan</w:t>
      </w:r>
      <w:r w:rsidRPr="00CB0432">
        <w:tab/>
        <w:t xml:space="preserve">FG </w:t>
      </w:r>
    </w:p>
    <w:p w14:paraId="7D38E590" w14:textId="77777777" w:rsidR="00CB0432" w:rsidRPr="00CB0432" w:rsidRDefault="00CB0432" w:rsidP="00B60676">
      <w:pPr>
        <w:jc w:val="both"/>
      </w:pPr>
      <w:r w:rsidRPr="00CB0432">
        <w:t>Councillor Niamh Whelan</w:t>
      </w:r>
      <w:r w:rsidRPr="00CB0432">
        <w:tab/>
      </w:r>
      <w:r w:rsidRPr="00CB0432">
        <w:tab/>
        <w:t xml:space="preserve">SF </w:t>
      </w:r>
    </w:p>
    <w:p w14:paraId="0ACBD1F5" w14:textId="563E76B1" w:rsidR="00CB0432" w:rsidRPr="00CB0432" w:rsidRDefault="00CB0432" w:rsidP="00B60676">
      <w:pPr>
        <w:jc w:val="both"/>
      </w:pPr>
      <w:r w:rsidRPr="00CB0432">
        <w:t>Councillor Jess Spear</w:t>
      </w:r>
      <w:r w:rsidRPr="00CB0432">
        <w:tab/>
      </w:r>
      <w:r w:rsidRPr="00CB0432">
        <w:tab/>
        <w:t xml:space="preserve">PBP </w:t>
      </w:r>
    </w:p>
    <w:p w14:paraId="4842553B" w14:textId="355C4D47" w:rsidR="00CB0432" w:rsidRPr="00CB0432" w:rsidRDefault="00CB0432" w:rsidP="00B60676">
      <w:pPr>
        <w:jc w:val="both"/>
      </w:pPr>
      <w:r w:rsidRPr="00CB0432">
        <w:t xml:space="preserve">Councillor Mick Duff </w:t>
      </w:r>
      <w:r w:rsidRPr="00CB0432">
        <w:tab/>
      </w:r>
      <w:r w:rsidRPr="00CB0432">
        <w:tab/>
        <w:t xml:space="preserve">IND </w:t>
      </w:r>
    </w:p>
    <w:p w14:paraId="33CC9F3C" w14:textId="77777777" w:rsidR="00CB0432" w:rsidRDefault="00CB0432" w:rsidP="00B60676">
      <w:pPr>
        <w:jc w:val="both"/>
      </w:pPr>
      <w:r w:rsidRPr="00CB0432">
        <w:t>Councillor Dean Donnelly</w:t>
      </w:r>
      <w:r w:rsidRPr="00CB0432">
        <w:tab/>
      </w:r>
      <w:r w:rsidRPr="00CB0432">
        <w:tab/>
        <w:t xml:space="preserve">IND </w:t>
      </w:r>
    </w:p>
    <w:p w14:paraId="2320C7E9" w14:textId="793C9459" w:rsidR="00871415" w:rsidRPr="00CB0432" w:rsidRDefault="00871415" w:rsidP="00B60676">
      <w:pPr>
        <w:jc w:val="both"/>
      </w:pPr>
      <w:r>
        <w:t>Vacant</w:t>
      </w:r>
      <w:r>
        <w:tab/>
      </w:r>
      <w:r>
        <w:tab/>
      </w:r>
      <w:r>
        <w:tab/>
      </w:r>
      <w:r>
        <w:tab/>
      </w:r>
      <w:r>
        <w:tab/>
        <w:t>FF</w:t>
      </w:r>
    </w:p>
    <w:p w14:paraId="0F40A2EC" w14:textId="77777777" w:rsidR="00CB0432" w:rsidRPr="00CB0432" w:rsidRDefault="00CB0432" w:rsidP="00B60676">
      <w:pPr>
        <w:jc w:val="both"/>
        <w:rPr>
          <w:b/>
          <w:bCs/>
        </w:rPr>
      </w:pPr>
      <w:r w:rsidRPr="00CB0432">
        <w:rPr>
          <w:b/>
          <w:bCs/>
        </w:rPr>
        <w:t xml:space="preserve">Tallaght South </w:t>
      </w:r>
    </w:p>
    <w:p w14:paraId="3DB6FA0C" w14:textId="77777777" w:rsidR="00CB0432" w:rsidRPr="00CB0432" w:rsidRDefault="00CB0432" w:rsidP="00B60676">
      <w:pPr>
        <w:jc w:val="both"/>
      </w:pPr>
      <w:r w:rsidRPr="00CB0432">
        <w:t xml:space="preserve">Councillor Patrick Pearse Holohan </w:t>
      </w:r>
      <w:r w:rsidRPr="00CB0432">
        <w:tab/>
        <w:t xml:space="preserve">IND </w:t>
      </w:r>
    </w:p>
    <w:p w14:paraId="2FA36EAF" w14:textId="77777777" w:rsidR="00CB0432" w:rsidRPr="00CB0432" w:rsidRDefault="00CB0432" w:rsidP="00B60676">
      <w:pPr>
        <w:jc w:val="both"/>
      </w:pPr>
      <w:r w:rsidRPr="00CB0432">
        <w:t>Councillor Cllr Kay Keane</w:t>
      </w:r>
      <w:r w:rsidRPr="00CB0432">
        <w:tab/>
      </w:r>
      <w:r w:rsidRPr="00CB0432">
        <w:tab/>
        <w:t xml:space="preserve">PBP </w:t>
      </w:r>
    </w:p>
    <w:p w14:paraId="2BD9FEA0" w14:textId="77777777" w:rsidR="00CB0432" w:rsidRPr="00CB0432" w:rsidRDefault="00CB0432" w:rsidP="00B60676">
      <w:pPr>
        <w:jc w:val="both"/>
      </w:pPr>
      <w:r w:rsidRPr="00CB0432">
        <w:t xml:space="preserve">Councillor Dermot Richardson </w:t>
      </w:r>
      <w:r w:rsidRPr="00CB0432">
        <w:tab/>
        <w:t xml:space="preserve">IND </w:t>
      </w:r>
    </w:p>
    <w:p w14:paraId="650A0BCD" w14:textId="77777777" w:rsidR="00CB0432" w:rsidRPr="00CB0432" w:rsidRDefault="00CB0432" w:rsidP="00B60676">
      <w:pPr>
        <w:jc w:val="both"/>
      </w:pPr>
      <w:r w:rsidRPr="00CB0432">
        <w:t>Councillor Louise Dunne</w:t>
      </w:r>
      <w:r w:rsidRPr="00CB0432">
        <w:tab/>
      </w:r>
      <w:r w:rsidRPr="00CB0432">
        <w:tab/>
        <w:t xml:space="preserve">SF </w:t>
      </w:r>
    </w:p>
    <w:p w14:paraId="4D73A2D8" w14:textId="310D62A1" w:rsidR="00CB0432" w:rsidRPr="00CB0432" w:rsidRDefault="00CB0432" w:rsidP="00B60676">
      <w:pPr>
        <w:jc w:val="both"/>
      </w:pPr>
      <w:r w:rsidRPr="00CB0432">
        <w:t xml:space="preserve">Councillor Baby Pereppadan </w:t>
      </w:r>
      <w:r w:rsidRPr="00CB0432">
        <w:tab/>
        <w:t>FG</w:t>
      </w:r>
    </w:p>
    <w:p w14:paraId="26571734" w14:textId="0DFFD30D" w:rsidR="00CB0432" w:rsidRDefault="00CB0432" w:rsidP="00B60676">
      <w:pPr>
        <w:jc w:val="both"/>
      </w:pPr>
      <w:r>
        <w:br w:type="page"/>
      </w:r>
    </w:p>
    <w:p w14:paraId="2A504243" w14:textId="3437B462" w:rsidR="00CB0432" w:rsidRDefault="00CB0432" w:rsidP="00B60676">
      <w:pPr>
        <w:pStyle w:val="Heading2"/>
        <w:jc w:val="both"/>
      </w:pPr>
      <w:bookmarkStart w:id="142" w:name="_Toc199244583"/>
      <w:r>
        <w:lastRenderedPageBreak/>
        <w:t xml:space="preserve">Appendix </w:t>
      </w:r>
      <w:r w:rsidR="003B3846">
        <w:t>3</w:t>
      </w:r>
      <w:r>
        <w:t>.2 Payments Made to Councillors in 2024</w:t>
      </w:r>
      <w:bookmarkEnd w:id="142"/>
    </w:p>
    <w:p w14:paraId="41FD5A8F" w14:textId="77777777" w:rsidR="00E2065C" w:rsidRDefault="00E2065C" w:rsidP="00B60676">
      <w:pPr>
        <w:jc w:val="both"/>
        <w:rPr>
          <w:b/>
          <w:bCs/>
          <w:u w:val="single"/>
        </w:rPr>
      </w:pPr>
    </w:p>
    <w:p w14:paraId="6FD10F8B" w14:textId="40B6DB06" w:rsidR="006C5EF9" w:rsidRPr="006C5EF9" w:rsidRDefault="006C5EF9" w:rsidP="00B60676">
      <w:pPr>
        <w:jc w:val="both"/>
        <w:rPr>
          <w:b/>
          <w:bCs/>
          <w:u w:val="single"/>
        </w:rPr>
      </w:pPr>
      <w:r w:rsidRPr="006C5EF9">
        <w:rPr>
          <w:b/>
          <w:bCs/>
          <w:u w:val="single"/>
        </w:rPr>
        <w:t>Representational Payment Totals</w:t>
      </w:r>
    </w:p>
    <w:p w14:paraId="4C65AAD0" w14:textId="34BB65B7" w:rsidR="006C5EF9" w:rsidRPr="006C5EF9" w:rsidRDefault="006C5EF9" w:rsidP="001873BC">
      <w:pPr>
        <w:numPr>
          <w:ilvl w:val="0"/>
          <w:numId w:val="6"/>
        </w:numPr>
        <w:jc w:val="both"/>
      </w:pPr>
      <w:r w:rsidRPr="006C5EF9">
        <w:t xml:space="preserve">Representational </w:t>
      </w:r>
      <w:proofErr w:type="gramStart"/>
      <w:r w:rsidRPr="006C5EF9">
        <w:t xml:space="preserve">Payments  </w:t>
      </w:r>
      <w:r w:rsidRPr="006C5EF9">
        <w:tab/>
      </w:r>
      <w:proofErr w:type="gramEnd"/>
      <w:r w:rsidRPr="006C5EF9">
        <w:tab/>
      </w:r>
      <w:r w:rsidRPr="006C5EF9">
        <w:tab/>
        <w:t xml:space="preserve">                       </w:t>
      </w:r>
      <w:r>
        <w:tab/>
      </w:r>
      <w:r>
        <w:tab/>
      </w:r>
      <w:r w:rsidRPr="006C5EF9">
        <w:t>€1,188,685.42</w:t>
      </w:r>
    </w:p>
    <w:p w14:paraId="7356C693" w14:textId="38204E91" w:rsidR="006C5EF9" w:rsidRPr="006C5EF9" w:rsidRDefault="006C5EF9" w:rsidP="001873BC">
      <w:pPr>
        <w:numPr>
          <w:ilvl w:val="0"/>
          <w:numId w:val="6"/>
        </w:numPr>
        <w:jc w:val="both"/>
      </w:pPr>
      <w:r w:rsidRPr="006C5EF9">
        <w:t>Monthly Payments</w:t>
      </w:r>
      <w:r w:rsidRPr="006C5EF9">
        <w:tab/>
      </w:r>
      <w:r w:rsidRPr="006C5EF9">
        <w:tab/>
      </w:r>
      <w:r w:rsidRPr="006C5EF9">
        <w:tab/>
        <w:t xml:space="preserve">                                      </w:t>
      </w:r>
      <w:r>
        <w:tab/>
      </w:r>
      <w:r>
        <w:tab/>
      </w:r>
      <w:r w:rsidRPr="006C5EF9">
        <w:t>€183,519.96</w:t>
      </w:r>
    </w:p>
    <w:p w14:paraId="630CED83" w14:textId="65494538" w:rsidR="006C5EF9" w:rsidRPr="006C5EF9" w:rsidRDefault="006C5EF9" w:rsidP="001873BC">
      <w:pPr>
        <w:numPr>
          <w:ilvl w:val="0"/>
          <w:numId w:val="6"/>
        </w:numPr>
        <w:jc w:val="both"/>
      </w:pPr>
      <w:r w:rsidRPr="006C5EF9">
        <w:t xml:space="preserve">Local Representation Payment                                                           </w:t>
      </w:r>
      <w:r>
        <w:tab/>
      </w:r>
      <w:r w:rsidRPr="006C5EF9">
        <w:t>€105,644.74</w:t>
      </w:r>
    </w:p>
    <w:p w14:paraId="02009B07" w14:textId="208A4E0A" w:rsidR="006C5EF9" w:rsidRPr="006C5EF9" w:rsidRDefault="006C5EF9" w:rsidP="001873BC">
      <w:pPr>
        <w:numPr>
          <w:ilvl w:val="0"/>
          <w:numId w:val="6"/>
        </w:numPr>
        <w:jc w:val="both"/>
      </w:pPr>
      <w:r w:rsidRPr="006C5EF9">
        <w:t>Strategic Policy Committee Chairperson’s Allowance Total</w:t>
      </w:r>
      <w:r>
        <w:tab/>
      </w:r>
      <w:r w:rsidRPr="006C5EF9">
        <w:tab/>
        <w:t>€35,692.90</w:t>
      </w:r>
    </w:p>
    <w:p w14:paraId="6C480640" w14:textId="0B2E805E" w:rsidR="006C5EF9" w:rsidRPr="006C5EF9" w:rsidRDefault="006C5EF9" w:rsidP="001873BC">
      <w:pPr>
        <w:numPr>
          <w:ilvl w:val="0"/>
          <w:numId w:val="6"/>
        </w:numPr>
        <w:jc w:val="both"/>
      </w:pPr>
      <w:r w:rsidRPr="006C5EF9">
        <w:t xml:space="preserve">Mayor’s Allowance </w:t>
      </w:r>
      <w:r w:rsidRPr="006C5EF9">
        <w:tab/>
      </w:r>
      <w:r w:rsidRPr="006C5EF9">
        <w:tab/>
      </w:r>
      <w:r w:rsidRPr="006C5EF9">
        <w:tab/>
      </w:r>
      <w:r w:rsidRPr="006C5EF9">
        <w:tab/>
      </w:r>
      <w:r w:rsidRPr="006C5EF9">
        <w:tab/>
        <w:t xml:space="preserve">         </w:t>
      </w:r>
      <w:r>
        <w:tab/>
      </w:r>
      <w:r>
        <w:tab/>
      </w:r>
      <w:r w:rsidRPr="006C5EF9">
        <w:t>€30,127.38</w:t>
      </w:r>
    </w:p>
    <w:p w14:paraId="2224B3A0" w14:textId="08879E82" w:rsidR="006C5EF9" w:rsidRPr="006C5EF9" w:rsidRDefault="006C5EF9" w:rsidP="001873BC">
      <w:pPr>
        <w:numPr>
          <w:ilvl w:val="0"/>
          <w:numId w:val="6"/>
        </w:numPr>
        <w:jc w:val="both"/>
      </w:pPr>
      <w:r w:rsidRPr="006C5EF9">
        <w:t xml:space="preserve">Deputy Mayor’s Allowance </w:t>
      </w:r>
      <w:r w:rsidRPr="006C5EF9">
        <w:tab/>
      </w:r>
      <w:r w:rsidRPr="006C5EF9">
        <w:tab/>
      </w:r>
      <w:r w:rsidRPr="006C5EF9">
        <w:tab/>
      </w:r>
      <w:r w:rsidRPr="006C5EF9">
        <w:tab/>
        <w:t xml:space="preserve">         </w:t>
      </w:r>
      <w:r>
        <w:tab/>
      </w:r>
      <w:r>
        <w:tab/>
      </w:r>
      <w:r w:rsidRPr="006C5EF9">
        <w:t>€6,025.48</w:t>
      </w:r>
    </w:p>
    <w:p w14:paraId="750BBA98" w14:textId="72F5763B" w:rsidR="006C5EF9" w:rsidRPr="006C5EF9" w:rsidRDefault="006C5EF9" w:rsidP="001873BC">
      <w:pPr>
        <w:numPr>
          <w:ilvl w:val="0"/>
          <w:numId w:val="6"/>
        </w:numPr>
        <w:jc w:val="both"/>
      </w:pPr>
      <w:r w:rsidRPr="006C5EF9">
        <w:t xml:space="preserve">Training </w:t>
      </w:r>
      <w:r w:rsidRPr="006C5EF9">
        <w:tab/>
      </w:r>
      <w:r w:rsidRPr="006C5EF9">
        <w:tab/>
      </w:r>
      <w:r w:rsidRPr="006C5EF9">
        <w:tab/>
      </w:r>
      <w:r w:rsidRPr="006C5EF9">
        <w:tab/>
      </w:r>
      <w:r w:rsidRPr="006C5EF9">
        <w:tab/>
      </w:r>
      <w:r w:rsidRPr="006C5EF9">
        <w:tab/>
      </w:r>
      <w:r w:rsidRPr="006C5EF9">
        <w:tab/>
        <w:t xml:space="preserve">         </w:t>
      </w:r>
      <w:r>
        <w:tab/>
      </w:r>
      <w:r>
        <w:tab/>
      </w:r>
      <w:r w:rsidRPr="006C5EF9">
        <w:t>€19,935.30</w:t>
      </w:r>
    </w:p>
    <w:p w14:paraId="5E023F45" w14:textId="312CEA20" w:rsidR="006C5EF9" w:rsidRPr="006C5EF9" w:rsidRDefault="006C5EF9" w:rsidP="001873BC">
      <w:pPr>
        <w:numPr>
          <w:ilvl w:val="0"/>
          <w:numId w:val="6"/>
        </w:numPr>
        <w:jc w:val="both"/>
      </w:pPr>
      <w:r w:rsidRPr="006C5EF9">
        <w:t xml:space="preserve">Conferences </w:t>
      </w:r>
      <w:r w:rsidRPr="006C5EF9">
        <w:tab/>
      </w:r>
      <w:r w:rsidRPr="006C5EF9">
        <w:tab/>
      </w:r>
      <w:r w:rsidRPr="006C5EF9">
        <w:tab/>
      </w:r>
      <w:r w:rsidRPr="006C5EF9">
        <w:tab/>
      </w:r>
      <w:r w:rsidRPr="006C5EF9">
        <w:tab/>
      </w:r>
      <w:r w:rsidRPr="006C5EF9">
        <w:tab/>
        <w:t xml:space="preserve">          </w:t>
      </w:r>
      <w:r>
        <w:tab/>
      </w:r>
      <w:r>
        <w:tab/>
      </w:r>
      <w:r w:rsidRPr="006C5EF9">
        <w:t xml:space="preserve">€3,455.64 </w:t>
      </w:r>
    </w:p>
    <w:p w14:paraId="17422332" w14:textId="65626792" w:rsidR="006C5EF9" w:rsidRPr="006C5EF9" w:rsidRDefault="006C5EF9" w:rsidP="001873BC">
      <w:pPr>
        <w:numPr>
          <w:ilvl w:val="0"/>
          <w:numId w:val="6"/>
        </w:numPr>
        <w:jc w:val="both"/>
      </w:pPr>
      <w:r w:rsidRPr="006C5EF9">
        <w:t xml:space="preserve">Security Allowance </w:t>
      </w:r>
      <w:r w:rsidRPr="006C5EF9">
        <w:tab/>
      </w:r>
      <w:r w:rsidRPr="006C5EF9">
        <w:tab/>
      </w:r>
      <w:r w:rsidRPr="006C5EF9">
        <w:tab/>
      </w:r>
      <w:r w:rsidRPr="006C5EF9">
        <w:tab/>
        <w:t xml:space="preserve">                         </w:t>
      </w:r>
      <w:r>
        <w:tab/>
      </w:r>
      <w:r>
        <w:tab/>
      </w:r>
      <w:r w:rsidRPr="006C5EF9">
        <w:t>€2787.87</w:t>
      </w:r>
    </w:p>
    <w:p w14:paraId="3AFA74C7" w14:textId="77777777" w:rsidR="006C5EF9" w:rsidRDefault="006C5EF9" w:rsidP="00B60676">
      <w:pPr>
        <w:jc w:val="both"/>
      </w:pPr>
    </w:p>
    <w:p w14:paraId="5F4CE292" w14:textId="3F71210E" w:rsidR="006C5EF9" w:rsidRPr="006C5EF9" w:rsidRDefault="006C5EF9" w:rsidP="00B60676">
      <w:pPr>
        <w:jc w:val="both"/>
      </w:pPr>
      <w:r w:rsidRPr="006C5EF9">
        <w:t xml:space="preserve">Total of Expenses paid to members in respect of attendance at meetings of the County Council and its Committees </w:t>
      </w:r>
      <w:r w:rsidR="001600B1">
        <w:t xml:space="preserve">- </w:t>
      </w:r>
      <w:r w:rsidRPr="006C5EF9">
        <w:t>€1,575,874.69</w:t>
      </w:r>
    </w:p>
    <w:p w14:paraId="5418F1B4" w14:textId="355EC5B8" w:rsidR="006C5EF9" w:rsidRDefault="006C5EF9" w:rsidP="00B60676">
      <w:pPr>
        <w:jc w:val="both"/>
      </w:pPr>
      <w:r>
        <w:br w:type="page"/>
      </w:r>
    </w:p>
    <w:p w14:paraId="0FD3EC01" w14:textId="7579A0B4" w:rsidR="006C5EF9" w:rsidRDefault="006C5EF9" w:rsidP="003B1180">
      <w:pPr>
        <w:pStyle w:val="Heading2"/>
      </w:pPr>
      <w:bookmarkStart w:id="143" w:name="_Toc199244584"/>
      <w:r>
        <w:lastRenderedPageBreak/>
        <w:t xml:space="preserve">Appendix </w:t>
      </w:r>
      <w:r w:rsidR="003B3846">
        <w:t>3</w:t>
      </w:r>
      <w:r>
        <w:t>.3 Council Membership of Committees and Other Bodies</w:t>
      </w:r>
      <w:bookmarkEnd w:id="143"/>
    </w:p>
    <w:p w14:paraId="0318C19B" w14:textId="77777777" w:rsidR="006C5EF9" w:rsidRPr="006C5EF9" w:rsidRDefault="006C5EF9" w:rsidP="00B60676">
      <w:pPr>
        <w:jc w:val="both"/>
        <w:rPr>
          <w:b/>
        </w:rPr>
      </w:pPr>
      <w:bookmarkStart w:id="144" w:name="_Toc168915098"/>
      <w:bookmarkStart w:id="145" w:name="_Hlk32831680"/>
      <w:r w:rsidRPr="006C5EF9">
        <w:rPr>
          <w:b/>
        </w:rPr>
        <w:t>Association of Irish Local Government</w:t>
      </w:r>
      <w:bookmarkEnd w:id="144"/>
    </w:p>
    <w:tbl>
      <w:tblPr>
        <w:tblStyle w:val="TableGrid"/>
        <w:tblpPr w:leftFromText="180" w:rightFromText="180" w:vertAnchor="text" w:horzAnchor="page" w:tblpX="1050" w:tblpY="277"/>
        <w:tblW w:w="10066" w:type="dxa"/>
        <w:tblLook w:val="04A0" w:firstRow="1" w:lastRow="0" w:firstColumn="1" w:lastColumn="0" w:noHBand="0" w:noVBand="1"/>
      </w:tblPr>
      <w:tblGrid>
        <w:gridCol w:w="5536"/>
        <w:gridCol w:w="4530"/>
      </w:tblGrid>
      <w:tr w:rsidR="006C5EF9" w:rsidRPr="006C5EF9" w14:paraId="7A75295F" w14:textId="77777777" w:rsidTr="006C5EF9">
        <w:trPr>
          <w:trHeight w:val="378"/>
        </w:trPr>
        <w:tc>
          <w:tcPr>
            <w:tcW w:w="5536" w:type="dxa"/>
            <w:tcBorders>
              <w:top w:val="single" w:sz="4" w:space="0" w:color="auto"/>
              <w:left w:val="single" w:sz="4" w:space="0" w:color="auto"/>
              <w:bottom w:val="single" w:sz="4" w:space="0" w:color="auto"/>
              <w:right w:val="single" w:sz="4" w:space="0" w:color="auto"/>
            </w:tcBorders>
            <w:shd w:val="clear" w:color="auto" w:fill="00B0F0"/>
            <w:hideMark/>
          </w:tcPr>
          <w:p w14:paraId="67C81965" w14:textId="77777777" w:rsidR="006C5EF9" w:rsidRPr="006C5EF9" w:rsidRDefault="006C5EF9" w:rsidP="00F42537">
            <w:pPr>
              <w:jc w:val="both"/>
              <w:rPr>
                <w:b/>
                <w:bCs/>
              </w:rPr>
            </w:pPr>
            <w:r w:rsidRPr="006C5EF9">
              <w:rPr>
                <w:b/>
                <w:bCs/>
              </w:rPr>
              <w:t>Councillor</w:t>
            </w:r>
          </w:p>
        </w:tc>
        <w:tc>
          <w:tcPr>
            <w:tcW w:w="4530" w:type="dxa"/>
            <w:tcBorders>
              <w:top w:val="single" w:sz="4" w:space="0" w:color="auto"/>
              <w:left w:val="single" w:sz="4" w:space="0" w:color="auto"/>
              <w:bottom w:val="single" w:sz="4" w:space="0" w:color="auto"/>
              <w:right w:val="single" w:sz="4" w:space="0" w:color="auto"/>
            </w:tcBorders>
            <w:shd w:val="clear" w:color="auto" w:fill="00B0F0"/>
            <w:hideMark/>
          </w:tcPr>
          <w:p w14:paraId="0283197B" w14:textId="77777777" w:rsidR="006C5EF9" w:rsidRPr="006C5EF9" w:rsidRDefault="006C5EF9" w:rsidP="00F42537">
            <w:pPr>
              <w:jc w:val="both"/>
              <w:rPr>
                <w:b/>
                <w:bCs/>
              </w:rPr>
            </w:pPr>
            <w:r w:rsidRPr="006C5EF9">
              <w:rPr>
                <w:b/>
                <w:bCs/>
              </w:rPr>
              <w:t>Party</w:t>
            </w:r>
          </w:p>
        </w:tc>
        <w:bookmarkEnd w:id="145"/>
      </w:tr>
      <w:tr w:rsidR="006C5EF9" w:rsidRPr="006C5EF9" w14:paraId="54F60A55" w14:textId="77777777" w:rsidTr="006C5EF9">
        <w:trPr>
          <w:trHeight w:val="378"/>
        </w:trPr>
        <w:tc>
          <w:tcPr>
            <w:tcW w:w="5536" w:type="dxa"/>
            <w:tcBorders>
              <w:top w:val="single" w:sz="4" w:space="0" w:color="auto"/>
              <w:left w:val="single" w:sz="4" w:space="0" w:color="auto"/>
              <w:bottom w:val="single" w:sz="4" w:space="0" w:color="auto"/>
              <w:right w:val="single" w:sz="4" w:space="0" w:color="auto"/>
            </w:tcBorders>
            <w:hideMark/>
          </w:tcPr>
          <w:p w14:paraId="7BC1095D" w14:textId="77777777" w:rsidR="006C5EF9" w:rsidRPr="006C5EF9" w:rsidRDefault="006C5EF9" w:rsidP="00F42537">
            <w:pPr>
              <w:jc w:val="both"/>
              <w:rPr>
                <w:b/>
                <w:bCs/>
              </w:rPr>
            </w:pPr>
            <w:r w:rsidRPr="006C5EF9">
              <w:rPr>
                <w:b/>
                <w:bCs/>
              </w:rPr>
              <w:t>Emma Murphy</w:t>
            </w:r>
          </w:p>
        </w:tc>
        <w:tc>
          <w:tcPr>
            <w:tcW w:w="4530" w:type="dxa"/>
            <w:tcBorders>
              <w:top w:val="single" w:sz="4" w:space="0" w:color="auto"/>
              <w:left w:val="single" w:sz="4" w:space="0" w:color="auto"/>
              <w:bottom w:val="single" w:sz="4" w:space="0" w:color="auto"/>
              <w:right w:val="single" w:sz="4" w:space="0" w:color="auto"/>
            </w:tcBorders>
            <w:hideMark/>
          </w:tcPr>
          <w:p w14:paraId="37911C43" w14:textId="77777777" w:rsidR="006C5EF9" w:rsidRPr="006C5EF9" w:rsidRDefault="006C5EF9" w:rsidP="00F42537">
            <w:pPr>
              <w:jc w:val="both"/>
              <w:rPr>
                <w:b/>
                <w:bCs/>
              </w:rPr>
            </w:pPr>
            <w:r w:rsidRPr="006C5EF9">
              <w:rPr>
                <w:b/>
                <w:bCs/>
              </w:rPr>
              <w:t>FF</w:t>
            </w:r>
          </w:p>
        </w:tc>
      </w:tr>
      <w:tr w:rsidR="006C5EF9" w:rsidRPr="006C5EF9" w14:paraId="38490CC2" w14:textId="77777777" w:rsidTr="006C5EF9">
        <w:trPr>
          <w:trHeight w:val="378"/>
        </w:trPr>
        <w:tc>
          <w:tcPr>
            <w:tcW w:w="5536" w:type="dxa"/>
            <w:tcBorders>
              <w:top w:val="single" w:sz="4" w:space="0" w:color="auto"/>
              <w:left w:val="single" w:sz="4" w:space="0" w:color="auto"/>
              <w:bottom w:val="single" w:sz="4" w:space="0" w:color="auto"/>
              <w:right w:val="single" w:sz="4" w:space="0" w:color="auto"/>
            </w:tcBorders>
            <w:hideMark/>
          </w:tcPr>
          <w:p w14:paraId="7DF75077" w14:textId="77777777" w:rsidR="006C5EF9" w:rsidRPr="006C5EF9" w:rsidRDefault="006C5EF9" w:rsidP="00F42537">
            <w:pPr>
              <w:jc w:val="both"/>
              <w:rPr>
                <w:b/>
                <w:bCs/>
              </w:rPr>
            </w:pPr>
            <w:r w:rsidRPr="006C5EF9">
              <w:rPr>
                <w:b/>
                <w:bCs/>
              </w:rPr>
              <w:t>Shirley O’Hara</w:t>
            </w:r>
          </w:p>
        </w:tc>
        <w:tc>
          <w:tcPr>
            <w:tcW w:w="4530" w:type="dxa"/>
            <w:tcBorders>
              <w:top w:val="single" w:sz="4" w:space="0" w:color="auto"/>
              <w:left w:val="single" w:sz="4" w:space="0" w:color="auto"/>
              <w:bottom w:val="single" w:sz="4" w:space="0" w:color="auto"/>
              <w:right w:val="single" w:sz="4" w:space="0" w:color="auto"/>
            </w:tcBorders>
            <w:hideMark/>
          </w:tcPr>
          <w:p w14:paraId="13D6F386" w14:textId="77777777" w:rsidR="006C5EF9" w:rsidRPr="006C5EF9" w:rsidRDefault="006C5EF9" w:rsidP="00F42537">
            <w:pPr>
              <w:jc w:val="both"/>
              <w:rPr>
                <w:b/>
                <w:bCs/>
              </w:rPr>
            </w:pPr>
            <w:r w:rsidRPr="006C5EF9">
              <w:rPr>
                <w:b/>
                <w:bCs/>
              </w:rPr>
              <w:t>FG</w:t>
            </w:r>
          </w:p>
        </w:tc>
      </w:tr>
      <w:tr w:rsidR="006C5EF9" w:rsidRPr="006C5EF9" w14:paraId="77DFC0E4" w14:textId="77777777" w:rsidTr="006C5EF9">
        <w:trPr>
          <w:trHeight w:val="378"/>
        </w:trPr>
        <w:tc>
          <w:tcPr>
            <w:tcW w:w="5536" w:type="dxa"/>
            <w:tcBorders>
              <w:top w:val="single" w:sz="4" w:space="0" w:color="auto"/>
              <w:left w:val="single" w:sz="4" w:space="0" w:color="auto"/>
              <w:bottom w:val="single" w:sz="4" w:space="0" w:color="auto"/>
              <w:right w:val="single" w:sz="4" w:space="0" w:color="auto"/>
            </w:tcBorders>
            <w:hideMark/>
          </w:tcPr>
          <w:p w14:paraId="657B4757" w14:textId="77777777" w:rsidR="006C5EF9" w:rsidRPr="006C5EF9" w:rsidRDefault="006C5EF9" w:rsidP="00F42537">
            <w:pPr>
              <w:jc w:val="both"/>
              <w:rPr>
                <w:b/>
                <w:bCs/>
              </w:rPr>
            </w:pPr>
            <w:r w:rsidRPr="006C5EF9">
              <w:rPr>
                <w:b/>
                <w:bCs/>
              </w:rPr>
              <w:t>David McManus</w:t>
            </w:r>
          </w:p>
        </w:tc>
        <w:tc>
          <w:tcPr>
            <w:tcW w:w="4530" w:type="dxa"/>
            <w:tcBorders>
              <w:top w:val="single" w:sz="4" w:space="0" w:color="auto"/>
              <w:left w:val="single" w:sz="4" w:space="0" w:color="auto"/>
              <w:bottom w:val="single" w:sz="4" w:space="0" w:color="auto"/>
              <w:right w:val="single" w:sz="4" w:space="0" w:color="auto"/>
            </w:tcBorders>
            <w:hideMark/>
          </w:tcPr>
          <w:p w14:paraId="456CBEC7" w14:textId="77777777" w:rsidR="006C5EF9" w:rsidRPr="006C5EF9" w:rsidRDefault="006C5EF9" w:rsidP="00F42537">
            <w:pPr>
              <w:jc w:val="both"/>
              <w:rPr>
                <w:b/>
                <w:bCs/>
              </w:rPr>
            </w:pPr>
            <w:r w:rsidRPr="006C5EF9">
              <w:rPr>
                <w:b/>
                <w:bCs/>
              </w:rPr>
              <w:t>FG</w:t>
            </w:r>
          </w:p>
        </w:tc>
      </w:tr>
    </w:tbl>
    <w:p w14:paraId="5DF7DA8B" w14:textId="77777777" w:rsidR="006C5EF9" w:rsidRPr="006C5EF9" w:rsidRDefault="006C5EF9" w:rsidP="00F42537">
      <w:pPr>
        <w:spacing w:after="0" w:line="240" w:lineRule="auto"/>
        <w:jc w:val="both"/>
        <w:rPr>
          <w:b/>
          <w:bCs/>
        </w:rPr>
      </w:pPr>
    </w:p>
    <w:p w14:paraId="1D4C96AB" w14:textId="77777777" w:rsidR="001600B1" w:rsidRDefault="001600B1" w:rsidP="00F42537">
      <w:pPr>
        <w:spacing w:after="0" w:line="240" w:lineRule="auto"/>
        <w:jc w:val="both"/>
        <w:rPr>
          <w:b/>
          <w:bCs/>
        </w:rPr>
      </w:pPr>
      <w:bookmarkStart w:id="146" w:name="_Toc168915099"/>
    </w:p>
    <w:p w14:paraId="02A9C35E" w14:textId="720DFA6A" w:rsidR="006C5EF9" w:rsidRPr="006C5EF9" w:rsidRDefault="006C5EF9" w:rsidP="00F42537">
      <w:pPr>
        <w:spacing w:after="0" w:line="240" w:lineRule="auto"/>
        <w:jc w:val="both"/>
      </w:pPr>
      <w:r w:rsidRPr="006C5EF9">
        <w:rPr>
          <w:b/>
        </w:rPr>
        <w:t>Civic Theatre Committee</w:t>
      </w:r>
      <w:bookmarkEnd w:id="146"/>
    </w:p>
    <w:tbl>
      <w:tblPr>
        <w:tblStyle w:val="TableGrid"/>
        <w:tblpPr w:leftFromText="180" w:rightFromText="180" w:vertAnchor="text" w:horzAnchor="page" w:tblpX="1192" w:tblpY="277"/>
        <w:tblW w:w="9924" w:type="dxa"/>
        <w:tblLook w:val="04A0" w:firstRow="1" w:lastRow="0" w:firstColumn="1" w:lastColumn="0" w:noHBand="0" w:noVBand="1"/>
      </w:tblPr>
      <w:tblGrid>
        <w:gridCol w:w="5394"/>
        <w:gridCol w:w="4530"/>
      </w:tblGrid>
      <w:tr w:rsidR="006C5EF9" w:rsidRPr="006C5EF9" w14:paraId="3E469CDC" w14:textId="77777777" w:rsidTr="006C5EF9">
        <w:trPr>
          <w:trHeight w:val="378"/>
        </w:trPr>
        <w:tc>
          <w:tcPr>
            <w:tcW w:w="5394" w:type="dxa"/>
            <w:tcBorders>
              <w:top w:val="single" w:sz="4" w:space="0" w:color="auto"/>
              <w:left w:val="single" w:sz="4" w:space="0" w:color="auto"/>
              <w:bottom w:val="single" w:sz="4" w:space="0" w:color="auto"/>
              <w:right w:val="single" w:sz="4" w:space="0" w:color="auto"/>
            </w:tcBorders>
            <w:shd w:val="clear" w:color="auto" w:fill="00B0F0"/>
            <w:hideMark/>
          </w:tcPr>
          <w:p w14:paraId="45B89CF4" w14:textId="77777777" w:rsidR="006C5EF9" w:rsidRPr="006C5EF9" w:rsidRDefault="006C5EF9" w:rsidP="00F42537">
            <w:pPr>
              <w:jc w:val="both"/>
              <w:rPr>
                <w:b/>
                <w:bCs/>
              </w:rPr>
            </w:pPr>
            <w:r w:rsidRPr="006C5EF9">
              <w:rPr>
                <w:b/>
                <w:bCs/>
              </w:rPr>
              <w:t>Councillor</w:t>
            </w:r>
          </w:p>
        </w:tc>
        <w:tc>
          <w:tcPr>
            <w:tcW w:w="4530" w:type="dxa"/>
            <w:tcBorders>
              <w:top w:val="single" w:sz="4" w:space="0" w:color="auto"/>
              <w:left w:val="single" w:sz="4" w:space="0" w:color="auto"/>
              <w:bottom w:val="single" w:sz="4" w:space="0" w:color="auto"/>
              <w:right w:val="single" w:sz="4" w:space="0" w:color="auto"/>
            </w:tcBorders>
            <w:shd w:val="clear" w:color="auto" w:fill="00B0F0"/>
            <w:hideMark/>
          </w:tcPr>
          <w:p w14:paraId="566A1223" w14:textId="77777777" w:rsidR="006C5EF9" w:rsidRPr="006C5EF9" w:rsidRDefault="006C5EF9" w:rsidP="00F42537">
            <w:pPr>
              <w:jc w:val="both"/>
              <w:rPr>
                <w:b/>
                <w:bCs/>
              </w:rPr>
            </w:pPr>
            <w:r w:rsidRPr="006C5EF9">
              <w:rPr>
                <w:b/>
                <w:bCs/>
              </w:rPr>
              <w:t>Party</w:t>
            </w:r>
          </w:p>
        </w:tc>
      </w:tr>
      <w:tr w:rsidR="006C5EF9" w:rsidRPr="006C5EF9" w14:paraId="64EF88F6" w14:textId="77777777" w:rsidTr="006C5EF9">
        <w:trPr>
          <w:trHeight w:val="378"/>
        </w:trPr>
        <w:tc>
          <w:tcPr>
            <w:tcW w:w="5394" w:type="dxa"/>
            <w:tcBorders>
              <w:top w:val="single" w:sz="4" w:space="0" w:color="auto"/>
              <w:left w:val="single" w:sz="4" w:space="0" w:color="auto"/>
              <w:bottom w:val="single" w:sz="4" w:space="0" w:color="auto"/>
              <w:right w:val="single" w:sz="4" w:space="0" w:color="auto"/>
            </w:tcBorders>
            <w:hideMark/>
          </w:tcPr>
          <w:p w14:paraId="35FC7D16" w14:textId="77777777" w:rsidR="006C5EF9" w:rsidRPr="006C5EF9" w:rsidRDefault="006C5EF9" w:rsidP="00F42537">
            <w:pPr>
              <w:jc w:val="both"/>
              <w:rPr>
                <w:b/>
                <w:bCs/>
              </w:rPr>
            </w:pPr>
            <w:r w:rsidRPr="006C5EF9">
              <w:rPr>
                <w:b/>
                <w:bCs/>
              </w:rPr>
              <w:t>Britto Pereppadan</w:t>
            </w:r>
          </w:p>
        </w:tc>
        <w:tc>
          <w:tcPr>
            <w:tcW w:w="4530" w:type="dxa"/>
            <w:tcBorders>
              <w:top w:val="single" w:sz="4" w:space="0" w:color="auto"/>
              <w:left w:val="single" w:sz="4" w:space="0" w:color="auto"/>
              <w:bottom w:val="single" w:sz="4" w:space="0" w:color="auto"/>
              <w:right w:val="single" w:sz="4" w:space="0" w:color="auto"/>
            </w:tcBorders>
            <w:hideMark/>
          </w:tcPr>
          <w:p w14:paraId="325794AD" w14:textId="77777777" w:rsidR="006C5EF9" w:rsidRPr="006C5EF9" w:rsidRDefault="006C5EF9" w:rsidP="00F42537">
            <w:pPr>
              <w:jc w:val="both"/>
              <w:rPr>
                <w:b/>
                <w:bCs/>
              </w:rPr>
            </w:pPr>
            <w:r w:rsidRPr="006C5EF9">
              <w:rPr>
                <w:b/>
                <w:bCs/>
              </w:rPr>
              <w:t>FG</w:t>
            </w:r>
          </w:p>
        </w:tc>
      </w:tr>
      <w:tr w:rsidR="006C5EF9" w:rsidRPr="006C5EF9" w14:paraId="36693C60" w14:textId="77777777" w:rsidTr="006C5EF9">
        <w:trPr>
          <w:trHeight w:val="378"/>
        </w:trPr>
        <w:tc>
          <w:tcPr>
            <w:tcW w:w="5394" w:type="dxa"/>
            <w:tcBorders>
              <w:top w:val="single" w:sz="4" w:space="0" w:color="auto"/>
              <w:left w:val="single" w:sz="4" w:space="0" w:color="auto"/>
              <w:bottom w:val="single" w:sz="4" w:space="0" w:color="auto"/>
              <w:right w:val="single" w:sz="4" w:space="0" w:color="auto"/>
            </w:tcBorders>
          </w:tcPr>
          <w:p w14:paraId="54663695" w14:textId="77777777" w:rsidR="006C5EF9" w:rsidRPr="006C5EF9" w:rsidRDefault="006C5EF9" w:rsidP="00F42537">
            <w:pPr>
              <w:jc w:val="both"/>
              <w:rPr>
                <w:b/>
                <w:bCs/>
              </w:rPr>
            </w:pPr>
          </w:p>
        </w:tc>
        <w:tc>
          <w:tcPr>
            <w:tcW w:w="4530" w:type="dxa"/>
            <w:tcBorders>
              <w:top w:val="single" w:sz="4" w:space="0" w:color="auto"/>
              <w:left w:val="single" w:sz="4" w:space="0" w:color="auto"/>
              <w:bottom w:val="single" w:sz="4" w:space="0" w:color="auto"/>
              <w:right w:val="single" w:sz="4" w:space="0" w:color="auto"/>
            </w:tcBorders>
          </w:tcPr>
          <w:p w14:paraId="7048DD93" w14:textId="77777777" w:rsidR="006C5EF9" w:rsidRPr="006C5EF9" w:rsidRDefault="006C5EF9" w:rsidP="00F42537">
            <w:pPr>
              <w:jc w:val="both"/>
              <w:rPr>
                <w:b/>
                <w:bCs/>
              </w:rPr>
            </w:pPr>
          </w:p>
        </w:tc>
      </w:tr>
    </w:tbl>
    <w:p w14:paraId="7E3DFEF8" w14:textId="77777777" w:rsidR="006C5EF9" w:rsidRPr="006C5EF9" w:rsidRDefault="006C5EF9" w:rsidP="00F42537">
      <w:pPr>
        <w:spacing w:after="0" w:line="240" w:lineRule="auto"/>
        <w:jc w:val="both"/>
        <w:rPr>
          <w:b/>
          <w:bCs/>
        </w:rPr>
      </w:pPr>
    </w:p>
    <w:p w14:paraId="54BFB9C5" w14:textId="77777777" w:rsidR="006C5EF9" w:rsidRPr="006C5EF9" w:rsidRDefault="006C5EF9" w:rsidP="00F42537">
      <w:pPr>
        <w:spacing w:after="0" w:line="240" w:lineRule="auto"/>
        <w:jc w:val="both"/>
        <w:rPr>
          <w:b/>
          <w:bCs/>
        </w:rPr>
      </w:pPr>
    </w:p>
    <w:p w14:paraId="6AA47095" w14:textId="091D4478" w:rsidR="006C5EF9" w:rsidRPr="006C5EF9" w:rsidRDefault="006C5EF9" w:rsidP="00F42537">
      <w:pPr>
        <w:spacing w:after="0" w:line="240" w:lineRule="auto"/>
        <w:jc w:val="both"/>
        <w:rPr>
          <w:b/>
          <w:bCs/>
        </w:rPr>
      </w:pPr>
      <w:bookmarkStart w:id="147" w:name="_Toc168915100"/>
      <w:r w:rsidRPr="006C5EF9">
        <w:rPr>
          <w:b/>
        </w:rPr>
        <w:t xml:space="preserve">Clondalkin Local Drugs </w:t>
      </w:r>
      <w:r w:rsidR="0037035F">
        <w:rPr>
          <w:b/>
        </w:rPr>
        <w:t>and</w:t>
      </w:r>
      <w:r w:rsidRPr="006C5EF9">
        <w:rPr>
          <w:b/>
        </w:rPr>
        <w:t xml:space="preserve"> Alcohol Task Force</w:t>
      </w:r>
      <w:bookmarkEnd w:id="147"/>
    </w:p>
    <w:tbl>
      <w:tblPr>
        <w:tblStyle w:val="TableGrid"/>
        <w:tblpPr w:leftFromText="180" w:rightFromText="180" w:vertAnchor="text" w:horzAnchor="page" w:tblpX="1192" w:tblpY="277"/>
        <w:tblW w:w="9924" w:type="dxa"/>
        <w:tblLook w:val="04A0" w:firstRow="1" w:lastRow="0" w:firstColumn="1" w:lastColumn="0" w:noHBand="0" w:noVBand="1"/>
      </w:tblPr>
      <w:tblGrid>
        <w:gridCol w:w="5394"/>
        <w:gridCol w:w="4530"/>
      </w:tblGrid>
      <w:tr w:rsidR="006C5EF9" w:rsidRPr="006C5EF9" w14:paraId="7BDAF5CB" w14:textId="77777777" w:rsidTr="006C5EF9">
        <w:trPr>
          <w:trHeight w:val="378"/>
        </w:trPr>
        <w:tc>
          <w:tcPr>
            <w:tcW w:w="5394" w:type="dxa"/>
            <w:tcBorders>
              <w:top w:val="single" w:sz="4" w:space="0" w:color="auto"/>
              <w:left w:val="single" w:sz="4" w:space="0" w:color="auto"/>
              <w:bottom w:val="single" w:sz="4" w:space="0" w:color="auto"/>
              <w:right w:val="single" w:sz="4" w:space="0" w:color="auto"/>
            </w:tcBorders>
            <w:shd w:val="clear" w:color="auto" w:fill="00B0F0"/>
            <w:hideMark/>
          </w:tcPr>
          <w:p w14:paraId="417FFE0A" w14:textId="77777777" w:rsidR="006C5EF9" w:rsidRPr="006C5EF9" w:rsidRDefault="006C5EF9" w:rsidP="00F42537">
            <w:pPr>
              <w:jc w:val="both"/>
              <w:rPr>
                <w:b/>
                <w:bCs/>
              </w:rPr>
            </w:pPr>
            <w:r w:rsidRPr="006C5EF9">
              <w:rPr>
                <w:b/>
                <w:bCs/>
              </w:rPr>
              <w:t>Councillor</w:t>
            </w:r>
          </w:p>
        </w:tc>
        <w:tc>
          <w:tcPr>
            <w:tcW w:w="4530" w:type="dxa"/>
            <w:tcBorders>
              <w:top w:val="single" w:sz="4" w:space="0" w:color="auto"/>
              <w:left w:val="single" w:sz="4" w:space="0" w:color="auto"/>
              <w:bottom w:val="single" w:sz="4" w:space="0" w:color="auto"/>
              <w:right w:val="single" w:sz="4" w:space="0" w:color="auto"/>
            </w:tcBorders>
            <w:shd w:val="clear" w:color="auto" w:fill="00B0F0"/>
            <w:hideMark/>
          </w:tcPr>
          <w:p w14:paraId="66418D69" w14:textId="77777777" w:rsidR="006C5EF9" w:rsidRPr="006C5EF9" w:rsidRDefault="006C5EF9" w:rsidP="00F42537">
            <w:pPr>
              <w:jc w:val="both"/>
              <w:rPr>
                <w:b/>
                <w:bCs/>
              </w:rPr>
            </w:pPr>
            <w:r w:rsidRPr="006C5EF9">
              <w:rPr>
                <w:b/>
                <w:bCs/>
              </w:rPr>
              <w:t>Party</w:t>
            </w:r>
          </w:p>
        </w:tc>
      </w:tr>
      <w:tr w:rsidR="006C5EF9" w:rsidRPr="006C5EF9" w14:paraId="49466F8E" w14:textId="77777777" w:rsidTr="006C5EF9">
        <w:trPr>
          <w:trHeight w:val="378"/>
        </w:trPr>
        <w:tc>
          <w:tcPr>
            <w:tcW w:w="5394" w:type="dxa"/>
            <w:tcBorders>
              <w:top w:val="single" w:sz="4" w:space="0" w:color="auto"/>
              <w:left w:val="single" w:sz="4" w:space="0" w:color="auto"/>
              <w:bottom w:val="single" w:sz="4" w:space="0" w:color="auto"/>
              <w:right w:val="single" w:sz="4" w:space="0" w:color="auto"/>
            </w:tcBorders>
            <w:hideMark/>
          </w:tcPr>
          <w:p w14:paraId="1A14683B" w14:textId="77777777" w:rsidR="006C5EF9" w:rsidRPr="006C5EF9" w:rsidRDefault="006C5EF9" w:rsidP="00F42537">
            <w:pPr>
              <w:jc w:val="both"/>
              <w:rPr>
                <w:b/>
                <w:bCs/>
              </w:rPr>
            </w:pPr>
            <w:r w:rsidRPr="006C5EF9">
              <w:rPr>
                <w:b/>
                <w:bCs/>
              </w:rPr>
              <w:t>Madeleine Johansson</w:t>
            </w:r>
          </w:p>
        </w:tc>
        <w:tc>
          <w:tcPr>
            <w:tcW w:w="4530" w:type="dxa"/>
            <w:tcBorders>
              <w:top w:val="single" w:sz="4" w:space="0" w:color="auto"/>
              <w:left w:val="single" w:sz="4" w:space="0" w:color="auto"/>
              <w:bottom w:val="single" w:sz="4" w:space="0" w:color="auto"/>
              <w:right w:val="single" w:sz="4" w:space="0" w:color="auto"/>
            </w:tcBorders>
            <w:hideMark/>
          </w:tcPr>
          <w:p w14:paraId="1BEF6019" w14:textId="77777777" w:rsidR="006C5EF9" w:rsidRPr="006C5EF9" w:rsidRDefault="006C5EF9" w:rsidP="00F42537">
            <w:pPr>
              <w:jc w:val="both"/>
              <w:rPr>
                <w:b/>
                <w:bCs/>
              </w:rPr>
            </w:pPr>
            <w:r w:rsidRPr="006C5EF9">
              <w:rPr>
                <w:b/>
                <w:bCs/>
              </w:rPr>
              <w:t>PBP</w:t>
            </w:r>
          </w:p>
        </w:tc>
      </w:tr>
      <w:tr w:rsidR="006C5EF9" w:rsidRPr="006C5EF9" w14:paraId="7146CEDC" w14:textId="77777777" w:rsidTr="006C5EF9">
        <w:trPr>
          <w:trHeight w:val="378"/>
        </w:trPr>
        <w:tc>
          <w:tcPr>
            <w:tcW w:w="5394" w:type="dxa"/>
            <w:tcBorders>
              <w:top w:val="single" w:sz="4" w:space="0" w:color="auto"/>
              <w:left w:val="single" w:sz="4" w:space="0" w:color="auto"/>
              <w:bottom w:val="single" w:sz="4" w:space="0" w:color="auto"/>
              <w:right w:val="single" w:sz="4" w:space="0" w:color="auto"/>
            </w:tcBorders>
            <w:hideMark/>
          </w:tcPr>
          <w:p w14:paraId="2E327793" w14:textId="77777777" w:rsidR="006C5EF9" w:rsidRPr="006C5EF9" w:rsidRDefault="006C5EF9" w:rsidP="00F42537">
            <w:pPr>
              <w:jc w:val="both"/>
              <w:rPr>
                <w:b/>
                <w:bCs/>
              </w:rPr>
            </w:pPr>
            <w:r w:rsidRPr="006C5EF9">
              <w:rPr>
                <w:b/>
                <w:bCs/>
              </w:rPr>
              <w:t>William Carey</w:t>
            </w:r>
          </w:p>
        </w:tc>
        <w:tc>
          <w:tcPr>
            <w:tcW w:w="4530" w:type="dxa"/>
            <w:tcBorders>
              <w:top w:val="single" w:sz="4" w:space="0" w:color="auto"/>
              <w:left w:val="single" w:sz="4" w:space="0" w:color="auto"/>
              <w:bottom w:val="single" w:sz="4" w:space="0" w:color="auto"/>
              <w:right w:val="single" w:sz="4" w:space="0" w:color="auto"/>
            </w:tcBorders>
            <w:hideMark/>
          </w:tcPr>
          <w:p w14:paraId="612205D6" w14:textId="77777777" w:rsidR="006C5EF9" w:rsidRPr="006C5EF9" w:rsidRDefault="006C5EF9" w:rsidP="00F42537">
            <w:pPr>
              <w:jc w:val="both"/>
              <w:rPr>
                <w:b/>
                <w:bCs/>
              </w:rPr>
            </w:pPr>
            <w:r w:rsidRPr="006C5EF9">
              <w:rPr>
                <w:b/>
                <w:bCs/>
              </w:rPr>
              <w:t>SF</w:t>
            </w:r>
          </w:p>
        </w:tc>
      </w:tr>
      <w:tr w:rsidR="006C5EF9" w:rsidRPr="006C5EF9" w14:paraId="5F7483BA" w14:textId="77777777" w:rsidTr="006C5EF9">
        <w:trPr>
          <w:trHeight w:val="378"/>
        </w:trPr>
        <w:tc>
          <w:tcPr>
            <w:tcW w:w="5394" w:type="dxa"/>
            <w:tcBorders>
              <w:top w:val="single" w:sz="4" w:space="0" w:color="auto"/>
              <w:left w:val="single" w:sz="4" w:space="0" w:color="auto"/>
              <w:bottom w:val="single" w:sz="4" w:space="0" w:color="auto"/>
              <w:right w:val="single" w:sz="4" w:space="0" w:color="auto"/>
            </w:tcBorders>
            <w:hideMark/>
          </w:tcPr>
          <w:p w14:paraId="447AD23F" w14:textId="77777777" w:rsidR="006C5EF9" w:rsidRPr="006C5EF9" w:rsidRDefault="006C5EF9" w:rsidP="00F42537">
            <w:pPr>
              <w:jc w:val="both"/>
              <w:rPr>
                <w:b/>
                <w:bCs/>
              </w:rPr>
            </w:pPr>
            <w:r w:rsidRPr="006C5EF9">
              <w:rPr>
                <w:b/>
                <w:bCs/>
              </w:rPr>
              <w:t>Eoin Ó Broin</w:t>
            </w:r>
          </w:p>
        </w:tc>
        <w:tc>
          <w:tcPr>
            <w:tcW w:w="4530" w:type="dxa"/>
            <w:tcBorders>
              <w:top w:val="single" w:sz="4" w:space="0" w:color="auto"/>
              <w:left w:val="single" w:sz="4" w:space="0" w:color="auto"/>
              <w:bottom w:val="single" w:sz="4" w:space="0" w:color="auto"/>
              <w:right w:val="single" w:sz="4" w:space="0" w:color="auto"/>
            </w:tcBorders>
            <w:hideMark/>
          </w:tcPr>
          <w:p w14:paraId="36E08C56" w14:textId="77777777" w:rsidR="006C5EF9" w:rsidRPr="006C5EF9" w:rsidRDefault="006C5EF9" w:rsidP="00F42537">
            <w:pPr>
              <w:jc w:val="both"/>
              <w:rPr>
                <w:b/>
                <w:bCs/>
              </w:rPr>
            </w:pPr>
            <w:r w:rsidRPr="006C5EF9">
              <w:rPr>
                <w:b/>
                <w:bCs/>
              </w:rPr>
              <w:t>SD</w:t>
            </w:r>
          </w:p>
        </w:tc>
      </w:tr>
    </w:tbl>
    <w:p w14:paraId="13EE5129" w14:textId="77777777" w:rsidR="006C5EF9" w:rsidRPr="006C5EF9" w:rsidRDefault="006C5EF9" w:rsidP="00F42537">
      <w:pPr>
        <w:spacing w:after="0" w:line="240" w:lineRule="auto"/>
        <w:jc w:val="both"/>
        <w:rPr>
          <w:b/>
          <w:bCs/>
        </w:rPr>
      </w:pPr>
    </w:p>
    <w:p w14:paraId="47665739" w14:textId="77777777" w:rsidR="006C5EF9" w:rsidRPr="006C5EF9" w:rsidRDefault="006C5EF9" w:rsidP="00F42537">
      <w:pPr>
        <w:spacing w:after="0" w:line="240" w:lineRule="auto"/>
        <w:jc w:val="both"/>
        <w:rPr>
          <w:b/>
          <w:bCs/>
        </w:rPr>
      </w:pPr>
    </w:p>
    <w:p w14:paraId="78661F46" w14:textId="73B2FC4B" w:rsidR="006C5EF9" w:rsidRPr="006C5EF9" w:rsidRDefault="006C5EF9" w:rsidP="00F42537">
      <w:pPr>
        <w:spacing w:after="0" w:line="240" w:lineRule="auto"/>
        <w:jc w:val="both"/>
        <w:rPr>
          <w:b/>
          <w:bCs/>
        </w:rPr>
      </w:pPr>
      <w:bookmarkStart w:id="148" w:name="_Toc168915101"/>
      <w:r w:rsidRPr="006C5EF9">
        <w:rPr>
          <w:b/>
        </w:rPr>
        <w:t xml:space="preserve">Dublin and </w:t>
      </w:r>
      <w:proofErr w:type="spellStart"/>
      <w:r w:rsidRPr="006C5EF9">
        <w:rPr>
          <w:b/>
        </w:rPr>
        <w:t>Dún</w:t>
      </w:r>
      <w:proofErr w:type="spellEnd"/>
      <w:r w:rsidRPr="006C5EF9">
        <w:rPr>
          <w:b/>
        </w:rPr>
        <w:t xml:space="preserve"> Laoghaire Education and Training Board</w:t>
      </w:r>
      <w:bookmarkEnd w:id="148"/>
    </w:p>
    <w:tbl>
      <w:tblPr>
        <w:tblStyle w:val="TableGrid"/>
        <w:tblpPr w:leftFromText="180" w:rightFromText="180" w:vertAnchor="text" w:horzAnchor="page" w:tblpX="1192" w:tblpY="277"/>
        <w:tblW w:w="9924" w:type="dxa"/>
        <w:tblLook w:val="04A0" w:firstRow="1" w:lastRow="0" w:firstColumn="1" w:lastColumn="0" w:noHBand="0" w:noVBand="1"/>
      </w:tblPr>
      <w:tblGrid>
        <w:gridCol w:w="5394"/>
        <w:gridCol w:w="4530"/>
      </w:tblGrid>
      <w:tr w:rsidR="006C5EF9" w:rsidRPr="006C5EF9" w14:paraId="29E8C850" w14:textId="77777777" w:rsidTr="006C5EF9">
        <w:trPr>
          <w:trHeight w:val="378"/>
        </w:trPr>
        <w:tc>
          <w:tcPr>
            <w:tcW w:w="5394" w:type="dxa"/>
            <w:tcBorders>
              <w:top w:val="single" w:sz="4" w:space="0" w:color="auto"/>
              <w:left w:val="single" w:sz="4" w:space="0" w:color="auto"/>
              <w:bottom w:val="single" w:sz="4" w:space="0" w:color="auto"/>
              <w:right w:val="single" w:sz="4" w:space="0" w:color="auto"/>
            </w:tcBorders>
            <w:shd w:val="clear" w:color="auto" w:fill="00B0F0"/>
            <w:hideMark/>
          </w:tcPr>
          <w:p w14:paraId="00CAB40C" w14:textId="77777777" w:rsidR="006C5EF9" w:rsidRPr="006C5EF9" w:rsidRDefault="006C5EF9" w:rsidP="00F42537">
            <w:pPr>
              <w:jc w:val="both"/>
              <w:rPr>
                <w:b/>
                <w:bCs/>
              </w:rPr>
            </w:pPr>
            <w:r w:rsidRPr="006C5EF9">
              <w:rPr>
                <w:b/>
                <w:bCs/>
              </w:rPr>
              <w:t>Councillor</w:t>
            </w:r>
          </w:p>
        </w:tc>
        <w:tc>
          <w:tcPr>
            <w:tcW w:w="4530" w:type="dxa"/>
            <w:tcBorders>
              <w:top w:val="single" w:sz="4" w:space="0" w:color="auto"/>
              <w:left w:val="single" w:sz="4" w:space="0" w:color="auto"/>
              <w:bottom w:val="single" w:sz="4" w:space="0" w:color="auto"/>
              <w:right w:val="single" w:sz="4" w:space="0" w:color="auto"/>
            </w:tcBorders>
            <w:shd w:val="clear" w:color="auto" w:fill="00B0F0"/>
            <w:hideMark/>
          </w:tcPr>
          <w:p w14:paraId="7B69EE52" w14:textId="77777777" w:rsidR="006C5EF9" w:rsidRPr="006C5EF9" w:rsidRDefault="006C5EF9" w:rsidP="00F42537">
            <w:pPr>
              <w:jc w:val="both"/>
              <w:rPr>
                <w:b/>
                <w:bCs/>
              </w:rPr>
            </w:pPr>
            <w:r w:rsidRPr="006C5EF9">
              <w:rPr>
                <w:b/>
                <w:bCs/>
              </w:rPr>
              <w:t>Party</w:t>
            </w:r>
          </w:p>
        </w:tc>
      </w:tr>
      <w:tr w:rsidR="006C5EF9" w:rsidRPr="006C5EF9" w14:paraId="6883E53A" w14:textId="77777777" w:rsidTr="006C5EF9">
        <w:trPr>
          <w:trHeight w:val="378"/>
        </w:trPr>
        <w:tc>
          <w:tcPr>
            <w:tcW w:w="5394" w:type="dxa"/>
            <w:tcBorders>
              <w:top w:val="single" w:sz="4" w:space="0" w:color="auto"/>
              <w:left w:val="single" w:sz="4" w:space="0" w:color="auto"/>
              <w:bottom w:val="single" w:sz="4" w:space="0" w:color="auto"/>
              <w:right w:val="single" w:sz="4" w:space="0" w:color="auto"/>
            </w:tcBorders>
            <w:hideMark/>
          </w:tcPr>
          <w:p w14:paraId="62596221" w14:textId="77777777" w:rsidR="006C5EF9" w:rsidRPr="006C5EF9" w:rsidRDefault="006C5EF9" w:rsidP="00F42537">
            <w:pPr>
              <w:jc w:val="both"/>
              <w:rPr>
                <w:b/>
                <w:bCs/>
              </w:rPr>
            </w:pPr>
            <w:r w:rsidRPr="006C5EF9">
              <w:rPr>
                <w:b/>
                <w:bCs/>
              </w:rPr>
              <w:t>Yvonne Collins</w:t>
            </w:r>
          </w:p>
        </w:tc>
        <w:tc>
          <w:tcPr>
            <w:tcW w:w="4530" w:type="dxa"/>
            <w:tcBorders>
              <w:top w:val="single" w:sz="4" w:space="0" w:color="auto"/>
              <w:left w:val="single" w:sz="4" w:space="0" w:color="auto"/>
              <w:bottom w:val="single" w:sz="4" w:space="0" w:color="auto"/>
              <w:right w:val="single" w:sz="4" w:space="0" w:color="auto"/>
            </w:tcBorders>
            <w:hideMark/>
          </w:tcPr>
          <w:p w14:paraId="1A166741" w14:textId="77777777" w:rsidR="006C5EF9" w:rsidRPr="006C5EF9" w:rsidRDefault="006C5EF9" w:rsidP="00F42537">
            <w:pPr>
              <w:jc w:val="both"/>
              <w:rPr>
                <w:b/>
                <w:bCs/>
              </w:rPr>
            </w:pPr>
            <w:r w:rsidRPr="006C5EF9">
              <w:rPr>
                <w:b/>
                <w:bCs/>
              </w:rPr>
              <w:t>FF</w:t>
            </w:r>
          </w:p>
        </w:tc>
      </w:tr>
      <w:tr w:rsidR="006C5EF9" w:rsidRPr="006C5EF9" w14:paraId="7205B8C9" w14:textId="77777777" w:rsidTr="006C5EF9">
        <w:trPr>
          <w:trHeight w:val="378"/>
        </w:trPr>
        <w:tc>
          <w:tcPr>
            <w:tcW w:w="5394" w:type="dxa"/>
            <w:tcBorders>
              <w:top w:val="single" w:sz="4" w:space="0" w:color="auto"/>
              <w:left w:val="single" w:sz="4" w:space="0" w:color="auto"/>
              <w:bottom w:val="single" w:sz="4" w:space="0" w:color="auto"/>
              <w:right w:val="single" w:sz="4" w:space="0" w:color="auto"/>
            </w:tcBorders>
            <w:hideMark/>
          </w:tcPr>
          <w:p w14:paraId="26FDE040" w14:textId="77777777" w:rsidR="006C5EF9" w:rsidRPr="006C5EF9" w:rsidRDefault="006C5EF9" w:rsidP="00F42537">
            <w:pPr>
              <w:jc w:val="both"/>
              <w:rPr>
                <w:b/>
                <w:bCs/>
              </w:rPr>
            </w:pPr>
            <w:r w:rsidRPr="006C5EF9">
              <w:rPr>
                <w:b/>
                <w:bCs/>
              </w:rPr>
              <w:t>Pamela Kearns</w:t>
            </w:r>
          </w:p>
        </w:tc>
        <w:tc>
          <w:tcPr>
            <w:tcW w:w="4530" w:type="dxa"/>
            <w:tcBorders>
              <w:top w:val="single" w:sz="4" w:space="0" w:color="auto"/>
              <w:left w:val="single" w:sz="4" w:space="0" w:color="auto"/>
              <w:bottom w:val="single" w:sz="4" w:space="0" w:color="auto"/>
              <w:right w:val="single" w:sz="4" w:space="0" w:color="auto"/>
            </w:tcBorders>
            <w:hideMark/>
          </w:tcPr>
          <w:p w14:paraId="7490CC97" w14:textId="77777777" w:rsidR="006C5EF9" w:rsidRPr="006C5EF9" w:rsidRDefault="006C5EF9" w:rsidP="00F42537">
            <w:pPr>
              <w:jc w:val="both"/>
              <w:rPr>
                <w:b/>
                <w:bCs/>
              </w:rPr>
            </w:pPr>
            <w:r w:rsidRPr="006C5EF9">
              <w:rPr>
                <w:b/>
                <w:bCs/>
              </w:rPr>
              <w:t>LAB</w:t>
            </w:r>
          </w:p>
        </w:tc>
      </w:tr>
      <w:tr w:rsidR="006C5EF9" w:rsidRPr="006C5EF9" w14:paraId="33EC7CFD" w14:textId="77777777" w:rsidTr="006C5EF9">
        <w:trPr>
          <w:trHeight w:val="378"/>
        </w:trPr>
        <w:tc>
          <w:tcPr>
            <w:tcW w:w="5394" w:type="dxa"/>
            <w:tcBorders>
              <w:top w:val="single" w:sz="4" w:space="0" w:color="auto"/>
              <w:left w:val="single" w:sz="4" w:space="0" w:color="auto"/>
              <w:bottom w:val="single" w:sz="4" w:space="0" w:color="auto"/>
              <w:right w:val="single" w:sz="4" w:space="0" w:color="auto"/>
            </w:tcBorders>
            <w:hideMark/>
          </w:tcPr>
          <w:p w14:paraId="608EE1A4" w14:textId="77777777" w:rsidR="006C5EF9" w:rsidRPr="006C5EF9" w:rsidRDefault="006C5EF9" w:rsidP="00F42537">
            <w:pPr>
              <w:jc w:val="both"/>
              <w:rPr>
                <w:b/>
                <w:bCs/>
              </w:rPr>
            </w:pPr>
            <w:r w:rsidRPr="006C5EF9">
              <w:rPr>
                <w:b/>
                <w:bCs/>
              </w:rPr>
              <w:t>Vicki Casserly</w:t>
            </w:r>
          </w:p>
        </w:tc>
        <w:tc>
          <w:tcPr>
            <w:tcW w:w="4530" w:type="dxa"/>
            <w:tcBorders>
              <w:top w:val="single" w:sz="4" w:space="0" w:color="auto"/>
              <w:left w:val="single" w:sz="4" w:space="0" w:color="auto"/>
              <w:bottom w:val="single" w:sz="4" w:space="0" w:color="auto"/>
              <w:right w:val="single" w:sz="4" w:space="0" w:color="auto"/>
            </w:tcBorders>
            <w:hideMark/>
          </w:tcPr>
          <w:p w14:paraId="64733CB3" w14:textId="77777777" w:rsidR="006C5EF9" w:rsidRPr="006C5EF9" w:rsidRDefault="006C5EF9" w:rsidP="00F42537">
            <w:pPr>
              <w:jc w:val="both"/>
              <w:rPr>
                <w:b/>
                <w:bCs/>
              </w:rPr>
            </w:pPr>
            <w:r w:rsidRPr="006C5EF9">
              <w:rPr>
                <w:b/>
                <w:bCs/>
              </w:rPr>
              <w:t>FG</w:t>
            </w:r>
          </w:p>
        </w:tc>
      </w:tr>
      <w:tr w:rsidR="006C5EF9" w:rsidRPr="006C5EF9" w14:paraId="54984316" w14:textId="77777777" w:rsidTr="006C5EF9">
        <w:trPr>
          <w:trHeight w:val="378"/>
        </w:trPr>
        <w:tc>
          <w:tcPr>
            <w:tcW w:w="5394" w:type="dxa"/>
            <w:tcBorders>
              <w:top w:val="single" w:sz="4" w:space="0" w:color="auto"/>
              <w:left w:val="single" w:sz="4" w:space="0" w:color="auto"/>
              <w:bottom w:val="single" w:sz="4" w:space="0" w:color="auto"/>
              <w:right w:val="single" w:sz="4" w:space="0" w:color="auto"/>
            </w:tcBorders>
            <w:hideMark/>
          </w:tcPr>
          <w:p w14:paraId="1283C736" w14:textId="77777777" w:rsidR="006C5EF9" w:rsidRPr="006C5EF9" w:rsidRDefault="006C5EF9" w:rsidP="00F42537">
            <w:pPr>
              <w:jc w:val="both"/>
              <w:rPr>
                <w:b/>
                <w:bCs/>
              </w:rPr>
            </w:pPr>
            <w:r w:rsidRPr="006C5EF9">
              <w:rPr>
                <w:b/>
                <w:bCs/>
              </w:rPr>
              <w:t>Mick Duff</w:t>
            </w:r>
          </w:p>
        </w:tc>
        <w:tc>
          <w:tcPr>
            <w:tcW w:w="4530" w:type="dxa"/>
            <w:tcBorders>
              <w:top w:val="single" w:sz="4" w:space="0" w:color="auto"/>
              <w:left w:val="single" w:sz="4" w:space="0" w:color="auto"/>
              <w:bottom w:val="single" w:sz="4" w:space="0" w:color="auto"/>
              <w:right w:val="single" w:sz="4" w:space="0" w:color="auto"/>
            </w:tcBorders>
            <w:hideMark/>
          </w:tcPr>
          <w:p w14:paraId="647E192A" w14:textId="77777777" w:rsidR="006C5EF9" w:rsidRPr="006C5EF9" w:rsidRDefault="006C5EF9" w:rsidP="00F42537">
            <w:pPr>
              <w:jc w:val="both"/>
              <w:rPr>
                <w:b/>
                <w:bCs/>
              </w:rPr>
            </w:pPr>
            <w:r w:rsidRPr="006C5EF9">
              <w:rPr>
                <w:b/>
                <w:bCs/>
              </w:rPr>
              <w:t>IND</w:t>
            </w:r>
          </w:p>
        </w:tc>
      </w:tr>
    </w:tbl>
    <w:p w14:paraId="7052933B" w14:textId="77777777" w:rsidR="006C5EF9" w:rsidRPr="006C5EF9" w:rsidRDefault="006C5EF9" w:rsidP="00F42537">
      <w:pPr>
        <w:spacing w:after="0" w:line="240" w:lineRule="auto"/>
        <w:jc w:val="both"/>
        <w:rPr>
          <w:b/>
          <w:bCs/>
        </w:rPr>
      </w:pPr>
    </w:p>
    <w:p w14:paraId="1DFCAF5C" w14:textId="77777777" w:rsidR="001600B1" w:rsidRDefault="001600B1" w:rsidP="00F42537">
      <w:pPr>
        <w:spacing w:after="0" w:line="240" w:lineRule="auto"/>
        <w:jc w:val="both"/>
        <w:rPr>
          <w:b/>
          <w:bCs/>
        </w:rPr>
      </w:pPr>
      <w:bookmarkStart w:id="149" w:name="_Toc168915102"/>
    </w:p>
    <w:p w14:paraId="2D27E0D0" w14:textId="1E3CCFCD" w:rsidR="006C5EF9" w:rsidRPr="006C5EF9" w:rsidRDefault="006C5EF9" w:rsidP="00F42537">
      <w:pPr>
        <w:spacing w:after="0" w:line="240" w:lineRule="auto"/>
        <w:jc w:val="both"/>
      </w:pPr>
      <w:r w:rsidRPr="006C5EF9">
        <w:rPr>
          <w:b/>
        </w:rPr>
        <w:t>Dublin 12 Local Drugs Task Force</w:t>
      </w:r>
      <w:bookmarkEnd w:id="149"/>
    </w:p>
    <w:tbl>
      <w:tblPr>
        <w:tblStyle w:val="TableGrid"/>
        <w:tblpPr w:leftFromText="180" w:rightFromText="180" w:vertAnchor="text" w:horzAnchor="page" w:tblpX="1192" w:tblpY="277"/>
        <w:tblW w:w="9924" w:type="dxa"/>
        <w:tblLook w:val="04A0" w:firstRow="1" w:lastRow="0" w:firstColumn="1" w:lastColumn="0" w:noHBand="0" w:noVBand="1"/>
      </w:tblPr>
      <w:tblGrid>
        <w:gridCol w:w="5394"/>
        <w:gridCol w:w="4530"/>
      </w:tblGrid>
      <w:tr w:rsidR="006C5EF9" w:rsidRPr="006C5EF9" w14:paraId="006F60DF" w14:textId="77777777" w:rsidTr="006C5EF9">
        <w:trPr>
          <w:trHeight w:val="378"/>
        </w:trPr>
        <w:tc>
          <w:tcPr>
            <w:tcW w:w="5394" w:type="dxa"/>
            <w:tcBorders>
              <w:top w:val="single" w:sz="4" w:space="0" w:color="auto"/>
              <w:left w:val="single" w:sz="4" w:space="0" w:color="auto"/>
              <w:bottom w:val="single" w:sz="4" w:space="0" w:color="auto"/>
              <w:right w:val="single" w:sz="4" w:space="0" w:color="auto"/>
            </w:tcBorders>
            <w:shd w:val="clear" w:color="auto" w:fill="00B0F0"/>
            <w:hideMark/>
          </w:tcPr>
          <w:p w14:paraId="6DE8676C" w14:textId="77777777" w:rsidR="006C5EF9" w:rsidRPr="006C5EF9" w:rsidRDefault="006C5EF9" w:rsidP="00F42537">
            <w:pPr>
              <w:jc w:val="both"/>
              <w:rPr>
                <w:b/>
                <w:bCs/>
              </w:rPr>
            </w:pPr>
            <w:r w:rsidRPr="006C5EF9">
              <w:rPr>
                <w:b/>
                <w:bCs/>
              </w:rPr>
              <w:t>Councillor</w:t>
            </w:r>
          </w:p>
        </w:tc>
        <w:tc>
          <w:tcPr>
            <w:tcW w:w="4530" w:type="dxa"/>
            <w:tcBorders>
              <w:top w:val="single" w:sz="4" w:space="0" w:color="auto"/>
              <w:left w:val="single" w:sz="4" w:space="0" w:color="auto"/>
              <w:bottom w:val="single" w:sz="4" w:space="0" w:color="auto"/>
              <w:right w:val="single" w:sz="4" w:space="0" w:color="auto"/>
            </w:tcBorders>
            <w:shd w:val="clear" w:color="auto" w:fill="00B0F0"/>
            <w:hideMark/>
          </w:tcPr>
          <w:p w14:paraId="07D48E9A" w14:textId="77777777" w:rsidR="006C5EF9" w:rsidRPr="006C5EF9" w:rsidRDefault="006C5EF9" w:rsidP="00F42537">
            <w:pPr>
              <w:jc w:val="both"/>
              <w:rPr>
                <w:b/>
                <w:bCs/>
              </w:rPr>
            </w:pPr>
            <w:r w:rsidRPr="006C5EF9">
              <w:rPr>
                <w:b/>
                <w:bCs/>
              </w:rPr>
              <w:t>Party</w:t>
            </w:r>
          </w:p>
        </w:tc>
      </w:tr>
      <w:tr w:rsidR="006C5EF9" w:rsidRPr="006C5EF9" w14:paraId="0110E381" w14:textId="77777777" w:rsidTr="006C5EF9">
        <w:trPr>
          <w:trHeight w:val="378"/>
        </w:trPr>
        <w:tc>
          <w:tcPr>
            <w:tcW w:w="5394" w:type="dxa"/>
            <w:tcBorders>
              <w:top w:val="single" w:sz="4" w:space="0" w:color="auto"/>
              <w:left w:val="single" w:sz="4" w:space="0" w:color="auto"/>
              <w:bottom w:val="single" w:sz="4" w:space="0" w:color="auto"/>
              <w:right w:val="single" w:sz="4" w:space="0" w:color="auto"/>
            </w:tcBorders>
            <w:hideMark/>
          </w:tcPr>
          <w:p w14:paraId="4BE403F5" w14:textId="77777777" w:rsidR="006C5EF9" w:rsidRPr="006C5EF9" w:rsidRDefault="006C5EF9" w:rsidP="00F42537">
            <w:pPr>
              <w:jc w:val="both"/>
              <w:rPr>
                <w:b/>
                <w:bCs/>
              </w:rPr>
            </w:pPr>
            <w:r w:rsidRPr="006C5EF9">
              <w:rPr>
                <w:b/>
                <w:bCs/>
              </w:rPr>
              <w:t>Pamela Kearns</w:t>
            </w:r>
          </w:p>
        </w:tc>
        <w:tc>
          <w:tcPr>
            <w:tcW w:w="4530" w:type="dxa"/>
            <w:tcBorders>
              <w:top w:val="single" w:sz="4" w:space="0" w:color="auto"/>
              <w:left w:val="single" w:sz="4" w:space="0" w:color="auto"/>
              <w:bottom w:val="single" w:sz="4" w:space="0" w:color="auto"/>
              <w:right w:val="single" w:sz="4" w:space="0" w:color="auto"/>
            </w:tcBorders>
            <w:hideMark/>
          </w:tcPr>
          <w:p w14:paraId="0578A9A5" w14:textId="77777777" w:rsidR="006C5EF9" w:rsidRPr="006C5EF9" w:rsidRDefault="006C5EF9" w:rsidP="00F42537">
            <w:pPr>
              <w:jc w:val="both"/>
              <w:rPr>
                <w:b/>
                <w:bCs/>
              </w:rPr>
            </w:pPr>
            <w:r w:rsidRPr="006C5EF9">
              <w:rPr>
                <w:b/>
                <w:bCs/>
              </w:rPr>
              <w:t>LAB</w:t>
            </w:r>
          </w:p>
        </w:tc>
      </w:tr>
    </w:tbl>
    <w:p w14:paraId="620D6988" w14:textId="77777777" w:rsidR="006C5EF9" w:rsidRPr="006C5EF9" w:rsidRDefault="006C5EF9" w:rsidP="00F42537">
      <w:pPr>
        <w:spacing w:after="0" w:line="240" w:lineRule="auto"/>
        <w:jc w:val="both"/>
        <w:rPr>
          <w:b/>
          <w:bCs/>
        </w:rPr>
      </w:pPr>
    </w:p>
    <w:p w14:paraId="37968124" w14:textId="77777777" w:rsidR="006C5EF9" w:rsidRPr="006C5EF9" w:rsidRDefault="006C5EF9" w:rsidP="00F42537">
      <w:pPr>
        <w:spacing w:after="0" w:line="240" w:lineRule="auto"/>
        <w:jc w:val="both"/>
        <w:rPr>
          <w:b/>
          <w:bCs/>
        </w:rPr>
      </w:pPr>
    </w:p>
    <w:p w14:paraId="0C7CA7DE" w14:textId="77777777" w:rsidR="00F42537" w:rsidRDefault="00F42537">
      <w:pPr>
        <w:rPr>
          <w:b/>
        </w:rPr>
      </w:pPr>
      <w:bookmarkStart w:id="150" w:name="_Toc168915103"/>
      <w:r>
        <w:rPr>
          <w:b/>
        </w:rPr>
        <w:br w:type="page"/>
      </w:r>
    </w:p>
    <w:p w14:paraId="5718DDD8" w14:textId="3485CFAB" w:rsidR="006C5EF9" w:rsidRPr="006C5EF9" w:rsidRDefault="006C5EF9" w:rsidP="00F42537">
      <w:pPr>
        <w:spacing w:after="0" w:line="240" w:lineRule="auto"/>
        <w:jc w:val="both"/>
        <w:rPr>
          <w:b/>
          <w:bCs/>
        </w:rPr>
      </w:pPr>
      <w:r w:rsidRPr="006C5EF9">
        <w:rPr>
          <w:b/>
        </w:rPr>
        <w:lastRenderedPageBreak/>
        <w:t>Dublin Bus/Luas Community Forum</w:t>
      </w:r>
      <w:bookmarkEnd w:id="150"/>
    </w:p>
    <w:tbl>
      <w:tblPr>
        <w:tblStyle w:val="TableGrid"/>
        <w:tblpPr w:leftFromText="180" w:rightFromText="180" w:vertAnchor="text" w:horzAnchor="page" w:tblpX="1192" w:tblpY="277"/>
        <w:tblW w:w="9924" w:type="dxa"/>
        <w:tblLook w:val="04A0" w:firstRow="1" w:lastRow="0" w:firstColumn="1" w:lastColumn="0" w:noHBand="0" w:noVBand="1"/>
      </w:tblPr>
      <w:tblGrid>
        <w:gridCol w:w="5394"/>
        <w:gridCol w:w="4530"/>
      </w:tblGrid>
      <w:tr w:rsidR="006C5EF9" w:rsidRPr="006C5EF9" w14:paraId="0D062248" w14:textId="77777777" w:rsidTr="006C5EF9">
        <w:trPr>
          <w:trHeight w:val="378"/>
        </w:trPr>
        <w:tc>
          <w:tcPr>
            <w:tcW w:w="5394" w:type="dxa"/>
            <w:tcBorders>
              <w:top w:val="single" w:sz="4" w:space="0" w:color="auto"/>
              <w:left w:val="single" w:sz="4" w:space="0" w:color="auto"/>
              <w:bottom w:val="single" w:sz="4" w:space="0" w:color="auto"/>
              <w:right w:val="single" w:sz="4" w:space="0" w:color="auto"/>
            </w:tcBorders>
            <w:shd w:val="clear" w:color="auto" w:fill="00B0F0"/>
            <w:hideMark/>
          </w:tcPr>
          <w:p w14:paraId="70038E1E" w14:textId="77777777" w:rsidR="006C5EF9" w:rsidRPr="006C5EF9" w:rsidRDefault="006C5EF9" w:rsidP="00F42537">
            <w:pPr>
              <w:jc w:val="both"/>
              <w:rPr>
                <w:b/>
                <w:bCs/>
              </w:rPr>
            </w:pPr>
            <w:r w:rsidRPr="006C5EF9">
              <w:rPr>
                <w:b/>
                <w:bCs/>
              </w:rPr>
              <w:t>Councillor</w:t>
            </w:r>
          </w:p>
        </w:tc>
        <w:tc>
          <w:tcPr>
            <w:tcW w:w="4530" w:type="dxa"/>
            <w:tcBorders>
              <w:top w:val="single" w:sz="4" w:space="0" w:color="auto"/>
              <w:left w:val="single" w:sz="4" w:space="0" w:color="auto"/>
              <w:bottom w:val="single" w:sz="4" w:space="0" w:color="auto"/>
              <w:right w:val="single" w:sz="4" w:space="0" w:color="auto"/>
            </w:tcBorders>
            <w:shd w:val="clear" w:color="auto" w:fill="00B0F0"/>
            <w:hideMark/>
          </w:tcPr>
          <w:p w14:paraId="53700F41" w14:textId="77777777" w:rsidR="006C5EF9" w:rsidRPr="006C5EF9" w:rsidRDefault="006C5EF9" w:rsidP="00F42537">
            <w:pPr>
              <w:jc w:val="both"/>
              <w:rPr>
                <w:b/>
                <w:bCs/>
              </w:rPr>
            </w:pPr>
            <w:r w:rsidRPr="006C5EF9">
              <w:rPr>
                <w:b/>
                <w:bCs/>
              </w:rPr>
              <w:t>Party</w:t>
            </w:r>
          </w:p>
        </w:tc>
      </w:tr>
      <w:tr w:rsidR="006C5EF9" w:rsidRPr="006C5EF9" w14:paraId="75DDB058" w14:textId="77777777" w:rsidTr="006C5EF9">
        <w:trPr>
          <w:trHeight w:val="378"/>
        </w:trPr>
        <w:tc>
          <w:tcPr>
            <w:tcW w:w="5394" w:type="dxa"/>
            <w:tcBorders>
              <w:top w:val="single" w:sz="4" w:space="0" w:color="auto"/>
              <w:left w:val="single" w:sz="4" w:space="0" w:color="auto"/>
              <w:bottom w:val="single" w:sz="4" w:space="0" w:color="auto"/>
              <w:right w:val="single" w:sz="4" w:space="0" w:color="auto"/>
            </w:tcBorders>
            <w:hideMark/>
          </w:tcPr>
          <w:p w14:paraId="3F5DECB0" w14:textId="77777777" w:rsidR="006C5EF9" w:rsidRPr="006C5EF9" w:rsidRDefault="006C5EF9" w:rsidP="00F42537">
            <w:pPr>
              <w:jc w:val="both"/>
              <w:rPr>
                <w:b/>
                <w:bCs/>
              </w:rPr>
            </w:pPr>
            <w:r w:rsidRPr="006C5EF9">
              <w:rPr>
                <w:b/>
                <w:bCs/>
              </w:rPr>
              <w:t>Mick Duff</w:t>
            </w:r>
          </w:p>
        </w:tc>
        <w:tc>
          <w:tcPr>
            <w:tcW w:w="4530" w:type="dxa"/>
            <w:tcBorders>
              <w:top w:val="single" w:sz="4" w:space="0" w:color="auto"/>
              <w:left w:val="single" w:sz="4" w:space="0" w:color="auto"/>
              <w:bottom w:val="single" w:sz="4" w:space="0" w:color="auto"/>
              <w:right w:val="single" w:sz="4" w:space="0" w:color="auto"/>
            </w:tcBorders>
            <w:hideMark/>
          </w:tcPr>
          <w:p w14:paraId="114DEF30" w14:textId="77777777" w:rsidR="006C5EF9" w:rsidRPr="006C5EF9" w:rsidRDefault="006C5EF9" w:rsidP="00F42537">
            <w:pPr>
              <w:jc w:val="both"/>
              <w:rPr>
                <w:b/>
                <w:bCs/>
              </w:rPr>
            </w:pPr>
            <w:r w:rsidRPr="006C5EF9">
              <w:rPr>
                <w:b/>
                <w:bCs/>
              </w:rPr>
              <w:t>LAB</w:t>
            </w:r>
          </w:p>
        </w:tc>
      </w:tr>
      <w:tr w:rsidR="006C5EF9" w:rsidRPr="006C5EF9" w14:paraId="1BF5DE90" w14:textId="77777777" w:rsidTr="006C5EF9">
        <w:trPr>
          <w:trHeight w:val="343"/>
        </w:trPr>
        <w:tc>
          <w:tcPr>
            <w:tcW w:w="5394" w:type="dxa"/>
            <w:tcBorders>
              <w:top w:val="single" w:sz="4" w:space="0" w:color="auto"/>
              <w:left w:val="single" w:sz="4" w:space="0" w:color="auto"/>
              <w:bottom w:val="single" w:sz="4" w:space="0" w:color="auto"/>
              <w:right w:val="single" w:sz="4" w:space="0" w:color="auto"/>
            </w:tcBorders>
          </w:tcPr>
          <w:p w14:paraId="54C30ABE" w14:textId="77777777" w:rsidR="006C5EF9" w:rsidRPr="006C5EF9" w:rsidRDefault="006C5EF9" w:rsidP="00F42537">
            <w:pPr>
              <w:jc w:val="both"/>
              <w:rPr>
                <w:b/>
                <w:bCs/>
              </w:rPr>
            </w:pPr>
          </w:p>
        </w:tc>
        <w:tc>
          <w:tcPr>
            <w:tcW w:w="4530" w:type="dxa"/>
            <w:tcBorders>
              <w:top w:val="single" w:sz="4" w:space="0" w:color="auto"/>
              <w:left w:val="single" w:sz="4" w:space="0" w:color="auto"/>
              <w:bottom w:val="single" w:sz="4" w:space="0" w:color="auto"/>
              <w:right w:val="single" w:sz="4" w:space="0" w:color="auto"/>
            </w:tcBorders>
          </w:tcPr>
          <w:p w14:paraId="597FEEB8" w14:textId="77777777" w:rsidR="006C5EF9" w:rsidRPr="006C5EF9" w:rsidRDefault="006C5EF9" w:rsidP="00F42537">
            <w:pPr>
              <w:jc w:val="both"/>
              <w:rPr>
                <w:b/>
                <w:bCs/>
              </w:rPr>
            </w:pPr>
          </w:p>
        </w:tc>
      </w:tr>
      <w:tr w:rsidR="006C5EF9" w:rsidRPr="006C5EF9" w14:paraId="4FEB25DE" w14:textId="77777777" w:rsidTr="006C5EF9">
        <w:trPr>
          <w:trHeight w:val="378"/>
        </w:trPr>
        <w:tc>
          <w:tcPr>
            <w:tcW w:w="5394" w:type="dxa"/>
            <w:tcBorders>
              <w:top w:val="single" w:sz="4" w:space="0" w:color="auto"/>
              <w:left w:val="single" w:sz="4" w:space="0" w:color="auto"/>
              <w:bottom w:val="single" w:sz="4" w:space="0" w:color="auto"/>
              <w:right w:val="single" w:sz="4" w:space="0" w:color="auto"/>
            </w:tcBorders>
            <w:hideMark/>
          </w:tcPr>
          <w:p w14:paraId="42680C5C" w14:textId="77777777" w:rsidR="006C5EF9" w:rsidRPr="006C5EF9" w:rsidRDefault="006C5EF9" w:rsidP="00F42537">
            <w:pPr>
              <w:jc w:val="both"/>
              <w:rPr>
                <w:b/>
                <w:bCs/>
              </w:rPr>
            </w:pPr>
            <w:r w:rsidRPr="006C5EF9">
              <w:rPr>
                <w:b/>
                <w:bCs/>
              </w:rPr>
              <w:t>Kay Keane</w:t>
            </w:r>
          </w:p>
        </w:tc>
        <w:tc>
          <w:tcPr>
            <w:tcW w:w="4530" w:type="dxa"/>
            <w:tcBorders>
              <w:top w:val="single" w:sz="4" w:space="0" w:color="auto"/>
              <w:left w:val="single" w:sz="4" w:space="0" w:color="auto"/>
              <w:bottom w:val="single" w:sz="4" w:space="0" w:color="auto"/>
              <w:right w:val="single" w:sz="4" w:space="0" w:color="auto"/>
            </w:tcBorders>
            <w:hideMark/>
          </w:tcPr>
          <w:p w14:paraId="2CAEFB4B" w14:textId="77777777" w:rsidR="006C5EF9" w:rsidRPr="006C5EF9" w:rsidRDefault="006C5EF9" w:rsidP="00F42537">
            <w:pPr>
              <w:jc w:val="both"/>
              <w:rPr>
                <w:b/>
                <w:bCs/>
              </w:rPr>
            </w:pPr>
            <w:r w:rsidRPr="006C5EF9">
              <w:rPr>
                <w:b/>
                <w:bCs/>
              </w:rPr>
              <w:t>PBP</w:t>
            </w:r>
          </w:p>
        </w:tc>
      </w:tr>
      <w:tr w:rsidR="006C5EF9" w:rsidRPr="006C5EF9" w14:paraId="767A12D6" w14:textId="77777777" w:rsidTr="006C5EF9">
        <w:trPr>
          <w:trHeight w:val="378"/>
        </w:trPr>
        <w:tc>
          <w:tcPr>
            <w:tcW w:w="5394" w:type="dxa"/>
            <w:tcBorders>
              <w:top w:val="single" w:sz="4" w:space="0" w:color="auto"/>
              <w:left w:val="single" w:sz="4" w:space="0" w:color="auto"/>
              <w:bottom w:val="single" w:sz="4" w:space="0" w:color="auto"/>
              <w:right w:val="single" w:sz="4" w:space="0" w:color="auto"/>
            </w:tcBorders>
            <w:hideMark/>
          </w:tcPr>
          <w:p w14:paraId="0B188347" w14:textId="77777777" w:rsidR="006C5EF9" w:rsidRPr="006C5EF9" w:rsidRDefault="006C5EF9" w:rsidP="00F42537">
            <w:pPr>
              <w:jc w:val="both"/>
              <w:rPr>
                <w:b/>
                <w:bCs/>
              </w:rPr>
            </w:pPr>
            <w:r w:rsidRPr="006C5EF9">
              <w:rPr>
                <w:b/>
                <w:bCs/>
              </w:rPr>
              <w:t>Róisín Mannion</w:t>
            </w:r>
          </w:p>
        </w:tc>
        <w:tc>
          <w:tcPr>
            <w:tcW w:w="4530" w:type="dxa"/>
            <w:tcBorders>
              <w:top w:val="single" w:sz="4" w:space="0" w:color="auto"/>
              <w:left w:val="single" w:sz="4" w:space="0" w:color="auto"/>
              <w:bottom w:val="single" w:sz="4" w:space="0" w:color="auto"/>
              <w:right w:val="single" w:sz="4" w:space="0" w:color="auto"/>
            </w:tcBorders>
            <w:hideMark/>
          </w:tcPr>
          <w:p w14:paraId="4670F529" w14:textId="77777777" w:rsidR="006C5EF9" w:rsidRPr="006C5EF9" w:rsidRDefault="006C5EF9" w:rsidP="00F42537">
            <w:pPr>
              <w:jc w:val="both"/>
              <w:rPr>
                <w:b/>
                <w:bCs/>
              </w:rPr>
            </w:pPr>
            <w:r w:rsidRPr="006C5EF9">
              <w:rPr>
                <w:b/>
                <w:bCs/>
              </w:rPr>
              <w:t>SF</w:t>
            </w:r>
          </w:p>
        </w:tc>
      </w:tr>
    </w:tbl>
    <w:p w14:paraId="55DC8CEF" w14:textId="77777777" w:rsidR="001600B1" w:rsidRDefault="001600B1" w:rsidP="00F42537">
      <w:pPr>
        <w:spacing w:after="0" w:line="240" w:lineRule="auto"/>
        <w:jc w:val="both"/>
        <w:rPr>
          <w:b/>
          <w:bCs/>
        </w:rPr>
      </w:pPr>
      <w:bookmarkStart w:id="151" w:name="_Toc168915104"/>
      <w:bookmarkStart w:id="152" w:name="_Hlk32831717"/>
    </w:p>
    <w:p w14:paraId="2A7E0083" w14:textId="171580AB" w:rsidR="006C5EF9" w:rsidRPr="001600B1" w:rsidRDefault="006C5EF9" w:rsidP="00F42537">
      <w:pPr>
        <w:spacing w:after="0" w:line="240" w:lineRule="auto"/>
        <w:jc w:val="both"/>
        <w:rPr>
          <w:b/>
          <w:bCs/>
        </w:rPr>
      </w:pPr>
      <w:r w:rsidRPr="006C5EF9">
        <w:rPr>
          <w:b/>
        </w:rPr>
        <w:t xml:space="preserve">Eastern </w:t>
      </w:r>
      <w:r w:rsidR="0037035F">
        <w:rPr>
          <w:b/>
        </w:rPr>
        <w:t>and</w:t>
      </w:r>
      <w:r w:rsidRPr="006C5EF9">
        <w:rPr>
          <w:b/>
        </w:rPr>
        <w:t xml:space="preserve"> Midlands Regional Assembly</w:t>
      </w:r>
      <w:bookmarkEnd w:id="151"/>
    </w:p>
    <w:tbl>
      <w:tblPr>
        <w:tblStyle w:val="TableGrid"/>
        <w:tblpPr w:leftFromText="180" w:rightFromText="180" w:vertAnchor="text" w:horzAnchor="page" w:tblpX="1192" w:tblpY="277"/>
        <w:tblW w:w="9924" w:type="dxa"/>
        <w:tblLook w:val="04A0" w:firstRow="1" w:lastRow="0" w:firstColumn="1" w:lastColumn="0" w:noHBand="0" w:noVBand="1"/>
      </w:tblPr>
      <w:tblGrid>
        <w:gridCol w:w="5394"/>
        <w:gridCol w:w="4530"/>
      </w:tblGrid>
      <w:tr w:rsidR="006C5EF9" w:rsidRPr="006C5EF9" w14:paraId="2734CE08" w14:textId="77777777" w:rsidTr="006C5EF9">
        <w:trPr>
          <w:trHeight w:val="378"/>
        </w:trPr>
        <w:tc>
          <w:tcPr>
            <w:tcW w:w="5394" w:type="dxa"/>
            <w:tcBorders>
              <w:top w:val="single" w:sz="4" w:space="0" w:color="auto"/>
              <w:left w:val="single" w:sz="4" w:space="0" w:color="auto"/>
              <w:bottom w:val="single" w:sz="4" w:space="0" w:color="auto"/>
              <w:right w:val="single" w:sz="4" w:space="0" w:color="auto"/>
            </w:tcBorders>
            <w:shd w:val="clear" w:color="auto" w:fill="00B0F0"/>
            <w:hideMark/>
          </w:tcPr>
          <w:p w14:paraId="3EE66DDE" w14:textId="77777777" w:rsidR="006C5EF9" w:rsidRPr="006C5EF9" w:rsidRDefault="006C5EF9" w:rsidP="00F42537">
            <w:pPr>
              <w:jc w:val="both"/>
              <w:rPr>
                <w:b/>
                <w:bCs/>
              </w:rPr>
            </w:pPr>
            <w:r w:rsidRPr="006C5EF9">
              <w:rPr>
                <w:b/>
                <w:bCs/>
              </w:rPr>
              <w:t>Councillor</w:t>
            </w:r>
          </w:p>
        </w:tc>
        <w:tc>
          <w:tcPr>
            <w:tcW w:w="4530" w:type="dxa"/>
            <w:tcBorders>
              <w:top w:val="single" w:sz="4" w:space="0" w:color="auto"/>
              <w:left w:val="single" w:sz="4" w:space="0" w:color="auto"/>
              <w:bottom w:val="single" w:sz="4" w:space="0" w:color="auto"/>
              <w:right w:val="single" w:sz="4" w:space="0" w:color="auto"/>
            </w:tcBorders>
            <w:shd w:val="clear" w:color="auto" w:fill="00B0F0"/>
            <w:hideMark/>
          </w:tcPr>
          <w:p w14:paraId="2911B40B" w14:textId="77777777" w:rsidR="006C5EF9" w:rsidRPr="006C5EF9" w:rsidRDefault="006C5EF9" w:rsidP="00F42537">
            <w:pPr>
              <w:jc w:val="both"/>
              <w:rPr>
                <w:b/>
                <w:bCs/>
              </w:rPr>
            </w:pPr>
            <w:r w:rsidRPr="006C5EF9">
              <w:rPr>
                <w:b/>
                <w:bCs/>
              </w:rPr>
              <w:t>Party</w:t>
            </w:r>
          </w:p>
        </w:tc>
      </w:tr>
      <w:tr w:rsidR="006C5EF9" w:rsidRPr="006C5EF9" w14:paraId="7DD7B3C5" w14:textId="77777777" w:rsidTr="006C5EF9">
        <w:trPr>
          <w:trHeight w:val="378"/>
        </w:trPr>
        <w:tc>
          <w:tcPr>
            <w:tcW w:w="5394" w:type="dxa"/>
            <w:tcBorders>
              <w:top w:val="single" w:sz="4" w:space="0" w:color="auto"/>
              <w:left w:val="single" w:sz="4" w:space="0" w:color="auto"/>
              <w:bottom w:val="single" w:sz="4" w:space="0" w:color="auto"/>
              <w:right w:val="single" w:sz="4" w:space="0" w:color="auto"/>
            </w:tcBorders>
            <w:hideMark/>
          </w:tcPr>
          <w:p w14:paraId="2FD0E00D" w14:textId="77777777" w:rsidR="006C5EF9" w:rsidRPr="006C5EF9" w:rsidRDefault="006C5EF9" w:rsidP="00F42537">
            <w:pPr>
              <w:jc w:val="both"/>
              <w:rPr>
                <w:b/>
                <w:bCs/>
              </w:rPr>
            </w:pPr>
            <w:r w:rsidRPr="006C5EF9">
              <w:rPr>
                <w:b/>
                <w:bCs/>
              </w:rPr>
              <w:t>Jacqueline Sheehy</w:t>
            </w:r>
          </w:p>
        </w:tc>
        <w:tc>
          <w:tcPr>
            <w:tcW w:w="4530" w:type="dxa"/>
            <w:tcBorders>
              <w:top w:val="single" w:sz="4" w:space="0" w:color="auto"/>
              <w:left w:val="single" w:sz="4" w:space="0" w:color="auto"/>
              <w:bottom w:val="single" w:sz="4" w:space="0" w:color="auto"/>
              <w:right w:val="single" w:sz="4" w:space="0" w:color="auto"/>
            </w:tcBorders>
            <w:hideMark/>
          </w:tcPr>
          <w:p w14:paraId="7B300FB6" w14:textId="77777777" w:rsidR="006C5EF9" w:rsidRPr="006C5EF9" w:rsidRDefault="006C5EF9" w:rsidP="00F42537">
            <w:pPr>
              <w:jc w:val="both"/>
              <w:rPr>
                <w:b/>
                <w:bCs/>
              </w:rPr>
            </w:pPr>
            <w:r w:rsidRPr="006C5EF9">
              <w:rPr>
                <w:b/>
                <w:bCs/>
              </w:rPr>
              <w:t>FF</w:t>
            </w:r>
          </w:p>
        </w:tc>
        <w:bookmarkEnd w:id="152"/>
      </w:tr>
      <w:tr w:rsidR="006C5EF9" w:rsidRPr="006C5EF9" w14:paraId="64FC04F5" w14:textId="77777777" w:rsidTr="006C5EF9">
        <w:trPr>
          <w:trHeight w:val="378"/>
        </w:trPr>
        <w:tc>
          <w:tcPr>
            <w:tcW w:w="5394" w:type="dxa"/>
            <w:tcBorders>
              <w:top w:val="single" w:sz="4" w:space="0" w:color="auto"/>
              <w:left w:val="single" w:sz="4" w:space="0" w:color="auto"/>
              <w:bottom w:val="single" w:sz="4" w:space="0" w:color="auto"/>
              <w:right w:val="single" w:sz="4" w:space="0" w:color="auto"/>
            </w:tcBorders>
            <w:hideMark/>
          </w:tcPr>
          <w:p w14:paraId="57189A1B" w14:textId="77777777" w:rsidR="006C5EF9" w:rsidRPr="006C5EF9" w:rsidRDefault="006C5EF9" w:rsidP="00F42537">
            <w:pPr>
              <w:jc w:val="both"/>
              <w:rPr>
                <w:b/>
                <w:bCs/>
              </w:rPr>
            </w:pPr>
            <w:r w:rsidRPr="006C5EF9">
              <w:rPr>
                <w:b/>
                <w:bCs/>
              </w:rPr>
              <w:t>Joanna Tuffy</w:t>
            </w:r>
          </w:p>
        </w:tc>
        <w:tc>
          <w:tcPr>
            <w:tcW w:w="4530" w:type="dxa"/>
            <w:tcBorders>
              <w:top w:val="single" w:sz="4" w:space="0" w:color="auto"/>
              <w:left w:val="single" w:sz="4" w:space="0" w:color="auto"/>
              <w:bottom w:val="single" w:sz="4" w:space="0" w:color="auto"/>
              <w:right w:val="single" w:sz="4" w:space="0" w:color="auto"/>
            </w:tcBorders>
            <w:hideMark/>
          </w:tcPr>
          <w:p w14:paraId="65DCDC4B" w14:textId="77777777" w:rsidR="006C5EF9" w:rsidRPr="006C5EF9" w:rsidRDefault="006C5EF9" w:rsidP="00F42537">
            <w:pPr>
              <w:jc w:val="both"/>
              <w:rPr>
                <w:b/>
                <w:bCs/>
              </w:rPr>
            </w:pPr>
            <w:r w:rsidRPr="006C5EF9">
              <w:rPr>
                <w:b/>
                <w:bCs/>
              </w:rPr>
              <w:t>LAB</w:t>
            </w:r>
          </w:p>
        </w:tc>
      </w:tr>
      <w:tr w:rsidR="006C5EF9" w:rsidRPr="006C5EF9" w14:paraId="1718501A" w14:textId="77777777" w:rsidTr="006C5EF9">
        <w:trPr>
          <w:trHeight w:val="378"/>
        </w:trPr>
        <w:tc>
          <w:tcPr>
            <w:tcW w:w="5394" w:type="dxa"/>
            <w:tcBorders>
              <w:top w:val="single" w:sz="4" w:space="0" w:color="auto"/>
              <w:left w:val="single" w:sz="4" w:space="0" w:color="auto"/>
              <w:bottom w:val="single" w:sz="4" w:space="0" w:color="auto"/>
              <w:right w:val="single" w:sz="4" w:space="0" w:color="auto"/>
            </w:tcBorders>
            <w:hideMark/>
          </w:tcPr>
          <w:p w14:paraId="3357116F" w14:textId="77777777" w:rsidR="006C5EF9" w:rsidRPr="006C5EF9" w:rsidRDefault="006C5EF9" w:rsidP="00F42537">
            <w:pPr>
              <w:jc w:val="both"/>
              <w:rPr>
                <w:b/>
                <w:bCs/>
              </w:rPr>
            </w:pPr>
            <w:r w:rsidRPr="006C5EF9">
              <w:rPr>
                <w:b/>
                <w:bCs/>
              </w:rPr>
              <w:t>David McManus</w:t>
            </w:r>
          </w:p>
        </w:tc>
        <w:tc>
          <w:tcPr>
            <w:tcW w:w="4530" w:type="dxa"/>
            <w:tcBorders>
              <w:top w:val="single" w:sz="4" w:space="0" w:color="auto"/>
              <w:left w:val="single" w:sz="4" w:space="0" w:color="auto"/>
              <w:bottom w:val="single" w:sz="4" w:space="0" w:color="auto"/>
              <w:right w:val="single" w:sz="4" w:space="0" w:color="auto"/>
            </w:tcBorders>
            <w:hideMark/>
          </w:tcPr>
          <w:p w14:paraId="2E448E6A" w14:textId="77777777" w:rsidR="006C5EF9" w:rsidRPr="006C5EF9" w:rsidRDefault="006C5EF9" w:rsidP="00F42537">
            <w:pPr>
              <w:jc w:val="both"/>
              <w:rPr>
                <w:b/>
                <w:bCs/>
              </w:rPr>
            </w:pPr>
            <w:r w:rsidRPr="006C5EF9">
              <w:rPr>
                <w:b/>
                <w:bCs/>
              </w:rPr>
              <w:t>FG</w:t>
            </w:r>
          </w:p>
        </w:tc>
      </w:tr>
    </w:tbl>
    <w:p w14:paraId="77ECBE2C" w14:textId="599D9D99" w:rsidR="006C5EF9" w:rsidRPr="006C5EF9" w:rsidRDefault="006C5EF9" w:rsidP="00F42537">
      <w:pPr>
        <w:spacing w:after="0" w:line="240" w:lineRule="auto"/>
        <w:jc w:val="both"/>
        <w:rPr>
          <w:b/>
          <w:bCs/>
        </w:rPr>
      </w:pPr>
      <w:bookmarkStart w:id="153" w:name="_Toc168915105"/>
      <w:r w:rsidRPr="006C5EF9">
        <w:rPr>
          <w:b/>
        </w:rPr>
        <w:t>Irish Public Bodies Mutual Insurances Ltd</w:t>
      </w:r>
      <w:bookmarkEnd w:id="153"/>
    </w:p>
    <w:tbl>
      <w:tblPr>
        <w:tblStyle w:val="TableGrid"/>
        <w:tblpPr w:leftFromText="180" w:rightFromText="180" w:vertAnchor="text" w:horzAnchor="page" w:tblpX="1192" w:tblpY="277"/>
        <w:tblW w:w="9924" w:type="dxa"/>
        <w:tblLook w:val="04A0" w:firstRow="1" w:lastRow="0" w:firstColumn="1" w:lastColumn="0" w:noHBand="0" w:noVBand="1"/>
      </w:tblPr>
      <w:tblGrid>
        <w:gridCol w:w="5394"/>
        <w:gridCol w:w="4530"/>
      </w:tblGrid>
      <w:tr w:rsidR="006C5EF9" w:rsidRPr="006C5EF9" w14:paraId="5658231C" w14:textId="77777777" w:rsidTr="006C5EF9">
        <w:trPr>
          <w:trHeight w:val="378"/>
        </w:trPr>
        <w:tc>
          <w:tcPr>
            <w:tcW w:w="5394" w:type="dxa"/>
            <w:tcBorders>
              <w:top w:val="single" w:sz="4" w:space="0" w:color="auto"/>
              <w:left w:val="single" w:sz="4" w:space="0" w:color="auto"/>
              <w:bottom w:val="single" w:sz="4" w:space="0" w:color="auto"/>
              <w:right w:val="single" w:sz="4" w:space="0" w:color="auto"/>
            </w:tcBorders>
            <w:shd w:val="clear" w:color="auto" w:fill="00B0F0"/>
            <w:hideMark/>
          </w:tcPr>
          <w:p w14:paraId="50488BE7" w14:textId="77777777" w:rsidR="006C5EF9" w:rsidRPr="006C5EF9" w:rsidRDefault="006C5EF9" w:rsidP="00F42537">
            <w:pPr>
              <w:jc w:val="both"/>
              <w:rPr>
                <w:b/>
                <w:bCs/>
              </w:rPr>
            </w:pPr>
            <w:r w:rsidRPr="006C5EF9">
              <w:rPr>
                <w:b/>
                <w:bCs/>
              </w:rPr>
              <w:t>Councillor</w:t>
            </w:r>
          </w:p>
        </w:tc>
        <w:tc>
          <w:tcPr>
            <w:tcW w:w="4530" w:type="dxa"/>
            <w:tcBorders>
              <w:top w:val="single" w:sz="4" w:space="0" w:color="auto"/>
              <w:left w:val="single" w:sz="4" w:space="0" w:color="auto"/>
              <w:bottom w:val="single" w:sz="4" w:space="0" w:color="auto"/>
              <w:right w:val="single" w:sz="4" w:space="0" w:color="auto"/>
            </w:tcBorders>
            <w:shd w:val="clear" w:color="auto" w:fill="00B0F0"/>
            <w:hideMark/>
          </w:tcPr>
          <w:p w14:paraId="0A2C08BE" w14:textId="77777777" w:rsidR="006C5EF9" w:rsidRPr="006C5EF9" w:rsidRDefault="006C5EF9" w:rsidP="00F42537">
            <w:pPr>
              <w:jc w:val="both"/>
              <w:rPr>
                <w:b/>
                <w:bCs/>
              </w:rPr>
            </w:pPr>
            <w:r w:rsidRPr="006C5EF9">
              <w:rPr>
                <w:b/>
                <w:bCs/>
              </w:rPr>
              <w:t>Party</w:t>
            </w:r>
          </w:p>
        </w:tc>
      </w:tr>
      <w:tr w:rsidR="006C5EF9" w:rsidRPr="006C5EF9" w14:paraId="3E8AB9A4" w14:textId="77777777" w:rsidTr="006C5EF9">
        <w:trPr>
          <w:trHeight w:val="378"/>
        </w:trPr>
        <w:tc>
          <w:tcPr>
            <w:tcW w:w="5394" w:type="dxa"/>
            <w:tcBorders>
              <w:top w:val="single" w:sz="4" w:space="0" w:color="auto"/>
              <w:left w:val="single" w:sz="4" w:space="0" w:color="auto"/>
              <w:bottom w:val="single" w:sz="4" w:space="0" w:color="auto"/>
              <w:right w:val="single" w:sz="4" w:space="0" w:color="auto"/>
            </w:tcBorders>
            <w:hideMark/>
          </w:tcPr>
          <w:p w14:paraId="0E47CAF5" w14:textId="77777777" w:rsidR="006C5EF9" w:rsidRPr="006C5EF9" w:rsidRDefault="006C5EF9" w:rsidP="00F42537">
            <w:pPr>
              <w:jc w:val="both"/>
              <w:rPr>
                <w:b/>
                <w:bCs/>
              </w:rPr>
            </w:pPr>
            <w:r w:rsidRPr="006C5EF9">
              <w:rPr>
                <w:b/>
                <w:bCs/>
              </w:rPr>
              <w:t>Yvonne Collins</w:t>
            </w:r>
          </w:p>
        </w:tc>
        <w:tc>
          <w:tcPr>
            <w:tcW w:w="4530" w:type="dxa"/>
            <w:tcBorders>
              <w:top w:val="single" w:sz="4" w:space="0" w:color="auto"/>
              <w:left w:val="single" w:sz="4" w:space="0" w:color="auto"/>
              <w:bottom w:val="single" w:sz="4" w:space="0" w:color="auto"/>
              <w:right w:val="single" w:sz="4" w:space="0" w:color="auto"/>
            </w:tcBorders>
            <w:hideMark/>
          </w:tcPr>
          <w:p w14:paraId="7341CE0D" w14:textId="77777777" w:rsidR="006C5EF9" w:rsidRPr="006C5EF9" w:rsidRDefault="006C5EF9" w:rsidP="00F42537">
            <w:pPr>
              <w:jc w:val="both"/>
              <w:rPr>
                <w:b/>
                <w:bCs/>
              </w:rPr>
            </w:pPr>
            <w:r w:rsidRPr="006C5EF9">
              <w:rPr>
                <w:b/>
                <w:bCs/>
              </w:rPr>
              <w:t>FF</w:t>
            </w:r>
          </w:p>
        </w:tc>
      </w:tr>
    </w:tbl>
    <w:p w14:paraId="6798ADCA" w14:textId="77777777" w:rsidR="001600B1" w:rsidRPr="006C5EF9" w:rsidRDefault="001600B1" w:rsidP="00F42537">
      <w:pPr>
        <w:spacing w:after="0" w:line="240" w:lineRule="auto"/>
        <w:jc w:val="both"/>
        <w:rPr>
          <w:b/>
          <w:bCs/>
        </w:rPr>
      </w:pPr>
    </w:p>
    <w:p w14:paraId="043806B3" w14:textId="65E0EFD8" w:rsidR="006C5EF9" w:rsidRPr="006C5EF9" w:rsidRDefault="006C5EF9" w:rsidP="00F42537">
      <w:pPr>
        <w:spacing w:after="0" w:line="240" w:lineRule="auto"/>
        <w:jc w:val="both"/>
        <w:rPr>
          <w:b/>
          <w:bCs/>
        </w:rPr>
      </w:pPr>
      <w:bookmarkStart w:id="154" w:name="_Toc168915106"/>
      <w:r w:rsidRPr="006C5EF9">
        <w:rPr>
          <w:b/>
        </w:rPr>
        <w:t>Local Traveller Accommodation Consultative Committee</w:t>
      </w:r>
      <w:bookmarkEnd w:id="154"/>
    </w:p>
    <w:tbl>
      <w:tblPr>
        <w:tblStyle w:val="TableGrid"/>
        <w:tblpPr w:leftFromText="180" w:rightFromText="180" w:vertAnchor="text" w:horzAnchor="page" w:tblpX="1192" w:tblpY="277"/>
        <w:tblW w:w="9924" w:type="dxa"/>
        <w:tblLook w:val="04A0" w:firstRow="1" w:lastRow="0" w:firstColumn="1" w:lastColumn="0" w:noHBand="0" w:noVBand="1"/>
      </w:tblPr>
      <w:tblGrid>
        <w:gridCol w:w="5394"/>
        <w:gridCol w:w="4530"/>
      </w:tblGrid>
      <w:tr w:rsidR="006C5EF9" w:rsidRPr="006C5EF9" w14:paraId="6DBFB4AE" w14:textId="77777777" w:rsidTr="006C5EF9">
        <w:trPr>
          <w:trHeight w:val="378"/>
        </w:trPr>
        <w:tc>
          <w:tcPr>
            <w:tcW w:w="5394" w:type="dxa"/>
            <w:tcBorders>
              <w:top w:val="single" w:sz="4" w:space="0" w:color="auto"/>
              <w:left w:val="single" w:sz="4" w:space="0" w:color="auto"/>
              <w:bottom w:val="single" w:sz="4" w:space="0" w:color="auto"/>
              <w:right w:val="single" w:sz="4" w:space="0" w:color="auto"/>
            </w:tcBorders>
            <w:shd w:val="clear" w:color="auto" w:fill="00B0F0"/>
            <w:hideMark/>
          </w:tcPr>
          <w:p w14:paraId="7465AA92" w14:textId="77777777" w:rsidR="006C5EF9" w:rsidRPr="006C5EF9" w:rsidRDefault="006C5EF9" w:rsidP="00F42537">
            <w:pPr>
              <w:jc w:val="both"/>
              <w:rPr>
                <w:b/>
                <w:bCs/>
              </w:rPr>
            </w:pPr>
            <w:r w:rsidRPr="006C5EF9">
              <w:rPr>
                <w:b/>
                <w:bCs/>
              </w:rPr>
              <w:t>Councillor</w:t>
            </w:r>
          </w:p>
        </w:tc>
        <w:tc>
          <w:tcPr>
            <w:tcW w:w="4530" w:type="dxa"/>
            <w:tcBorders>
              <w:top w:val="single" w:sz="4" w:space="0" w:color="auto"/>
              <w:left w:val="single" w:sz="4" w:space="0" w:color="auto"/>
              <w:bottom w:val="single" w:sz="4" w:space="0" w:color="auto"/>
              <w:right w:val="single" w:sz="4" w:space="0" w:color="auto"/>
            </w:tcBorders>
            <w:shd w:val="clear" w:color="auto" w:fill="00B0F0"/>
            <w:hideMark/>
          </w:tcPr>
          <w:p w14:paraId="7B4DABAB" w14:textId="77777777" w:rsidR="006C5EF9" w:rsidRPr="006C5EF9" w:rsidRDefault="006C5EF9" w:rsidP="00F42537">
            <w:pPr>
              <w:jc w:val="both"/>
              <w:rPr>
                <w:b/>
                <w:bCs/>
              </w:rPr>
            </w:pPr>
            <w:r w:rsidRPr="006C5EF9">
              <w:rPr>
                <w:b/>
                <w:bCs/>
              </w:rPr>
              <w:t>Party</w:t>
            </w:r>
          </w:p>
        </w:tc>
      </w:tr>
      <w:tr w:rsidR="006C5EF9" w:rsidRPr="006C5EF9" w14:paraId="77C29D43" w14:textId="77777777" w:rsidTr="006C5EF9">
        <w:trPr>
          <w:trHeight w:val="378"/>
        </w:trPr>
        <w:tc>
          <w:tcPr>
            <w:tcW w:w="5394" w:type="dxa"/>
            <w:tcBorders>
              <w:top w:val="single" w:sz="4" w:space="0" w:color="auto"/>
              <w:left w:val="single" w:sz="4" w:space="0" w:color="auto"/>
              <w:bottom w:val="single" w:sz="4" w:space="0" w:color="auto"/>
              <w:right w:val="single" w:sz="4" w:space="0" w:color="auto"/>
            </w:tcBorders>
          </w:tcPr>
          <w:p w14:paraId="6E837743" w14:textId="77777777" w:rsidR="006C5EF9" w:rsidRPr="006C5EF9" w:rsidRDefault="006C5EF9" w:rsidP="00F42537">
            <w:pPr>
              <w:jc w:val="both"/>
              <w:rPr>
                <w:b/>
                <w:bCs/>
              </w:rPr>
            </w:pPr>
          </w:p>
        </w:tc>
        <w:tc>
          <w:tcPr>
            <w:tcW w:w="4530" w:type="dxa"/>
            <w:tcBorders>
              <w:top w:val="single" w:sz="4" w:space="0" w:color="auto"/>
              <w:left w:val="single" w:sz="4" w:space="0" w:color="auto"/>
              <w:bottom w:val="single" w:sz="4" w:space="0" w:color="auto"/>
              <w:right w:val="single" w:sz="4" w:space="0" w:color="auto"/>
            </w:tcBorders>
          </w:tcPr>
          <w:p w14:paraId="44832F83" w14:textId="77777777" w:rsidR="006C5EF9" w:rsidRPr="006C5EF9" w:rsidRDefault="006C5EF9" w:rsidP="00F42537">
            <w:pPr>
              <w:jc w:val="both"/>
              <w:rPr>
                <w:b/>
                <w:bCs/>
              </w:rPr>
            </w:pPr>
          </w:p>
        </w:tc>
      </w:tr>
      <w:tr w:rsidR="006C5EF9" w:rsidRPr="006C5EF9" w14:paraId="45EFFBE6" w14:textId="77777777" w:rsidTr="006C5EF9">
        <w:trPr>
          <w:trHeight w:val="378"/>
        </w:trPr>
        <w:tc>
          <w:tcPr>
            <w:tcW w:w="5394" w:type="dxa"/>
            <w:tcBorders>
              <w:top w:val="single" w:sz="4" w:space="0" w:color="auto"/>
              <w:left w:val="single" w:sz="4" w:space="0" w:color="auto"/>
              <w:bottom w:val="single" w:sz="4" w:space="0" w:color="auto"/>
              <w:right w:val="single" w:sz="4" w:space="0" w:color="auto"/>
            </w:tcBorders>
            <w:hideMark/>
          </w:tcPr>
          <w:p w14:paraId="00180A08" w14:textId="77777777" w:rsidR="006C5EF9" w:rsidRPr="006C5EF9" w:rsidRDefault="006C5EF9" w:rsidP="00F42537">
            <w:pPr>
              <w:jc w:val="both"/>
              <w:rPr>
                <w:b/>
                <w:bCs/>
              </w:rPr>
            </w:pPr>
            <w:r w:rsidRPr="006C5EF9">
              <w:rPr>
                <w:b/>
                <w:bCs/>
              </w:rPr>
              <w:t>Mick Duff</w:t>
            </w:r>
          </w:p>
        </w:tc>
        <w:tc>
          <w:tcPr>
            <w:tcW w:w="4530" w:type="dxa"/>
            <w:tcBorders>
              <w:top w:val="single" w:sz="4" w:space="0" w:color="auto"/>
              <w:left w:val="single" w:sz="4" w:space="0" w:color="auto"/>
              <w:bottom w:val="single" w:sz="4" w:space="0" w:color="auto"/>
              <w:right w:val="single" w:sz="4" w:space="0" w:color="auto"/>
            </w:tcBorders>
            <w:hideMark/>
          </w:tcPr>
          <w:p w14:paraId="35457D98" w14:textId="77777777" w:rsidR="006C5EF9" w:rsidRPr="006C5EF9" w:rsidRDefault="006C5EF9" w:rsidP="00F42537">
            <w:pPr>
              <w:jc w:val="both"/>
              <w:rPr>
                <w:b/>
                <w:bCs/>
              </w:rPr>
            </w:pPr>
            <w:r w:rsidRPr="006C5EF9">
              <w:rPr>
                <w:b/>
                <w:bCs/>
              </w:rPr>
              <w:t>IND</w:t>
            </w:r>
          </w:p>
        </w:tc>
      </w:tr>
      <w:tr w:rsidR="006C5EF9" w:rsidRPr="006C5EF9" w14:paraId="30CE37AC" w14:textId="77777777" w:rsidTr="006C5EF9">
        <w:trPr>
          <w:trHeight w:val="378"/>
        </w:trPr>
        <w:tc>
          <w:tcPr>
            <w:tcW w:w="5394" w:type="dxa"/>
            <w:tcBorders>
              <w:top w:val="single" w:sz="4" w:space="0" w:color="auto"/>
              <w:left w:val="single" w:sz="4" w:space="0" w:color="auto"/>
              <w:bottom w:val="single" w:sz="4" w:space="0" w:color="auto"/>
              <w:right w:val="single" w:sz="4" w:space="0" w:color="auto"/>
            </w:tcBorders>
            <w:hideMark/>
          </w:tcPr>
          <w:p w14:paraId="229F7934" w14:textId="77777777" w:rsidR="006C5EF9" w:rsidRPr="006C5EF9" w:rsidRDefault="006C5EF9" w:rsidP="00F42537">
            <w:pPr>
              <w:jc w:val="both"/>
              <w:rPr>
                <w:b/>
                <w:bCs/>
              </w:rPr>
            </w:pPr>
            <w:r w:rsidRPr="006C5EF9">
              <w:rPr>
                <w:b/>
                <w:bCs/>
              </w:rPr>
              <w:t>Jess Spears</w:t>
            </w:r>
          </w:p>
        </w:tc>
        <w:tc>
          <w:tcPr>
            <w:tcW w:w="4530" w:type="dxa"/>
            <w:tcBorders>
              <w:top w:val="single" w:sz="4" w:space="0" w:color="auto"/>
              <w:left w:val="single" w:sz="4" w:space="0" w:color="auto"/>
              <w:bottom w:val="single" w:sz="4" w:space="0" w:color="auto"/>
              <w:right w:val="single" w:sz="4" w:space="0" w:color="auto"/>
            </w:tcBorders>
            <w:hideMark/>
          </w:tcPr>
          <w:p w14:paraId="5AF980C7" w14:textId="77777777" w:rsidR="006C5EF9" w:rsidRPr="006C5EF9" w:rsidRDefault="006C5EF9" w:rsidP="00F42537">
            <w:pPr>
              <w:jc w:val="both"/>
              <w:rPr>
                <w:b/>
                <w:bCs/>
              </w:rPr>
            </w:pPr>
            <w:r w:rsidRPr="006C5EF9">
              <w:rPr>
                <w:b/>
                <w:bCs/>
              </w:rPr>
              <w:t>PBP</w:t>
            </w:r>
          </w:p>
        </w:tc>
      </w:tr>
      <w:tr w:rsidR="006C5EF9" w:rsidRPr="006C5EF9" w14:paraId="509CE791" w14:textId="77777777" w:rsidTr="006C5EF9">
        <w:trPr>
          <w:trHeight w:val="378"/>
        </w:trPr>
        <w:tc>
          <w:tcPr>
            <w:tcW w:w="5394" w:type="dxa"/>
            <w:tcBorders>
              <w:top w:val="single" w:sz="4" w:space="0" w:color="auto"/>
              <w:left w:val="single" w:sz="4" w:space="0" w:color="auto"/>
              <w:bottom w:val="single" w:sz="4" w:space="0" w:color="auto"/>
              <w:right w:val="single" w:sz="4" w:space="0" w:color="auto"/>
            </w:tcBorders>
            <w:hideMark/>
          </w:tcPr>
          <w:p w14:paraId="723A921B" w14:textId="77777777" w:rsidR="006C5EF9" w:rsidRPr="006C5EF9" w:rsidRDefault="006C5EF9" w:rsidP="00F42537">
            <w:pPr>
              <w:jc w:val="both"/>
              <w:rPr>
                <w:b/>
                <w:bCs/>
              </w:rPr>
            </w:pPr>
            <w:r w:rsidRPr="006C5EF9">
              <w:rPr>
                <w:b/>
                <w:bCs/>
              </w:rPr>
              <w:t>William Carey</w:t>
            </w:r>
          </w:p>
        </w:tc>
        <w:tc>
          <w:tcPr>
            <w:tcW w:w="4530" w:type="dxa"/>
            <w:tcBorders>
              <w:top w:val="single" w:sz="4" w:space="0" w:color="auto"/>
              <w:left w:val="single" w:sz="4" w:space="0" w:color="auto"/>
              <w:bottom w:val="single" w:sz="4" w:space="0" w:color="auto"/>
              <w:right w:val="single" w:sz="4" w:space="0" w:color="auto"/>
            </w:tcBorders>
            <w:hideMark/>
          </w:tcPr>
          <w:p w14:paraId="4C0400BB" w14:textId="77777777" w:rsidR="006C5EF9" w:rsidRPr="006C5EF9" w:rsidRDefault="006C5EF9" w:rsidP="00F42537">
            <w:pPr>
              <w:jc w:val="both"/>
              <w:rPr>
                <w:b/>
                <w:bCs/>
              </w:rPr>
            </w:pPr>
            <w:r w:rsidRPr="006C5EF9">
              <w:rPr>
                <w:b/>
                <w:bCs/>
              </w:rPr>
              <w:t>SF</w:t>
            </w:r>
          </w:p>
        </w:tc>
      </w:tr>
      <w:tr w:rsidR="006C5EF9" w:rsidRPr="006C5EF9" w14:paraId="0742DF8F" w14:textId="77777777" w:rsidTr="006C5EF9">
        <w:trPr>
          <w:trHeight w:val="378"/>
        </w:trPr>
        <w:tc>
          <w:tcPr>
            <w:tcW w:w="5394" w:type="dxa"/>
            <w:tcBorders>
              <w:top w:val="single" w:sz="4" w:space="0" w:color="auto"/>
              <w:left w:val="single" w:sz="4" w:space="0" w:color="auto"/>
              <w:bottom w:val="single" w:sz="4" w:space="0" w:color="auto"/>
              <w:right w:val="single" w:sz="4" w:space="0" w:color="auto"/>
            </w:tcBorders>
            <w:hideMark/>
          </w:tcPr>
          <w:p w14:paraId="2E6C7327" w14:textId="77777777" w:rsidR="006C5EF9" w:rsidRPr="006C5EF9" w:rsidRDefault="006C5EF9" w:rsidP="00F42537">
            <w:pPr>
              <w:jc w:val="both"/>
              <w:rPr>
                <w:b/>
                <w:bCs/>
              </w:rPr>
            </w:pPr>
            <w:r w:rsidRPr="006C5EF9">
              <w:rPr>
                <w:b/>
                <w:bCs/>
              </w:rPr>
              <w:t>Alan Edge</w:t>
            </w:r>
          </w:p>
        </w:tc>
        <w:tc>
          <w:tcPr>
            <w:tcW w:w="4530" w:type="dxa"/>
            <w:tcBorders>
              <w:top w:val="single" w:sz="4" w:space="0" w:color="auto"/>
              <w:left w:val="single" w:sz="4" w:space="0" w:color="auto"/>
              <w:bottom w:val="single" w:sz="4" w:space="0" w:color="auto"/>
              <w:right w:val="single" w:sz="4" w:space="0" w:color="auto"/>
            </w:tcBorders>
            <w:hideMark/>
          </w:tcPr>
          <w:p w14:paraId="118A71F8" w14:textId="77777777" w:rsidR="006C5EF9" w:rsidRPr="006C5EF9" w:rsidRDefault="006C5EF9" w:rsidP="00F42537">
            <w:pPr>
              <w:jc w:val="both"/>
              <w:rPr>
                <w:b/>
                <w:bCs/>
              </w:rPr>
            </w:pPr>
            <w:r w:rsidRPr="006C5EF9">
              <w:rPr>
                <w:b/>
                <w:bCs/>
              </w:rPr>
              <w:t>IND</w:t>
            </w:r>
          </w:p>
        </w:tc>
      </w:tr>
      <w:tr w:rsidR="006C5EF9" w:rsidRPr="006C5EF9" w14:paraId="0B41D2A6" w14:textId="77777777" w:rsidTr="006C5EF9">
        <w:trPr>
          <w:trHeight w:val="378"/>
        </w:trPr>
        <w:tc>
          <w:tcPr>
            <w:tcW w:w="5394" w:type="dxa"/>
            <w:tcBorders>
              <w:top w:val="single" w:sz="4" w:space="0" w:color="auto"/>
              <w:left w:val="single" w:sz="4" w:space="0" w:color="auto"/>
              <w:bottom w:val="single" w:sz="4" w:space="0" w:color="auto"/>
              <w:right w:val="single" w:sz="4" w:space="0" w:color="auto"/>
            </w:tcBorders>
            <w:hideMark/>
          </w:tcPr>
          <w:p w14:paraId="2B8727B9" w14:textId="77777777" w:rsidR="006C5EF9" w:rsidRPr="006C5EF9" w:rsidRDefault="006C5EF9" w:rsidP="00F42537">
            <w:pPr>
              <w:jc w:val="both"/>
              <w:rPr>
                <w:b/>
                <w:bCs/>
              </w:rPr>
            </w:pPr>
            <w:r w:rsidRPr="006C5EF9">
              <w:rPr>
                <w:b/>
                <w:bCs/>
              </w:rPr>
              <w:t>Vicki Casserly</w:t>
            </w:r>
          </w:p>
        </w:tc>
        <w:tc>
          <w:tcPr>
            <w:tcW w:w="4530" w:type="dxa"/>
            <w:tcBorders>
              <w:top w:val="single" w:sz="4" w:space="0" w:color="auto"/>
              <w:left w:val="single" w:sz="4" w:space="0" w:color="auto"/>
              <w:bottom w:val="single" w:sz="4" w:space="0" w:color="auto"/>
              <w:right w:val="single" w:sz="4" w:space="0" w:color="auto"/>
            </w:tcBorders>
            <w:hideMark/>
          </w:tcPr>
          <w:p w14:paraId="7B0BB593" w14:textId="77777777" w:rsidR="006C5EF9" w:rsidRPr="006C5EF9" w:rsidRDefault="006C5EF9" w:rsidP="00F42537">
            <w:pPr>
              <w:jc w:val="both"/>
              <w:rPr>
                <w:b/>
                <w:bCs/>
              </w:rPr>
            </w:pPr>
            <w:r w:rsidRPr="006C5EF9">
              <w:rPr>
                <w:b/>
                <w:bCs/>
              </w:rPr>
              <w:t>FG</w:t>
            </w:r>
          </w:p>
        </w:tc>
      </w:tr>
    </w:tbl>
    <w:p w14:paraId="3728A3B1" w14:textId="77777777" w:rsidR="006C5EF9" w:rsidRPr="006C5EF9" w:rsidRDefault="006C5EF9" w:rsidP="00F42537">
      <w:pPr>
        <w:spacing w:after="0" w:line="240" w:lineRule="auto"/>
        <w:jc w:val="both"/>
        <w:rPr>
          <w:b/>
          <w:bCs/>
        </w:rPr>
      </w:pPr>
    </w:p>
    <w:p w14:paraId="2A0766FD" w14:textId="6026DCBF" w:rsidR="006C5EF9" w:rsidRPr="001600B1" w:rsidRDefault="006C5EF9" w:rsidP="00F42537">
      <w:pPr>
        <w:spacing w:after="0" w:line="240" w:lineRule="auto"/>
        <w:jc w:val="both"/>
        <w:rPr>
          <w:b/>
          <w:bCs/>
        </w:rPr>
      </w:pPr>
      <w:bookmarkStart w:id="155" w:name="_Toc168915107"/>
      <w:r w:rsidRPr="006C5EF9">
        <w:rPr>
          <w:b/>
        </w:rPr>
        <w:t>Local Authority Members Association</w:t>
      </w:r>
      <w:bookmarkEnd w:id="155"/>
    </w:p>
    <w:tbl>
      <w:tblPr>
        <w:tblStyle w:val="TableGrid"/>
        <w:tblpPr w:leftFromText="180" w:rightFromText="180" w:vertAnchor="text" w:horzAnchor="page" w:tblpX="1334" w:tblpY="277"/>
        <w:tblW w:w="9782" w:type="dxa"/>
        <w:tblLook w:val="04A0" w:firstRow="1" w:lastRow="0" w:firstColumn="1" w:lastColumn="0" w:noHBand="0" w:noVBand="1"/>
      </w:tblPr>
      <w:tblGrid>
        <w:gridCol w:w="5252"/>
        <w:gridCol w:w="4530"/>
      </w:tblGrid>
      <w:tr w:rsidR="006C5EF9" w:rsidRPr="006C5EF9" w14:paraId="2FAC3E03" w14:textId="77777777" w:rsidTr="006C5EF9">
        <w:trPr>
          <w:trHeight w:val="378"/>
        </w:trPr>
        <w:tc>
          <w:tcPr>
            <w:tcW w:w="5252" w:type="dxa"/>
            <w:tcBorders>
              <w:top w:val="single" w:sz="4" w:space="0" w:color="auto"/>
              <w:left w:val="single" w:sz="4" w:space="0" w:color="auto"/>
              <w:bottom w:val="single" w:sz="4" w:space="0" w:color="auto"/>
              <w:right w:val="single" w:sz="4" w:space="0" w:color="auto"/>
            </w:tcBorders>
            <w:shd w:val="clear" w:color="auto" w:fill="00B0F0"/>
            <w:hideMark/>
          </w:tcPr>
          <w:p w14:paraId="7906BAF8" w14:textId="77777777" w:rsidR="006C5EF9" w:rsidRPr="006C5EF9" w:rsidRDefault="006C5EF9" w:rsidP="00F42537">
            <w:pPr>
              <w:jc w:val="both"/>
              <w:rPr>
                <w:b/>
                <w:bCs/>
              </w:rPr>
            </w:pPr>
            <w:r w:rsidRPr="006C5EF9">
              <w:rPr>
                <w:b/>
                <w:bCs/>
              </w:rPr>
              <w:t>Councillor</w:t>
            </w:r>
          </w:p>
        </w:tc>
        <w:tc>
          <w:tcPr>
            <w:tcW w:w="4530" w:type="dxa"/>
            <w:tcBorders>
              <w:top w:val="single" w:sz="4" w:space="0" w:color="auto"/>
              <w:left w:val="single" w:sz="4" w:space="0" w:color="auto"/>
              <w:bottom w:val="single" w:sz="4" w:space="0" w:color="auto"/>
              <w:right w:val="single" w:sz="4" w:space="0" w:color="auto"/>
            </w:tcBorders>
            <w:shd w:val="clear" w:color="auto" w:fill="00B0F0"/>
            <w:hideMark/>
          </w:tcPr>
          <w:p w14:paraId="123FABBD" w14:textId="77777777" w:rsidR="006C5EF9" w:rsidRPr="006C5EF9" w:rsidRDefault="006C5EF9" w:rsidP="00F42537">
            <w:pPr>
              <w:jc w:val="both"/>
              <w:rPr>
                <w:b/>
                <w:bCs/>
              </w:rPr>
            </w:pPr>
            <w:r w:rsidRPr="006C5EF9">
              <w:rPr>
                <w:b/>
                <w:bCs/>
              </w:rPr>
              <w:t>Party</w:t>
            </w:r>
          </w:p>
        </w:tc>
      </w:tr>
      <w:tr w:rsidR="006C5EF9" w:rsidRPr="006C5EF9" w14:paraId="485E50AD" w14:textId="77777777" w:rsidTr="006C5EF9">
        <w:trPr>
          <w:trHeight w:val="378"/>
        </w:trPr>
        <w:tc>
          <w:tcPr>
            <w:tcW w:w="5252" w:type="dxa"/>
            <w:tcBorders>
              <w:top w:val="single" w:sz="4" w:space="0" w:color="auto"/>
              <w:left w:val="single" w:sz="4" w:space="0" w:color="auto"/>
              <w:bottom w:val="single" w:sz="4" w:space="0" w:color="auto"/>
              <w:right w:val="single" w:sz="4" w:space="0" w:color="auto"/>
            </w:tcBorders>
            <w:hideMark/>
          </w:tcPr>
          <w:p w14:paraId="7DD3D672" w14:textId="77777777" w:rsidR="006C5EF9" w:rsidRPr="006C5EF9" w:rsidRDefault="006C5EF9" w:rsidP="00F42537">
            <w:pPr>
              <w:jc w:val="both"/>
              <w:rPr>
                <w:b/>
                <w:bCs/>
              </w:rPr>
            </w:pPr>
            <w:r w:rsidRPr="006C5EF9">
              <w:rPr>
                <w:b/>
                <w:bCs/>
              </w:rPr>
              <w:t>Brian Lawlor</w:t>
            </w:r>
          </w:p>
        </w:tc>
        <w:tc>
          <w:tcPr>
            <w:tcW w:w="4530" w:type="dxa"/>
            <w:tcBorders>
              <w:top w:val="single" w:sz="4" w:space="0" w:color="auto"/>
              <w:left w:val="single" w:sz="4" w:space="0" w:color="auto"/>
              <w:bottom w:val="single" w:sz="4" w:space="0" w:color="auto"/>
              <w:right w:val="single" w:sz="4" w:space="0" w:color="auto"/>
            </w:tcBorders>
            <w:hideMark/>
          </w:tcPr>
          <w:p w14:paraId="42D6E00E" w14:textId="77777777" w:rsidR="006C5EF9" w:rsidRPr="006C5EF9" w:rsidRDefault="006C5EF9" w:rsidP="00F42537">
            <w:pPr>
              <w:jc w:val="both"/>
              <w:rPr>
                <w:b/>
                <w:bCs/>
              </w:rPr>
            </w:pPr>
            <w:r w:rsidRPr="006C5EF9">
              <w:rPr>
                <w:b/>
                <w:bCs/>
              </w:rPr>
              <w:t>FG</w:t>
            </w:r>
          </w:p>
        </w:tc>
      </w:tr>
    </w:tbl>
    <w:p w14:paraId="2FAEEF3A" w14:textId="2F1A2F1E" w:rsidR="006C5EF9" w:rsidRPr="006C5EF9" w:rsidRDefault="001600B1" w:rsidP="00F42537">
      <w:pPr>
        <w:spacing w:after="0" w:line="240" w:lineRule="auto"/>
        <w:jc w:val="both"/>
        <w:rPr>
          <w:b/>
          <w:bCs/>
        </w:rPr>
      </w:pPr>
      <w:r w:rsidRPr="006C5EF9">
        <w:rPr>
          <w:b/>
          <w:bCs/>
        </w:rPr>
        <w:t xml:space="preserve"> </w:t>
      </w:r>
    </w:p>
    <w:p w14:paraId="608E5BDD" w14:textId="1615904B" w:rsidR="006C5EF9" w:rsidRPr="006C5EF9" w:rsidRDefault="006C5EF9" w:rsidP="00F42537">
      <w:pPr>
        <w:spacing w:after="0" w:line="240" w:lineRule="auto"/>
        <w:jc w:val="both"/>
        <w:rPr>
          <w:b/>
          <w:bCs/>
        </w:rPr>
      </w:pPr>
      <w:bookmarkStart w:id="156" w:name="_Toc168915108"/>
      <w:r w:rsidRPr="006C5EF9">
        <w:rPr>
          <w:b/>
        </w:rPr>
        <w:t>Regional Health Forum - Dublin - Mid Leinster</w:t>
      </w:r>
      <w:bookmarkEnd w:id="156"/>
    </w:p>
    <w:tbl>
      <w:tblPr>
        <w:tblStyle w:val="TableGrid"/>
        <w:tblpPr w:leftFromText="180" w:rightFromText="180" w:vertAnchor="text" w:horzAnchor="page" w:tblpX="1334" w:tblpY="277"/>
        <w:tblW w:w="9782" w:type="dxa"/>
        <w:tblLook w:val="04A0" w:firstRow="1" w:lastRow="0" w:firstColumn="1" w:lastColumn="0" w:noHBand="0" w:noVBand="1"/>
      </w:tblPr>
      <w:tblGrid>
        <w:gridCol w:w="5252"/>
        <w:gridCol w:w="4530"/>
      </w:tblGrid>
      <w:tr w:rsidR="006C5EF9" w:rsidRPr="006C5EF9" w14:paraId="5FF10E45" w14:textId="77777777" w:rsidTr="006C5EF9">
        <w:trPr>
          <w:trHeight w:val="378"/>
        </w:trPr>
        <w:tc>
          <w:tcPr>
            <w:tcW w:w="5252" w:type="dxa"/>
            <w:tcBorders>
              <w:top w:val="single" w:sz="4" w:space="0" w:color="auto"/>
              <w:left w:val="single" w:sz="4" w:space="0" w:color="auto"/>
              <w:bottom w:val="single" w:sz="4" w:space="0" w:color="auto"/>
              <w:right w:val="single" w:sz="4" w:space="0" w:color="auto"/>
            </w:tcBorders>
            <w:shd w:val="clear" w:color="auto" w:fill="00B0F0"/>
            <w:hideMark/>
          </w:tcPr>
          <w:p w14:paraId="50671296" w14:textId="77777777" w:rsidR="006C5EF9" w:rsidRPr="006C5EF9" w:rsidRDefault="006C5EF9" w:rsidP="00F42537">
            <w:pPr>
              <w:jc w:val="both"/>
              <w:rPr>
                <w:b/>
                <w:bCs/>
              </w:rPr>
            </w:pPr>
            <w:r w:rsidRPr="006C5EF9">
              <w:rPr>
                <w:b/>
                <w:bCs/>
              </w:rPr>
              <w:t>Councillor</w:t>
            </w:r>
          </w:p>
        </w:tc>
        <w:tc>
          <w:tcPr>
            <w:tcW w:w="4530" w:type="dxa"/>
            <w:tcBorders>
              <w:top w:val="single" w:sz="4" w:space="0" w:color="auto"/>
              <w:left w:val="single" w:sz="4" w:space="0" w:color="auto"/>
              <w:bottom w:val="single" w:sz="4" w:space="0" w:color="auto"/>
              <w:right w:val="single" w:sz="4" w:space="0" w:color="auto"/>
            </w:tcBorders>
            <w:shd w:val="clear" w:color="auto" w:fill="00B0F0"/>
            <w:hideMark/>
          </w:tcPr>
          <w:p w14:paraId="1D40F483" w14:textId="77777777" w:rsidR="006C5EF9" w:rsidRPr="006C5EF9" w:rsidRDefault="006C5EF9" w:rsidP="00F42537">
            <w:pPr>
              <w:jc w:val="both"/>
              <w:rPr>
                <w:b/>
                <w:bCs/>
              </w:rPr>
            </w:pPr>
            <w:r w:rsidRPr="006C5EF9">
              <w:rPr>
                <w:b/>
                <w:bCs/>
              </w:rPr>
              <w:t>Party</w:t>
            </w:r>
          </w:p>
        </w:tc>
      </w:tr>
      <w:tr w:rsidR="006C5EF9" w:rsidRPr="006C5EF9" w14:paraId="32D70A51" w14:textId="77777777" w:rsidTr="006C5EF9">
        <w:trPr>
          <w:trHeight w:val="378"/>
        </w:trPr>
        <w:tc>
          <w:tcPr>
            <w:tcW w:w="5252" w:type="dxa"/>
            <w:tcBorders>
              <w:top w:val="single" w:sz="4" w:space="0" w:color="auto"/>
              <w:left w:val="single" w:sz="4" w:space="0" w:color="auto"/>
              <w:bottom w:val="single" w:sz="4" w:space="0" w:color="auto"/>
              <w:right w:val="single" w:sz="4" w:space="0" w:color="auto"/>
            </w:tcBorders>
            <w:hideMark/>
          </w:tcPr>
          <w:p w14:paraId="3DBD4E40" w14:textId="77777777" w:rsidR="006C5EF9" w:rsidRPr="006C5EF9" w:rsidRDefault="006C5EF9" w:rsidP="00F42537">
            <w:pPr>
              <w:jc w:val="both"/>
              <w:rPr>
                <w:b/>
                <w:bCs/>
              </w:rPr>
            </w:pPr>
            <w:r w:rsidRPr="006C5EF9">
              <w:rPr>
                <w:b/>
                <w:bCs/>
              </w:rPr>
              <w:t>Sarah Barnes</w:t>
            </w:r>
          </w:p>
        </w:tc>
        <w:tc>
          <w:tcPr>
            <w:tcW w:w="4530" w:type="dxa"/>
            <w:tcBorders>
              <w:top w:val="single" w:sz="4" w:space="0" w:color="auto"/>
              <w:left w:val="single" w:sz="4" w:space="0" w:color="auto"/>
              <w:bottom w:val="single" w:sz="4" w:space="0" w:color="auto"/>
              <w:right w:val="single" w:sz="4" w:space="0" w:color="auto"/>
            </w:tcBorders>
            <w:hideMark/>
          </w:tcPr>
          <w:p w14:paraId="226FB748" w14:textId="77777777" w:rsidR="006C5EF9" w:rsidRPr="006C5EF9" w:rsidRDefault="006C5EF9" w:rsidP="00F42537">
            <w:pPr>
              <w:jc w:val="both"/>
              <w:rPr>
                <w:b/>
                <w:bCs/>
              </w:rPr>
            </w:pPr>
            <w:r w:rsidRPr="006C5EF9">
              <w:rPr>
                <w:b/>
                <w:bCs/>
              </w:rPr>
              <w:t>FG</w:t>
            </w:r>
          </w:p>
        </w:tc>
      </w:tr>
      <w:tr w:rsidR="006C5EF9" w:rsidRPr="006C5EF9" w14:paraId="0B6C64B9" w14:textId="77777777" w:rsidTr="006C5EF9">
        <w:trPr>
          <w:trHeight w:val="378"/>
        </w:trPr>
        <w:tc>
          <w:tcPr>
            <w:tcW w:w="5252" w:type="dxa"/>
            <w:tcBorders>
              <w:top w:val="single" w:sz="4" w:space="0" w:color="auto"/>
              <w:left w:val="single" w:sz="4" w:space="0" w:color="auto"/>
              <w:bottom w:val="single" w:sz="4" w:space="0" w:color="auto"/>
              <w:right w:val="single" w:sz="4" w:space="0" w:color="auto"/>
            </w:tcBorders>
            <w:hideMark/>
          </w:tcPr>
          <w:p w14:paraId="5167E3E9" w14:textId="77777777" w:rsidR="006C5EF9" w:rsidRPr="006C5EF9" w:rsidRDefault="006C5EF9" w:rsidP="00F42537">
            <w:pPr>
              <w:jc w:val="both"/>
              <w:rPr>
                <w:b/>
                <w:bCs/>
              </w:rPr>
            </w:pPr>
            <w:r w:rsidRPr="006C5EF9">
              <w:rPr>
                <w:b/>
                <w:bCs/>
              </w:rPr>
              <w:t>Liona O'Toole</w:t>
            </w:r>
          </w:p>
        </w:tc>
        <w:tc>
          <w:tcPr>
            <w:tcW w:w="4530" w:type="dxa"/>
            <w:tcBorders>
              <w:top w:val="single" w:sz="4" w:space="0" w:color="auto"/>
              <w:left w:val="single" w:sz="4" w:space="0" w:color="auto"/>
              <w:bottom w:val="single" w:sz="4" w:space="0" w:color="auto"/>
              <w:right w:val="single" w:sz="4" w:space="0" w:color="auto"/>
            </w:tcBorders>
            <w:hideMark/>
          </w:tcPr>
          <w:p w14:paraId="199F32CB" w14:textId="77777777" w:rsidR="006C5EF9" w:rsidRPr="006C5EF9" w:rsidRDefault="006C5EF9" w:rsidP="00F42537">
            <w:pPr>
              <w:jc w:val="both"/>
              <w:rPr>
                <w:b/>
                <w:bCs/>
              </w:rPr>
            </w:pPr>
            <w:r w:rsidRPr="006C5EF9">
              <w:rPr>
                <w:b/>
                <w:bCs/>
              </w:rPr>
              <w:t>IND</w:t>
            </w:r>
          </w:p>
        </w:tc>
      </w:tr>
      <w:tr w:rsidR="006C5EF9" w:rsidRPr="006C5EF9" w14:paraId="68E12C20" w14:textId="77777777" w:rsidTr="006C5EF9">
        <w:trPr>
          <w:trHeight w:val="378"/>
        </w:trPr>
        <w:tc>
          <w:tcPr>
            <w:tcW w:w="5252" w:type="dxa"/>
            <w:tcBorders>
              <w:top w:val="single" w:sz="4" w:space="0" w:color="auto"/>
              <w:left w:val="single" w:sz="4" w:space="0" w:color="auto"/>
              <w:bottom w:val="single" w:sz="4" w:space="0" w:color="auto"/>
              <w:right w:val="single" w:sz="4" w:space="0" w:color="auto"/>
            </w:tcBorders>
            <w:hideMark/>
          </w:tcPr>
          <w:p w14:paraId="5860D1EA" w14:textId="77777777" w:rsidR="006C5EF9" w:rsidRPr="006C5EF9" w:rsidRDefault="006C5EF9" w:rsidP="00F42537">
            <w:pPr>
              <w:jc w:val="both"/>
              <w:rPr>
                <w:b/>
                <w:bCs/>
              </w:rPr>
            </w:pPr>
            <w:r w:rsidRPr="006C5EF9">
              <w:rPr>
                <w:b/>
                <w:bCs/>
              </w:rPr>
              <w:t>Baby Pereppadan</w:t>
            </w:r>
          </w:p>
        </w:tc>
        <w:tc>
          <w:tcPr>
            <w:tcW w:w="4530" w:type="dxa"/>
            <w:tcBorders>
              <w:top w:val="single" w:sz="4" w:space="0" w:color="auto"/>
              <w:left w:val="single" w:sz="4" w:space="0" w:color="auto"/>
              <w:bottom w:val="single" w:sz="4" w:space="0" w:color="auto"/>
              <w:right w:val="single" w:sz="4" w:space="0" w:color="auto"/>
            </w:tcBorders>
            <w:hideMark/>
          </w:tcPr>
          <w:p w14:paraId="1561ED81" w14:textId="77777777" w:rsidR="006C5EF9" w:rsidRPr="006C5EF9" w:rsidRDefault="006C5EF9" w:rsidP="00F42537">
            <w:pPr>
              <w:jc w:val="both"/>
              <w:rPr>
                <w:b/>
                <w:bCs/>
              </w:rPr>
            </w:pPr>
            <w:r w:rsidRPr="006C5EF9">
              <w:rPr>
                <w:b/>
                <w:bCs/>
              </w:rPr>
              <w:t>FG</w:t>
            </w:r>
          </w:p>
        </w:tc>
      </w:tr>
      <w:tr w:rsidR="006C5EF9" w:rsidRPr="006C5EF9" w14:paraId="2E40F780" w14:textId="77777777" w:rsidTr="006C5EF9">
        <w:trPr>
          <w:trHeight w:val="378"/>
        </w:trPr>
        <w:tc>
          <w:tcPr>
            <w:tcW w:w="5252" w:type="dxa"/>
            <w:tcBorders>
              <w:top w:val="single" w:sz="4" w:space="0" w:color="auto"/>
              <w:left w:val="single" w:sz="4" w:space="0" w:color="auto"/>
              <w:bottom w:val="single" w:sz="4" w:space="0" w:color="auto"/>
              <w:right w:val="single" w:sz="4" w:space="0" w:color="auto"/>
            </w:tcBorders>
            <w:hideMark/>
          </w:tcPr>
          <w:p w14:paraId="2166C5A8" w14:textId="77777777" w:rsidR="006C5EF9" w:rsidRPr="006C5EF9" w:rsidRDefault="006C5EF9" w:rsidP="00F42537">
            <w:pPr>
              <w:jc w:val="both"/>
              <w:rPr>
                <w:b/>
                <w:bCs/>
              </w:rPr>
            </w:pPr>
            <w:r w:rsidRPr="006C5EF9">
              <w:rPr>
                <w:b/>
                <w:bCs/>
              </w:rPr>
              <w:lastRenderedPageBreak/>
              <w:t>Joanna Tuffy</w:t>
            </w:r>
          </w:p>
        </w:tc>
        <w:tc>
          <w:tcPr>
            <w:tcW w:w="4530" w:type="dxa"/>
            <w:tcBorders>
              <w:top w:val="single" w:sz="4" w:space="0" w:color="auto"/>
              <w:left w:val="single" w:sz="4" w:space="0" w:color="auto"/>
              <w:bottom w:val="single" w:sz="4" w:space="0" w:color="auto"/>
              <w:right w:val="single" w:sz="4" w:space="0" w:color="auto"/>
            </w:tcBorders>
            <w:hideMark/>
          </w:tcPr>
          <w:p w14:paraId="7EB9856F" w14:textId="77777777" w:rsidR="006C5EF9" w:rsidRPr="006C5EF9" w:rsidRDefault="006C5EF9" w:rsidP="00F42537">
            <w:pPr>
              <w:jc w:val="both"/>
              <w:rPr>
                <w:b/>
                <w:bCs/>
              </w:rPr>
            </w:pPr>
            <w:r w:rsidRPr="006C5EF9">
              <w:rPr>
                <w:b/>
                <w:bCs/>
              </w:rPr>
              <w:t>LAB</w:t>
            </w:r>
          </w:p>
        </w:tc>
      </w:tr>
      <w:tr w:rsidR="006C5EF9" w:rsidRPr="006C5EF9" w14:paraId="36C50FFC" w14:textId="77777777" w:rsidTr="006C5EF9">
        <w:trPr>
          <w:trHeight w:val="378"/>
        </w:trPr>
        <w:tc>
          <w:tcPr>
            <w:tcW w:w="5252" w:type="dxa"/>
            <w:tcBorders>
              <w:top w:val="single" w:sz="4" w:space="0" w:color="auto"/>
              <w:left w:val="single" w:sz="4" w:space="0" w:color="auto"/>
              <w:bottom w:val="single" w:sz="4" w:space="0" w:color="auto"/>
              <w:right w:val="single" w:sz="4" w:space="0" w:color="auto"/>
            </w:tcBorders>
            <w:hideMark/>
          </w:tcPr>
          <w:p w14:paraId="0D63ACDD" w14:textId="77777777" w:rsidR="006C5EF9" w:rsidRPr="006C5EF9" w:rsidRDefault="006C5EF9" w:rsidP="00F42537">
            <w:pPr>
              <w:jc w:val="both"/>
              <w:rPr>
                <w:b/>
                <w:bCs/>
              </w:rPr>
            </w:pPr>
            <w:r w:rsidRPr="006C5EF9">
              <w:rPr>
                <w:b/>
                <w:bCs/>
              </w:rPr>
              <w:t>Yvonne Collins</w:t>
            </w:r>
          </w:p>
        </w:tc>
        <w:tc>
          <w:tcPr>
            <w:tcW w:w="4530" w:type="dxa"/>
            <w:tcBorders>
              <w:top w:val="single" w:sz="4" w:space="0" w:color="auto"/>
              <w:left w:val="single" w:sz="4" w:space="0" w:color="auto"/>
              <w:bottom w:val="single" w:sz="4" w:space="0" w:color="auto"/>
              <w:right w:val="single" w:sz="4" w:space="0" w:color="auto"/>
            </w:tcBorders>
            <w:hideMark/>
          </w:tcPr>
          <w:p w14:paraId="43EB5913" w14:textId="77777777" w:rsidR="006C5EF9" w:rsidRPr="006C5EF9" w:rsidRDefault="006C5EF9" w:rsidP="00F42537">
            <w:pPr>
              <w:jc w:val="both"/>
              <w:rPr>
                <w:b/>
                <w:bCs/>
              </w:rPr>
            </w:pPr>
            <w:r w:rsidRPr="006C5EF9">
              <w:rPr>
                <w:b/>
                <w:bCs/>
              </w:rPr>
              <w:t>FF</w:t>
            </w:r>
          </w:p>
        </w:tc>
      </w:tr>
      <w:tr w:rsidR="006C5EF9" w:rsidRPr="006C5EF9" w14:paraId="0A77489E" w14:textId="77777777" w:rsidTr="006C5EF9">
        <w:trPr>
          <w:trHeight w:val="378"/>
        </w:trPr>
        <w:tc>
          <w:tcPr>
            <w:tcW w:w="5252" w:type="dxa"/>
            <w:tcBorders>
              <w:top w:val="single" w:sz="4" w:space="0" w:color="auto"/>
              <w:left w:val="single" w:sz="4" w:space="0" w:color="auto"/>
              <w:bottom w:val="single" w:sz="4" w:space="0" w:color="auto"/>
              <w:right w:val="single" w:sz="4" w:space="0" w:color="auto"/>
            </w:tcBorders>
            <w:hideMark/>
          </w:tcPr>
          <w:p w14:paraId="41030778" w14:textId="77777777" w:rsidR="006C5EF9" w:rsidRPr="006C5EF9" w:rsidRDefault="006C5EF9" w:rsidP="00F42537">
            <w:pPr>
              <w:jc w:val="both"/>
              <w:rPr>
                <w:b/>
                <w:bCs/>
              </w:rPr>
            </w:pPr>
            <w:r w:rsidRPr="006C5EF9">
              <w:rPr>
                <w:b/>
                <w:bCs/>
              </w:rPr>
              <w:t>Niamh Whelan</w:t>
            </w:r>
          </w:p>
        </w:tc>
        <w:tc>
          <w:tcPr>
            <w:tcW w:w="4530" w:type="dxa"/>
            <w:tcBorders>
              <w:top w:val="single" w:sz="4" w:space="0" w:color="auto"/>
              <w:left w:val="single" w:sz="4" w:space="0" w:color="auto"/>
              <w:bottom w:val="single" w:sz="4" w:space="0" w:color="auto"/>
              <w:right w:val="single" w:sz="4" w:space="0" w:color="auto"/>
            </w:tcBorders>
            <w:hideMark/>
          </w:tcPr>
          <w:p w14:paraId="2C426707" w14:textId="77777777" w:rsidR="006C5EF9" w:rsidRPr="006C5EF9" w:rsidRDefault="006C5EF9" w:rsidP="00F42537">
            <w:pPr>
              <w:jc w:val="both"/>
              <w:rPr>
                <w:b/>
                <w:bCs/>
              </w:rPr>
            </w:pPr>
            <w:r w:rsidRPr="006C5EF9">
              <w:rPr>
                <w:b/>
                <w:bCs/>
              </w:rPr>
              <w:t>SF</w:t>
            </w:r>
          </w:p>
        </w:tc>
      </w:tr>
    </w:tbl>
    <w:p w14:paraId="6BFBBACA" w14:textId="77777777" w:rsidR="006C5EF9" w:rsidRPr="006C5EF9" w:rsidRDefault="006C5EF9" w:rsidP="00F42537">
      <w:pPr>
        <w:spacing w:after="0" w:line="240" w:lineRule="auto"/>
        <w:jc w:val="both"/>
        <w:rPr>
          <w:b/>
          <w:bCs/>
        </w:rPr>
      </w:pPr>
    </w:p>
    <w:p w14:paraId="430D887C" w14:textId="3381204F" w:rsidR="006C5EF9" w:rsidRPr="006C5EF9" w:rsidRDefault="006C5EF9" w:rsidP="00F42537">
      <w:pPr>
        <w:spacing w:after="0" w:line="240" w:lineRule="auto"/>
        <w:jc w:val="both"/>
      </w:pPr>
      <w:bookmarkStart w:id="157" w:name="_Toc168915110"/>
      <w:r w:rsidRPr="006C5EF9">
        <w:rPr>
          <w:b/>
        </w:rPr>
        <w:t>South Dublin Local Community Development Committee</w:t>
      </w:r>
      <w:bookmarkEnd w:id="157"/>
    </w:p>
    <w:tbl>
      <w:tblPr>
        <w:tblStyle w:val="TableGrid"/>
        <w:tblpPr w:leftFromText="180" w:rightFromText="180" w:vertAnchor="text" w:horzAnchor="page" w:tblpX="1334" w:tblpY="277"/>
        <w:tblW w:w="9782" w:type="dxa"/>
        <w:tblLook w:val="04A0" w:firstRow="1" w:lastRow="0" w:firstColumn="1" w:lastColumn="0" w:noHBand="0" w:noVBand="1"/>
      </w:tblPr>
      <w:tblGrid>
        <w:gridCol w:w="5252"/>
        <w:gridCol w:w="4530"/>
      </w:tblGrid>
      <w:tr w:rsidR="006C5EF9" w:rsidRPr="006C5EF9" w14:paraId="27367CA5" w14:textId="77777777" w:rsidTr="006C5EF9">
        <w:trPr>
          <w:trHeight w:val="378"/>
        </w:trPr>
        <w:tc>
          <w:tcPr>
            <w:tcW w:w="5252" w:type="dxa"/>
            <w:tcBorders>
              <w:top w:val="single" w:sz="4" w:space="0" w:color="auto"/>
              <w:left w:val="single" w:sz="4" w:space="0" w:color="auto"/>
              <w:bottom w:val="single" w:sz="4" w:space="0" w:color="auto"/>
              <w:right w:val="single" w:sz="4" w:space="0" w:color="auto"/>
            </w:tcBorders>
            <w:shd w:val="clear" w:color="auto" w:fill="00B0F0"/>
            <w:hideMark/>
          </w:tcPr>
          <w:p w14:paraId="7939E438" w14:textId="77777777" w:rsidR="006C5EF9" w:rsidRPr="006C5EF9" w:rsidRDefault="006C5EF9" w:rsidP="00F42537">
            <w:pPr>
              <w:jc w:val="both"/>
              <w:rPr>
                <w:b/>
                <w:bCs/>
              </w:rPr>
            </w:pPr>
            <w:r w:rsidRPr="006C5EF9">
              <w:rPr>
                <w:b/>
                <w:bCs/>
              </w:rPr>
              <w:t>Councillor</w:t>
            </w:r>
          </w:p>
        </w:tc>
        <w:tc>
          <w:tcPr>
            <w:tcW w:w="4530" w:type="dxa"/>
            <w:tcBorders>
              <w:top w:val="single" w:sz="4" w:space="0" w:color="auto"/>
              <w:left w:val="single" w:sz="4" w:space="0" w:color="auto"/>
              <w:bottom w:val="single" w:sz="4" w:space="0" w:color="auto"/>
              <w:right w:val="single" w:sz="4" w:space="0" w:color="auto"/>
            </w:tcBorders>
            <w:shd w:val="clear" w:color="auto" w:fill="00B0F0"/>
            <w:hideMark/>
          </w:tcPr>
          <w:p w14:paraId="3CF53D1E" w14:textId="77777777" w:rsidR="006C5EF9" w:rsidRPr="006C5EF9" w:rsidRDefault="006C5EF9" w:rsidP="00F42537">
            <w:pPr>
              <w:jc w:val="both"/>
              <w:rPr>
                <w:b/>
                <w:bCs/>
              </w:rPr>
            </w:pPr>
            <w:r w:rsidRPr="006C5EF9">
              <w:rPr>
                <w:b/>
                <w:bCs/>
              </w:rPr>
              <w:t>Party</w:t>
            </w:r>
          </w:p>
        </w:tc>
      </w:tr>
      <w:tr w:rsidR="006C5EF9" w:rsidRPr="006C5EF9" w14:paraId="1A1B1E95" w14:textId="77777777" w:rsidTr="006C5EF9">
        <w:trPr>
          <w:trHeight w:val="378"/>
        </w:trPr>
        <w:tc>
          <w:tcPr>
            <w:tcW w:w="5252" w:type="dxa"/>
            <w:tcBorders>
              <w:top w:val="single" w:sz="4" w:space="0" w:color="auto"/>
              <w:left w:val="single" w:sz="4" w:space="0" w:color="auto"/>
              <w:bottom w:val="single" w:sz="4" w:space="0" w:color="auto"/>
              <w:right w:val="single" w:sz="4" w:space="0" w:color="auto"/>
            </w:tcBorders>
            <w:hideMark/>
          </w:tcPr>
          <w:p w14:paraId="70588A20" w14:textId="77777777" w:rsidR="006C5EF9" w:rsidRPr="006C5EF9" w:rsidRDefault="006C5EF9" w:rsidP="00F42537">
            <w:pPr>
              <w:jc w:val="both"/>
              <w:rPr>
                <w:b/>
                <w:bCs/>
              </w:rPr>
            </w:pPr>
            <w:r w:rsidRPr="006C5EF9">
              <w:rPr>
                <w:b/>
                <w:bCs/>
              </w:rPr>
              <w:t>Alan Hayes</w:t>
            </w:r>
          </w:p>
        </w:tc>
        <w:tc>
          <w:tcPr>
            <w:tcW w:w="4530" w:type="dxa"/>
            <w:tcBorders>
              <w:top w:val="single" w:sz="4" w:space="0" w:color="auto"/>
              <w:left w:val="single" w:sz="4" w:space="0" w:color="auto"/>
              <w:bottom w:val="single" w:sz="4" w:space="0" w:color="auto"/>
              <w:right w:val="single" w:sz="4" w:space="0" w:color="auto"/>
            </w:tcBorders>
            <w:hideMark/>
          </w:tcPr>
          <w:p w14:paraId="0FB7D2B5" w14:textId="77777777" w:rsidR="006C5EF9" w:rsidRPr="006C5EF9" w:rsidRDefault="006C5EF9" w:rsidP="00F42537">
            <w:pPr>
              <w:jc w:val="both"/>
              <w:rPr>
                <w:b/>
                <w:bCs/>
              </w:rPr>
            </w:pPr>
            <w:r w:rsidRPr="006C5EF9">
              <w:rPr>
                <w:b/>
                <w:bCs/>
              </w:rPr>
              <w:t>IND</w:t>
            </w:r>
          </w:p>
        </w:tc>
      </w:tr>
      <w:tr w:rsidR="006C5EF9" w:rsidRPr="006C5EF9" w14:paraId="1E898968" w14:textId="77777777" w:rsidTr="006C5EF9">
        <w:trPr>
          <w:trHeight w:val="378"/>
        </w:trPr>
        <w:tc>
          <w:tcPr>
            <w:tcW w:w="5252" w:type="dxa"/>
            <w:tcBorders>
              <w:top w:val="single" w:sz="4" w:space="0" w:color="auto"/>
              <w:left w:val="single" w:sz="4" w:space="0" w:color="auto"/>
              <w:bottom w:val="single" w:sz="4" w:space="0" w:color="auto"/>
              <w:right w:val="single" w:sz="4" w:space="0" w:color="auto"/>
            </w:tcBorders>
            <w:hideMark/>
          </w:tcPr>
          <w:p w14:paraId="1D70EFC8" w14:textId="77777777" w:rsidR="006C5EF9" w:rsidRPr="006C5EF9" w:rsidRDefault="006C5EF9" w:rsidP="00F42537">
            <w:pPr>
              <w:jc w:val="both"/>
              <w:rPr>
                <w:b/>
                <w:bCs/>
              </w:rPr>
            </w:pPr>
            <w:r w:rsidRPr="006C5EF9">
              <w:rPr>
                <w:b/>
                <w:bCs/>
              </w:rPr>
              <w:t>Yvonne Collins</w:t>
            </w:r>
          </w:p>
        </w:tc>
        <w:tc>
          <w:tcPr>
            <w:tcW w:w="4530" w:type="dxa"/>
            <w:tcBorders>
              <w:top w:val="single" w:sz="4" w:space="0" w:color="auto"/>
              <w:left w:val="single" w:sz="4" w:space="0" w:color="auto"/>
              <w:bottom w:val="single" w:sz="4" w:space="0" w:color="auto"/>
              <w:right w:val="single" w:sz="4" w:space="0" w:color="auto"/>
            </w:tcBorders>
            <w:hideMark/>
          </w:tcPr>
          <w:p w14:paraId="10AB813C" w14:textId="77777777" w:rsidR="006C5EF9" w:rsidRPr="006C5EF9" w:rsidRDefault="006C5EF9" w:rsidP="00F42537">
            <w:pPr>
              <w:jc w:val="both"/>
              <w:rPr>
                <w:b/>
                <w:bCs/>
              </w:rPr>
            </w:pPr>
            <w:r w:rsidRPr="006C5EF9">
              <w:rPr>
                <w:b/>
                <w:bCs/>
              </w:rPr>
              <w:t>FF</w:t>
            </w:r>
          </w:p>
        </w:tc>
      </w:tr>
      <w:tr w:rsidR="006C5EF9" w:rsidRPr="006C5EF9" w14:paraId="1B5555CA" w14:textId="77777777" w:rsidTr="006C5EF9">
        <w:trPr>
          <w:trHeight w:val="378"/>
        </w:trPr>
        <w:tc>
          <w:tcPr>
            <w:tcW w:w="5252" w:type="dxa"/>
            <w:tcBorders>
              <w:top w:val="single" w:sz="4" w:space="0" w:color="auto"/>
              <w:left w:val="single" w:sz="4" w:space="0" w:color="auto"/>
              <w:bottom w:val="single" w:sz="4" w:space="0" w:color="auto"/>
              <w:right w:val="single" w:sz="4" w:space="0" w:color="auto"/>
            </w:tcBorders>
            <w:hideMark/>
          </w:tcPr>
          <w:p w14:paraId="1D690D83" w14:textId="77777777" w:rsidR="006C5EF9" w:rsidRPr="006C5EF9" w:rsidRDefault="006C5EF9" w:rsidP="00F42537">
            <w:pPr>
              <w:jc w:val="both"/>
              <w:rPr>
                <w:b/>
                <w:bCs/>
              </w:rPr>
            </w:pPr>
            <w:r w:rsidRPr="006C5EF9">
              <w:rPr>
                <w:b/>
                <w:bCs/>
              </w:rPr>
              <w:t>Sarah Barnes</w:t>
            </w:r>
          </w:p>
        </w:tc>
        <w:tc>
          <w:tcPr>
            <w:tcW w:w="4530" w:type="dxa"/>
            <w:tcBorders>
              <w:top w:val="single" w:sz="4" w:space="0" w:color="auto"/>
              <w:left w:val="single" w:sz="4" w:space="0" w:color="auto"/>
              <w:bottom w:val="single" w:sz="4" w:space="0" w:color="auto"/>
              <w:right w:val="single" w:sz="4" w:space="0" w:color="auto"/>
            </w:tcBorders>
            <w:hideMark/>
          </w:tcPr>
          <w:p w14:paraId="62380CF1" w14:textId="77777777" w:rsidR="006C5EF9" w:rsidRPr="006C5EF9" w:rsidRDefault="006C5EF9" w:rsidP="00F42537">
            <w:pPr>
              <w:jc w:val="both"/>
              <w:rPr>
                <w:b/>
                <w:bCs/>
              </w:rPr>
            </w:pPr>
            <w:r w:rsidRPr="006C5EF9">
              <w:rPr>
                <w:b/>
                <w:bCs/>
              </w:rPr>
              <w:t>FG</w:t>
            </w:r>
          </w:p>
        </w:tc>
      </w:tr>
    </w:tbl>
    <w:p w14:paraId="7357F596" w14:textId="77777777" w:rsidR="006C5EF9" w:rsidRPr="006C5EF9" w:rsidRDefault="006C5EF9" w:rsidP="00F42537">
      <w:pPr>
        <w:spacing w:after="0" w:line="240" w:lineRule="auto"/>
        <w:jc w:val="both"/>
        <w:rPr>
          <w:b/>
          <w:bCs/>
          <w:lang w:val="pt-PT"/>
        </w:rPr>
      </w:pPr>
    </w:p>
    <w:p w14:paraId="42742FB7" w14:textId="5D0D54FF" w:rsidR="006C5EF9" w:rsidRPr="006C5EF9" w:rsidRDefault="006C5EF9" w:rsidP="00F42537">
      <w:pPr>
        <w:spacing w:after="0" w:line="240" w:lineRule="auto"/>
        <w:jc w:val="both"/>
        <w:rPr>
          <w:b/>
          <w:bCs/>
          <w:lang w:val="pt-PT"/>
        </w:rPr>
      </w:pPr>
      <w:bookmarkStart w:id="158" w:name="_Toc168915111"/>
      <w:r w:rsidRPr="006C5EF9">
        <w:rPr>
          <w:b/>
        </w:rPr>
        <w:t>South Dublin County Partnership</w:t>
      </w:r>
      <w:bookmarkEnd w:id="158"/>
    </w:p>
    <w:tbl>
      <w:tblPr>
        <w:tblStyle w:val="TableGrid"/>
        <w:tblpPr w:leftFromText="180" w:rightFromText="180" w:vertAnchor="text" w:horzAnchor="page" w:tblpX="1334" w:tblpY="277"/>
        <w:tblW w:w="9782" w:type="dxa"/>
        <w:tblLook w:val="04A0" w:firstRow="1" w:lastRow="0" w:firstColumn="1" w:lastColumn="0" w:noHBand="0" w:noVBand="1"/>
      </w:tblPr>
      <w:tblGrid>
        <w:gridCol w:w="5252"/>
        <w:gridCol w:w="4530"/>
      </w:tblGrid>
      <w:tr w:rsidR="006C5EF9" w:rsidRPr="006C5EF9" w14:paraId="68A50E79" w14:textId="77777777" w:rsidTr="006C5EF9">
        <w:trPr>
          <w:trHeight w:val="378"/>
        </w:trPr>
        <w:tc>
          <w:tcPr>
            <w:tcW w:w="5252" w:type="dxa"/>
            <w:tcBorders>
              <w:top w:val="single" w:sz="4" w:space="0" w:color="auto"/>
              <w:left w:val="single" w:sz="4" w:space="0" w:color="auto"/>
              <w:bottom w:val="single" w:sz="4" w:space="0" w:color="auto"/>
              <w:right w:val="single" w:sz="4" w:space="0" w:color="auto"/>
            </w:tcBorders>
            <w:shd w:val="clear" w:color="auto" w:fill="00B0F0"/>
            <w:hideMark/>
          </w:tcPr>
          <w:p w14:paraId="7E57659B" w14:textId="77777777" w:rsidR="006C5EF9" w:rsidRPr="006C5EF9" w:rsidRDefault="006C5EF9" w:rsidP="00F42537">
            <w:pPr>
              <w:jc w:val="both"/>
              <w:rPr>
                <w:b/>
                <w:bCs/>
              </w:rPr>
            </w:pPr>
            <w:r w:rsidRPr="006C5EF9">
              <w:rPr>
                <w:b/>
                <w:bCs/>
              </w:rPr>
              <w:t>Councillor</w:t>
            </w:r>
          </w:p>
        </w:tc>
        <w:tc>
          <w:tcPr>
            <w:tcW w:w="4530" w:type="dxa"/>
            <w:tcBorders>
              <w:top w:val="single" w:sz="4" w:space="0" w:color="auto"/>
              <w:left w:val="single" w:sz="4" w:space="0" w:color="auto"/>
              <w:bottom w:val="single" w:sz="4" w:space="0" w:color="auto"/>
              <w:right w:val="single" w:sz="4" w:space="0" w:color="auto"/>
            </w:tcBorders>
            <w:shd w:val="clear" w:color="auto" w:fill="00B0F0"/>
            <w:hideMark/>
          </w:tcPr>
          <w:p w14:paraId="79E1DB40" w14:textId="77777777" w:rsidR="006C5EF9" w:rsidRPr="006C5EF9" w:rsidRDefault="006C5EF9" w:rsidP="00F42537">
            <w:pPr>
              <w:jc w:val="both"/>
              <w:rPr>
                <w:b/>
                <w:bCs/>
              </w:rPr>
            </w:pPr>
            <w:r w:rsidRPr="006C5EF9">
              <w:rPr>
                <w:b/>
                <w:bCs/>
              </w:rPr>
              <w:t>Party</w:t>
            </w:r>
          </w:p>
        </w:tc>
      </w:tr>
      <w:tr w:rsidR="006C5EF9" w:rsidRPr="006C5EF9" w14:paraId="57EFC4DF" w14:textId="77777777" w:rsidTr="006C5EF9">
        <w:trPr>
          <w:trHeight w:val="378"/>
        </w:trPr>
        <w:tc>
          <w:tcPr>
            <w:tcW w:w="5252" w:type="dxa"/>
            <w:tcBorders>
              <w:top w:val="single" w:sz="4" w:space="0" w:color="auto"/>
              <w:left w:val="single" w:sz="4" w:space="0" w:color="auto"/>
              <w:bottom w:val="single" w:sz="4" w:space="0" w:color="auto"/>
              <w:right w:val="single" w:sz="4" w:space="0" w:color="auto"/>
            </w:tcBorders>
            <w:hideMark/>
          </w:tcPr>
          <w:p w14:paraId="1F292B46" w14:textId="77777777" w:rsidR="006C5EF9" w:rsidRPr="006C5EF9" w:rsidRDefault="006C5EF9" w:rsidP="00F42537">
            <w:pPr>
              <w:jc w:val="both"/>
              <w:rPr>
                <w:b/>
                <w:bCs/>
              </w:rPr>
            </w:pPr>
            <w:r w:rsidRPr="006C5EF9">
              <w:rPr>
                <w:b/>
                <w:bCs/>
              </w:rPr>
              <w:t>Emma Murphy</w:t>
            </w:r>
          </w:p>
        </w:tc>
        <w:tc>
          <w:tcPr>
            <w:tcW w:w="4530" w:type="dxa"/>
            <w:tcBorders>
              <w:top w:val="single" w:sz="4" w:space="0" w:color="auto"/>
              <w:left w:val="single" w:sz="4" w:space="0" w:color="auto"/>
              <w:bottom w:val="single" w:sz="4" w:space="0" w:color="auto"/>
              <w:right w:val="single" w:sz="4" w:space="0" w:color="auto"/>
            </w:tcBorders>
            <w:hideMark/>
          </w:tcPr>
          <w:p w14:paraId="096DE4D0" w14:textId="77777777" w:rsidR="006C5EF9" w:rsidRPr="006C5EF9" w:rsidRDefault="006C5EF9" w:rsidP="00F42537">
            <w:pPr>
              <w:jc w:val="both"/>
              <w:rPr>
                <w:b/>
                <w:bCs/>
              </w:rPr>
            </w:pPr>
            <w:r w:rsidRPr="006C5EF9">
              <w:rPr>
                <w:b/>
                <w:bCs/>
              </w:rPr>
              <w:t>FF</w:t>
            </w:r>
          </w:p>
        </w:tc>
      </w:tr>
      <w:tr w:rsidR="006C5EF9" w:rsidRPr="006C5EF9" w14:paraId="6BEC1B0D" w14:textId="77777777" w:rsidTr="006C5EF9">
        <w:trPr>
          <w:trHeight w:val="378"/>
        </w:trPr>
        <w:tc>
          <w:tcPr>
            <w:tcW w:w="5252" w:type="dxa"/>
            <w:tcBorders>
              <w:top w:val="single" w:sz="4" w:space="0" w:color="auto"/>
              <w:left w:val="single" w:sz="4" w:space="0" w:color="auto"/>
              <w:bottom w:val="single" w:sz="4" w:space="0" w:color="auto"/>
              <w:right w:val="single" w:sz="4" w:space="0" w:color="auto"/>
            </w:tcBorders>
            <w:hideMark/>
          </w:tcPr>
          <w:p w14:paraId="24607987" w14:textId="77777777" w:rsidR="006C5EF9" w:rsidRPr="006C5EF9" w:rsidRDefault="006C5EF9" w:rsidP="00F42537">
            <w:pPr>
              <w:jc w:val="both"/>
              <w:rPr>
                <w:b/>
                <w:bCs/>
              </w:rPr>
            </w:pPr>
            <w:r w:rsidRPr="006C5EF9">
              <w:rPr>
                <w:b/>
                <w:bCs/>
              </w:rPr>
              <w:t xml:space="preserve">Baby Pereppadan </w:t>
            </w:r>
          </w:p>
        </w:tc>
        <w:tc>
          <w:tcPr>
            <w:tcW w:w="4530" w:type="dxa"/>
            <w:tcBorders>
              <w:top w:val="single" w:sz="4" w:space="0" w:color="auto"/>
              <w:left w:val="single" w:sz="4" w:space="0" w:color="auto"/>
              <w:bottom w:val="single" w:sz="4" w:space="0" w:color="auto"/>
              <w:right w:val="single" w:sz="4" w:space="0" w:color="auto"/>
            </w:tcBorders>
            <w:hideMark/>
          </w:tcPr>
          <w:p w14:paraId="2422F3B5" w14:textId="77777777" w:rsidR="006C5EF9" w:rsidRPr="006C5EF9" w:rsidRDefault="006C5EF9" w:rsidP="00F42537">
            <w:pPr>
              <w:jc w:val="both"/>
              <w:rPr>
                <w:b/>
                <w:bCs/>
              </w:rPr>
            </w:pPr>
            <w:r w:rsidRPr="006C5EF9">
              <w:rPr>
                <w:b/>
                <w:bCs/>
              </w:rPr>
              <w:t>FG</w:t>
            </w:r>
          </w:p>
        </w:tc>
      </w:tr>
      <w:tr w:rsidR="006C5EF9" w:rsidRPr="006C5EF9" w14:paraId="6D3328DA" w14:textId="77777777" w:rsidTr="006C5EF9">
        <w:trPr>
          <w:trHeight w:val="378"/>
        </w:trPr>
        <w:tc>
          <w:tcPr>
            <w:tcW w:w="5252" w:type="dxa"/>
            <w:tcBorders>
              <w:top w:val="single" w:sz="4" w:space="0" w:color="auto"/>
              <w:left w:val="single" w:sz="4" w:space="0" w:color="auto"/>
              <w:bottom w:val="single" w:sz="4" w:space="0" w:color="auto"/>
              <w:right w:val="single" w:sz="4" w:space="0" w:color="auto"/>
            </w:tcBorders>
            <w:hideMark/>
          </w:tcPr>
          <w:p w14:paraId="5BD6B9AE" w14:textId="77777777" w:rsidR="006C5EF9" w:rsidRPr="006C5EF9" w:rsidRDefault="006C5EF9" w:rsidP="00F42537">
            <w:pPr>
              <w:jc w:val="both"/>
              <w:rPr>
                <w:b/>
                <w:bCs/>
              </w:rPr>
            </w:pPr>
            <w:r w:rsidRPr="006C5EF9">
              <w:rPr>
                <w:b/>
                <w:bCs/>
              </w:rPr>
              <w:t>Mick Duff</w:t>
            </w:r>
          </w:p>
        </w:tc>
        <w:tc>
          <w:tcPr>
            <w:tcW w:w="4530" w:type="dxa"/>
            <w:tcBorders>
              <w:top w:val="single" w:sz="4" w:space="0" w:color="auto"/>
              <w:left w:val="single" w:sz="4" w:space="0" w:color="auto"/>
              <w:bottom w:val="single" w:sz="4" w:space="0" w:color="auto"/>
              <w:right w:val="single" w:sz="4" w:space="0" w:color="auto"/>
            </w:tcBorders>
            <w:hideMark/>
          </w:tcPr>
          <w:p w14:paraId="579E4112" w14:textId="77777777" w:rsidR="006C5EF9" w:rsidRPr="006C5EF9" w:rsidRDefault="006C5EF9" w:rsidP="00F42537">
            <w:pPr>
              <w:jc w:val="both"/>
              <w:rPr>
                <w:b/>
                <w:bCs/>
              </w:rPr>
            </w:pPr>
            <w:r w:rsidRPr="006C5EF9">
              <w:rPr>
                <w:b/>
                <w:bCs/>
              </w:rPr>
              <w:t>IND</w:t>
            </w:r>
          </w:p>
        </w:tc>
      </w:tr>
    </w:tbl>
    <w:p w14:paraId="113FA433" w14:textId="77777777" w:rsidR="006C5EF9" w:rsidRPr="006C5EF9" w:rsidRDefault="006C5EF9" w:rsidP="00F42537">
      <w:pPr>
        <w:spacing w:after="0" w:line="240" w:lineRule="auto"/>
        <w:jc w:val="both"/>
        <w:rPr>
          <w:b/>
          <w:bCs/>
        </w:rPr>
      </w:pPr>
    </w:p>
    <w:p w14:paraId="0F873908" w14:textId="0199FA46" w:rsidR="006C5EF9" w:rsidRPr="006C5EF9" w:rsidRDefault="006C5EF9" w:rsidP="00F42537">
      <w:pPr>
        <w:spacing w:after="0" w:line="240" w:lineRule="auto"/>
        <w:jc w:val="both"/>
        <w:rPr>
          <w:b/>
          <w:bCs/>
        </w:rPr>
      </w:pPr>
      <w:bookmarkStart w:id="159" w:name="_Toc168915112"/>
      <w:proofErr w:type="gramStart"/>
      <w:r w:rsidRPr="006C5EF9">
        <w:rPr>
          <w:b/>
        </w:rPr>
        <w:t>South Western</w:t>
      </w:r>
      <w:proofErr w:type="gramEnd"/>
      <w:r w:rsidRPr="006C5EF9">
        <w:rPr>
          <w:b/>
        </w:rPr>
        <w:t xml:space="preserve"> Regional Drugs Task Force</w:t>
      </w:r>
      <w:bookmarkEnd w:id="159"/>
    </w:p>
    <w:tbl>
      <w:tblPr>
        <w:tblStyle w:val="TableGrid"/>
        <w:tblpPr w:leftFromText="180" w:rightFromText="180" w:vertAnchor="text" w:horzAnchor="page" w:tblpX="1334" w:tblpY="277"/>
        <w:tblW w:w="9782" w:type="dxa"/>
        <w:tblLook w:val="04A0" w:firstRow="1" w:lastRow="0" w:firstColumn="1" w:lastColumn="0" w:noHBand="0" w:noVBand="1"/>
      </w:tblPr>
      <w:tblGrid>
        <w:gridCol w:w="5252"/>
        <w:gridCol w:w="4530"/>
      </w:tblGrid>
      <w:tr w:rsidR="006C5EF9" w:rsidRPr="006C5EF9" w14:paraId="7D40326E" w14:textId="77777777" w:rsidTr="006C5EF9">
        <w:trPr>
          <w:trHeight w:val="378"/>
        </w:trPr>
        <w:tc>
          <w:tcPr>
            <w:tcW w:w="5252" w:type="dxa"/>
            <w:tcBorders>
              <w:top w:val="single" w:sz="4" w:space="0" w:color="auto"/>
              <w:left w:val="single" w:sz="4" w:space="0" w:color="auto"/>
              <w:bottom w:val="single" w:sz="4" w:space="0" w:color="auto"/>
              <w:right w:val="single" w:sz="4" w:space="0" w:color="auto"/>
            </w:tcBorders>
            <w:shd w:val="clear" w:color="auto" w:fill="00B0F0"/>
            <w:hideMark/>
          </w:tcPr>
          <w:p w14:paraId="51A3A280" w14:textId="77777777" w:rsidR="006C5EF9" w:rsidRPr="006C5EF9" w:rsidRDefault="006C5EF9" w:rsidP="00F42537">
            <w:pPr>
              <w:jc w:val="both"/>
              <w:rPr>
                <w:b/>
                <w:bCs/>
              </w:rPr>
            </w:pPr>
            <w:r w:rsidRPr="006C5EF9">
              <w:rPr>
                <w:b/>
                <w:bCs/>
              </w:rPr>
              <w:t>Councillor</w:t>
            </w:r>
          </w:p>
        </w:tc>
        <w:tc>
          <w:tcPr>
            <w:tcW w:w="4530" w:type="dxa"/>
            <w:tcBorders>
              <w:top w:val="single" w:sz="4" w:space="0" w:color="auto"/>
              <w:left w:val="single" w:sz="4" w:space="0" w:color="auto"/>
              <w:bottom w:val="single" w:sz="4" w:space="0" w:color="auto"/>
              <w:right w:val="single" w:sz="4" w:space="0" w:color="auto"/>
            </w:tcBorders>
            <w:shd w:val="clear" w:color="auto" w:fill="00B0F0"/>
            <w:hideMark/>
          </w:tcPr>
          <w:p w14:paraId="0D9DE3FE" w14:textId="77777777" w:rsidR="006C5EF9" w:rsidRPr="006C5EF9" w:rsidRDefault="006C5EF9" w:rsidP="00F42537">
            <w:pPr>
              <w:jc w:val="both"/>
              <w:rPr>
                <w:b/>
                <w:bCs/>
              </w:rPr>
            </w:pPr>
            <w:r w:rsidRPr="006C5EF9">
              <w:rPr>
                <w:b/>
                <w:bCs/>
              </w:rPr>
              <w:t>Party</w:t>
            </w:r>
          </w:p>
        </w:tc>
      </w:tr>
      <w:tr w:rsidR="006C5EF9" w:rsidRPr="006C5EF9" w14:paraId="74807AB6" w14:textId="77777777" w:rsidTr="006C5EF9">
        <w:trPr>
          <w:trHeight w:val="378"/>
        </w:trPr>
        <w:tc>
          <w:tcPr>
            <w:tcW w:w="5252" w:type="dxa"/>
            <w:tcBorders>
              <w:top w:val="single" w:sz="4" w:space="0" w:color="auto"/>
              <w:left w:val="single" w:sz="4" w:space="0" w:color="auto"/>
              <w:bottom w:val="single" w:sz="4" w:space="0" w:color="auto"/>
              <w:right w:val="single" w:sz="4" w:space="0" w:color="auto"/>
            </w:tcBorders>
            <w:hideMark/>
          </w:tcPr>
          <w:p w14:paraId="22DB97C7" w14:textId="77777777" w:rsidR="006C5EF9" w:rsidRPr="006C5EF9" w:rsidRDefault="006C5EF9" w:rsidP="00F42537">
            <w:pPr>
              <w:jc w:val="both"/>
              <w:rPr>
                <w:b/>
                <w:bCs/>
              </w:rPr>
            </w:pPr>
            <w:r w:rsidRPr="006C5EF9">
              <w:rPr>
                <w:b/>
                <w:bCs/>
              </w:rPr>
              <w:t>Mick Duff</w:t>
            </w:r>
          </w:p>
        </w:tc>
        <w:tc>
          <w:tcPr>
            <w:tcW w:w="4530" w:type="dxa"/>
            <w:tcBorders>
              <w:top w:val="single" w:sz="4" w:space="0" w:color="auto"/>
              <w:left w:val="single" w:sz="4" w:space="0" w:color="auto"/>
              <w:bottom w:val="single" w:sz="4" w:space="0" w:color="auto"/>
              <w:right w:val="single" w:sz="4" w:space="0" w:color="auto"/>
            </w:tcBorders>
            <w:hideMark/>
          </w:tcPr>
          <w:p w14:paraId="5D5A83D5" w14:textId="77777777" w:rsidR="006C5EF9" w:rsidRPr="006C5EF9" w:rsidRDefault="006C5EF9" w:rsidP="00F42537">
            <w:pPr>
              <w:jc w:val="both"/>
              <w:rPr>
                <w:b/>
                <w:bCs/>
              </w:rPr>
            </w:pPr>
            <w:r w:rsidRPr="006C5EF9">
              <w:rPr>
                <w:b/>
                <w:bCs/>
              </w:rPr>
              <w:t>IND</w:t>
            </w:r>
          </w:p>
        </w:tc>
      </w:tr>
    </w:tbl>
    <w:p w14:paraId="45392B2A" w14:textId="77777777" w:rsidR="006C5EF9" w:rsidRPr="006C5EF9" w:rsidRDefault="006C5EF9" w:rsidP="00F42537">
      <w:pPr>
        <w:spacing w:after="0" w:line="240" w:lineRule="auto"/>
        <w:jc w:val="both"/>
        <w:rPr>
          <w:b/>
          <w:bCs/>
        </w:rPr>
      </w:pPr>
    </w:p>
    <w:p w14:paraId="184C3027" w14:textId="089C2856" w:rsidR="006C5EF9" w:rsidRPr="006C5EF9" w:rsidRDefault="006C5EF9" w:rsidP="00F42537">
      <w:pPr>
        <w:spacing w:after="0" w:line="240" w:lineRule="auto"/>
        <w:jc w:val="both"/>
        <w:rPr>
          <w:b/>
          <w:bCs/>
        </w:rPr>
      </w:pPr>
      <w:bookmarkStart w:id="160" w:name="_Toc168915113"/>
      <w:r w:rsidRPr="006C5EF9">
        <w:rPr>
          <w:b/>
        </w:rPr>
        <w:t>Tallaght Community Arts Centre</w:t>
      </w:r>
      <w:bookmarkEnd w:id="160"/>
    </w:p>
    <w:tbl>
      <w:tblPr>
        <w:tblStyle w:val="TableGrid"/>
        <w:tblpPr w:leftFromText="180" w:rightFromText="180" w:vertAnchor="text" w:horzAnchor="page" w:tblpX="1334" w:tblpY="277"/>
        <w:tblW w:w="9782" w:type="dxa"/>
        <w:tblLook w:val="04A0" w:firstRow="1" w:lastRow="0" w:firstColumn="1" w:lastColumn="0" w:noHBand="0" w:noVBand="1"/>
      </w:tblPr>
      <w:tblGrid>
        <w:gridCol w:w="5252"/>
        <w:gridCol w:w="4530"/>
      </w:tblGrid>
      <w:tr w:rsidR="006C5EF9" w:rsidRPr="006C5EF9" w14:paraId="0517F260" w14:textId="77777777" w:rsidTr="006C5EF9">
        <w:trPr>
          <w:trHeight w:val="378"/>
        </w:trPr>
        <w:tc>
          <w:tcPr>
            <w:tcW w:w="5252" w:type="dxa"/>
            <w:tcBorders>
              <w:top w:val="single" w:sz="4" w:space="0" w:color="auto"/>
              <w:left w:val="single" w:sz="4" w:space="0" w:color="auto"/>
              <w:bottom w:val="single" w:sz="4" w:space="0" w:color="auto"/>
              <w:right w:val="single" w:sz="4" w:space="0" w:color="auto"/>
            </w:tcBorders>
            <w:shd w:val="clear" w:color="auto" w:fill="00B0F0"/>
            <w:hideMark/>
          </w:tcPr>
          <w:p w14:paraId="3DE00C21" w14:textId="77777777" w:rsidR="006C5EF9" w:rsidRPr="006C5EF9" w:rsidRDefault="006C5EF9" w:rsidP="00F42537">
            <w:pPr>
              <w:jc w:val="both"/>
              <w:rPr>
                <w:b/>
                <w:bCs/>
              </w:rPr>
            </w:pPr>
            <w:r w:rsidRPr="006C5EF9">
              <w:rPr>
                <w:b/>
                <w:bCs/>
              </w:rPr>
              <w:t>Councillor</w:t>
            </w:r>
          </w:p>
        </w:tc>
        <w:tc>
          <w:tcPr>
            <w:tcW w:w="4530" w:type="dxa"/>
            <w:tcBorders>
              <w:top w:val="single" w:sz="4" w:space="0" w:color="auto"/>
              <w:left w:val="single" w:sz="4" w:space="0" w:color="auto"/>
              <w:bottom w:val="single" w:sz="4" w:space="0" w:color="auto"/>
              <w:right w:val="single" w:sz="4" w:space="0" w:color="auto"/>
            </w:tcBorders>
            <w:shd w:val="clear" w:color="auto" w:fill="00B0F0"/>
            <w:hideMark/>
          </w:tcPr>
          <w:p w14:paraId="573E1E29" w14:textId="77777777" w:rsidR="006C5EF9" w:rsidRPr="006C5EF9" w:rsidRDefault="006C5EF9" w:rsidP="00F42537">
            <w:pPr>
              <w:jc w:val="both"/>
              <w:rPr>
                <w:b/>
                <w:bCs/>
              </w:rPr>
            </w:pPr>
            <w:r w:rsidRPr="006C5EF9">
              <w:rPr>
                <w:b/>
                <w:bCs/>
              </w:rPr>
              <w:t>Party</w:t>
            </w:r>
          </w:p>
        </w:tc>
      </w:tr>
      <w:tr w:rsidR="006C5EF9" w:rsidRPr="006C5EF9" w14:paraId="498C982D" w14:textId="77777777" w:rsidTr="006C5EF9">
        <w:trPr>
          <w:trHeight w:val="378"/>
        </w:trPr>
        <w:tc>
          <w:tcPr>
            <w:tcW w:w="5252" w:type="dxa"/>
            <w:tcBorders>
              <w:top w:val="single" w:sz="4" w:space="0" w:color="auto"/>
              <w:left w:val="single" w:sz="4" w:space="0" w:color="auto"/>
              <w:bottom w:val="single" w:sz="4" w:space="0" w:color="auto"/>
              <w:right w:val="single" w:sz="4" w:space="0" w:color="auto"/>
            </w:tcBorders>
            <w:hideMark/>
          </w:tcPr>
          <w:p w14:paraId="02B9FA6F" w14:textId="77777777" w:rsidR="006C5EF9" w:rsidRPr="006C5EF9" w:rsidRDefault="006C5EF9" w:rsidP="00F42537">
            <w:pPr>
              <w:jc w:val="both"/>
              <w:rPr>
                <w:b/>
                <w:bCs/>
              </w:rPr>
            </w:pPr>
            <w:r w:rsidRPr="006C5EF9">
              <w:rPr>
                <w:b/>
                <w:bCs/>
              </w:rPr>
              <w:t>Emma Murphy</w:t>
            </w:r>
          </w:p>
        </w:tc>
        <w:tc>
          <w:tcPr>
            <w:tcW w:w="4530" w:type="dxa"/>
            <w:tcBorders>
              <w:top w:val="single" w:sz="4" w:space="0" w:color="auto"/>
              <w:left w:val="single" w:sz="4" w:space="0" w:color="auto"/>
              <w:bottom w:val="single" w:sz="4" w:space="0" w:color="auto"/>
              <w:right w:val="single" w:sz="4" w:space="0" w:color="auto"/>
            </w:tcBorders>
            <w:hideMark/>
          </w:tcPr>
          <w:p w14:paraId="33C93896" w14:textId="77777777" w:rsidR="006C5EF9" w:rsidRPr="006C5EF9" w:rsidRDefault="006C5EF9" w:rsidP="00F42537">
            <w:pPr>
              <w:jc w:val="both"/>
              <w:rPr>
                <w:b/>
                <w:bCs/>
              </w:rPr>
            </w:pPr>
            <w:r w:rsidRPr="006C5EF9">
              <w:rPr>
                <w:b/>
                <w:bCs/>
              </w:rPr>
              <w:t>FF</w:t>
            </w:r>
          </w:p>
        </w:tc>
      </w:tr>
    </w:tbl>
    <w:p w14:paraId="70251314" w14:textId="77777777" w:rsidR="006C5EF9" w:rsidRPr="006C5EF9" w:rsidRDefault="006C5EF9" w:rsidP="00F42537">
      <w:pPr>
        <w:spacing w:after="0" w:line="240" w:lineRule="auto"/>
        <w:jc w:val="both"/>
        <w:rPr>
          <w:b/>
          <w:bCs/>
        </w:rPr>
      </w:pPr>
      <w:bookmarkStart w:id="161" w:name="_Hlk63764597"/>
    </w:p>
    <w:p w14:paraId="68951F38" w14:textId="77777777" w:rsidR="006C5EF9" w:rsidRPr="006C5EF9" w:rsidRDefault="006C5EF9" w:rsidP="00F42537">
      <w:pPr>
        <w:spacing w:after="0" w:line="240" w:lineRule="auto"/>
        <w:jc w:val="both"/>
        <w:rPr>
          <w:b/>
          <w:bCs/>
        </w:rPr>
      </w:pPr>
    </w:p>
    <w:p w14:paraId="293187FB" w14:textId="173F1FFD" w:rsidR="006C5EF9" w:rsidRPr="006C5EF9" w:rsidRDefault="006C5EF9" w:rsidP="00F42537">
      <w:pPr>
        <w:spacing w:after="0" w:line="240" w:lineRule="auto"/>
        <w:jc w:val="both"/>
        <w:rPr>
          <w:b/>
          <w:bCs/>
        </w:rPr>
      </w:pPr>
      <w:bookmarkStart w:id="162" w:name="_Toc168915114"/>
      <w:r w:rsidRPr="006C5EF9">
        <w:rPr>
          <w:b/>
        </w:rPr>
        <w:t xml:space="preserve">Tallaght Drug </w:t>
      </w:r>
      <w:r w:rsidR="0037035F">
        <w:rPr>
          <w:b/>
        </w:rPr>
        <w:t>and</w:t>
      </w:r>
      <w:r w:rsidRPr="006C5EF9">
        <w:rPr>
          <w:b/>
        </w:rPr>
        <w:t xml:space="preserve"> Alcohol Task Force</w:t>
      </w:r>
      <w:bookmarkEnd w:id="162"/>
    </w:p>
    <w:tbl>
      <w:tblPr>
        <w:tblStyle w:val="TableGrid"/>
        <w:tblpPr w:leftFromText="180" w:rightFromText="180" w:vertAnchor="text" w:horzAnchor="page" w:tblpX="1334" w:tblpY="277"/>
        <w:tblW w:w="9782" w:type="dxa"/>
        <w:tblLook w:val="04A0" w:firstRow="1" w:lastRow="0" w:firstColumn="1" w:lastColumn="0" w:noHBand="0" w:noVBand="1"/>
      </w:tblPr>
      <w:tblGrid>
        <w:gridCol w:w="5252"/>
        <w:gridCol w:w="4530"/>
      </w:tblGrid>
      <w:tr w:rsidR="006C5EF9" w:rsidRPr="006C5EF9" w14:paraId="1ADFBB8C" w14:textId="77777777" w:rsidTr="006C5EF9">
        <w:trPr>
          <w:trHeight w:val="378"/>
        </w:trPr>
        <w:tc>
          <w:tcPr>
            <w:tcW w:w="5252" w:type="dxa"/>
            <w:tcBorders>
              <w:top w:val="single" w:sz="4" w:space="0" w:color="auto"/>
              <w:left w:val="single" w:sz="4" w:space="0" w:color="auto"/>
              <w:bottom w:val="single" w:sz="4" w:space="0" w:color="auto"/>
              <w:right w:val="single" w:sz="4" w:space="0" w:color="auto"/>
            </w:tcBorders>
            <w:shd w:val="clear" w:color="auto" w:fill="00B0F0"/>
            <w:hideMark/>
          </w:tcPr>
          <w:p w14:paraId="6C3A6D7D" w14:textId="77777777" w:rsidR="006C5EF9" w:rsidRPr="006C5EF9" w:rsidRDefault="006C5EF9" w:rsidP="00F42537">
            <w:pPr>
              <w:jc w:val="both"/>
              <w:rPr>
                <w:b/>
                <w:bCs/>
              </w:rPr>
            </w:pPr>
            <w:r w:rsidRPr="006C5EF9">
              <w:rPr>
                <w:b/>
                <w:bCs/>
              </w:rPr>
              <w:t>Councillor</w:t>
            </w:r>
          </w:p>
        </w:tc>
        <w:tc>
          <w:tcPr>
            <w:tcW w:w="4530" w:type="dxa"/>
            <w:tcBorders>
              <w:top w:val="single" w:sz="4" w:space="0" w:color="auto"/>
              <w:left w:val="single" w:sz="4" w:space="0" w:color="auto"/>
              <w:bottom w:val="single" w:sz="4" w:space="0" w:color="auto"/>
              <w:right w:val="single" w:sz="4" w:space="0" w:color="auto"/>
            </w:tcBorders>
            <w:shd w:val="clear" w:color="auto" w:fill="00B0F0"/>
            <w:hideMark/>
          </w:tcPr>
          <w:p w14:paraId="1887554A" w14:textId="77777777" w:rsidR="006C5EF9" w:rsidRPr="006C5EF9" w:rsidRDefault="006C5EF9" w:rsidP="00F42537">
            <w:pPr>
              <w:jc w:val="both"/>
              <w:rPr>
                <w:b/>
                <w:bCs/>
              </w:rPr>
            </w:pPr>
            <w:r w:rsidRPr="006C5EF9">
              <w:rPr>
                <w:b/>
                <w:bCs/>
              </w:rPr>
              <w:t>Party</w:t>
            </w:r>
          </w:p>
        </w:tc>
      </w:tr>
      <w:tr w:rsidR="006C5EF9" w:rsidRPr="006C5EF9" w14:paraId="6FA32031" w14:textId="77777777" w:rsidTr="006C5EF9">
        <w:trPr>
          <w:trHeight w:val="378"/>
        </w:trPr>
        <w:tc>
          <w:tcPr>
            <w:tcW w:w="5252" w:type="dxa"/>
            <w:tcBorders>
              <w:top w:val="single" w:sz="4" w:space="0" w:color="auto"/>
              <w:left w:val="single" w:sz="4" w:space="0" w:color="auto"/>
              <w:bottom w:val="single" w:sz="4" w:space="0" w:color="auto"/>
              <w:right w:val="single" w:sz="4" w:space="0" w:color="auto"/>
            </w:tcBorders>
            <w:hideMark/>
          </w:tcPr>
          <w:p w14:paraId="142A9E2A" w14:textId="77777777" w:rsidR="006C5EF9" w:rsidRPr="006C5EF9" w:rsidRDefault="006C5EF9" w:rsidP="00F42537">
            <w:pPr>
              <w:jc w:val="both"/>
              <w:rPr>
                <w:b/>
                <w:bCs/>
              </w:rPr>
            </w:pPr>
            <w:r w:rsidRPr="006C5EF9">
              <w:rPr>
                <w:b/>
                <w:bCs/>
              </w:rPr>
              <w:t>Alan Edge</w:t>
            </w:r>
          </w:p>
        </w:tc>
        <w:tc>
          <w:tcPr>
            <w:tcW w:w="4530" w:type="dxa"/>
            <w:tcBorders>
              <w:top w:val="single" w:sz="4" w:space="0" w:color="auto"/>
              <w:left w:val="single" w:sz="4" w:space="0" w:color="auto"/>
              <w:bottom w:val="single" w:sz="4" w:space="0" w:color="auto"/>
              <w:right w:val="single" w:sz="4" w:space="0" w:color="auto"/>
            </w:tcBorders>
            <w:hideMark/>
          </w:tcPr>
          <w:p w14:paraId="42025C7E" w14:textId="77777777" w:rsidR="006C5EF9" w:rsidRPr="006C5EF9" w:rsidRDefault="006C5EF9" w:rsidP="00F42537">
            <w:pPr>
              <w:jc w:val="both"/>
              <w:rPr>
                <w:b/>
                <w:bCs/>
              </w:rPr>
            </w:pPr>
            <w:r w:rsidRPr="006C5EF9">
              <w:rPr>
                <w:b/>
                <w:bCs/>
              </w:rPr>
              <w:t>IND</w:t>
            </w:r>
          </w:p>
        </w:tc>
      </w:tr>
      <w:tr w:rsidR="006C5EF9" w:rsidRPr="006C5EF9" w14:paraId="37368577" w14:textId="77777777" w:rsidTr="006C5EF9">
        <w:trPr>
          <w:trHeight w:val="343"/>
        </w:trPr>
        <w:tc>
          <w:tcPr>
            <w:tcW w:w="5252" w:type="dxa"/>
            <w:tcBorders>
              <w:top w:val="single" w:sz="4" w:space="0" w:color="auto"/>
              <w:left w:val="single" w:sz="4" w:space="0" w:color="auto"/>
              <w:bottom w:val="single" w:sz="4" w:space="0" w:color="auto"/>
              <w:right w:val="single" w:sz="4" w:space="0" w:color="auto"/>
            </w:tcBorders>
            <w:hideMark/>
          </w:tcPr>
          <w:p w14:paraId="6016F082" w14:textId="77777777" w:rsidR="006C5EF9" w:rsidRPr="006C5EF9" w:rsidRDefault="006C5EF9" w:rsidP="00F42537">
            <w:pPr>
              <w:jc w:val="both"/>
              <w:rPr>
                <w:b/>
                <w:bCs/>
              </w:rPr>
            </w:pPr>
            <w:r w:rsidRPr="006C5EF9">
              <w:rPr>
                <w:b/>
                <w:bCs/>
              </w:rPr>
              <w:t>Mick Duff</w:t>
            </w:r>
          </w:p>
        </w:tc>
        <w:tc>
          <w:tcPr>
            <w:tcW w:w="4530" w:type="dxa"/>
            <w:tcBorders>
              <w:top w:val="single" w:sz="4" w:space="0" w:color="auto"/>
              <w:left w:val="single" w:sz="4" w:space="0" w:color="auto"/>
              <w:bottom w:val="single" w:sz="4" w:space="0" w:color="auto"/>
              <w:right w:val="single" w:sz="4" w:space="0" w:color="auto"/>
            </w:tcBorders>
            <w:hideMark/>
          </w:tcPr>
          <w:p w14:paraId="6B159D0A" w14:textId="77777777" w:rsidR="006C5EF9" w:rsidRPr="006C5EF9" w:rsidRDefault="006C5EF9" w:rsidP="00F42537">
            <w:pPr>
              <w:jc w:val="both"/>
              <w:rPr>
                <w:b/>
                <w:bCs/>
              </w:rPr>
            </w:pPr>
            <w:r w:rsidRPr="006C5EF9">
              <w:rPr>
                <w:b/>
                <w:bCs/>
              </w:rPr>
              <w:t>IND</w:t>
            </w:r>
          </w:p>
        </w:tc>
      </w:tr>
      <w:tr w:rsidR="006C5EF9" w:rsidRPr="006C5EF9" w14:paraId="1DA9D270" w14:textId="77777777" w:rsidTr="006C5EF9">
        <w:trPr>
          <w:trHeight w:val="378"/>
        </w:trPr>
        <w:tc>
          <w:tcPr>
            <w:tcW w:w="5252" w:type="dxa"/>
            <w:tcBorders>
              <w:top w:val="single" w:sz="4" w:space="0" w:color="auto"/>
              <w:left w:val="single" w:sz="4" w:space="0" w:color="auto"/>
              <w:bottom w:val="single" w:sz="4" w:space="0" w:color="auto"/>
              <w:right w:val="single" w:sz="4" w:space="0" w:color="auto"/>
            </w:tcBorders>
            <w:hideMark/>
          </w:tcPr>
          <w:p w14:paraId="41AAF162" w14:textId="77777777" w:rsidR="006C5EF9" w:rsidRPr="006C5EF9" w:rsidRDefault="006C5EF9" w:rsidP="00F42537">
            <w:pPr>
              <w:jc w:val="both"/>
              <w:rPr>
                <w:b/>
                <w:bCs/>
              </w:rPr>
            </w:pPr>
            <w:r w:rsidRPr="006C5EF9">
              <w:rPr>
                <w:b/>
                <w:bCs/>
              </w:rPr>
              <w:t>Baby Pereppadan</w:t>
            </w:r>
          </w:p>
        </w:tc>
        <w:tc>
          <w:tcPr>
            <w:tcW w:w="4530" w:type="dxa"/>
            <w:tcBorders>
              <w:top w:val="single" w:sz="4" w:space="0" w:color="auto"/>
              <w:left w:val="single" w:sz="4" w:space="0" w:color="auto"/>
              <w:bottom w:val="single" w:sz="4" w:space="0" w:color="auto"/>
              <w:right w:val="single" w:sz="4" w:space="0" w:color="auto"/>
            </w:tcBorders>
            <w:hideMark/>
          </w:tcPr>
          <w:p w14:paraId="55FB1D8F" w14:textId="77777777" w:rsidR="006C5EF9" w:rsidRPr="006C5EF9" w:rsidRDefault="006C5EF9" w:rsidP="00F42537">
            <w:pPr>
              <w:jc w:val="both"/>
              <w:rPr>
                <w:b/>
                <w:bCs/>
              </w:rPr>
            </w:pPr>
            <w:r w:rsidRPr="006C5EF9">
              <w:rPr>
                <w:b/>
                <w:bCs/>
              </w:rPr>
              <w:t>FG</w:t>
            </w:r>
          </w:p>
        </w:tc>
      </w:tr>
      <w:tr w:rsidR="006C5EF9" w:rsidRPr="006C5EF9" w14:paraId="6CA90401" w14:textId="77777777" w:rsidTr="006C5EF9">
        <w:trPr>
          <w:trHeight w:val="378"/>
        </w:trPr>
        <w:tc>
          <w:tcPr>
            <w:tcW w:w="5252" w:type="dxa"/>
            <w:tcBorders>
              <w:top w:val="single" w:sz="4" w:space="0" w:color="auto"/>
              <w:left w:val="single" w:sz="4" w:space="0" w:color="auto"/>
              <w:bottom w:val="single" w:sz="4" w:space="0" w:color="auto"/>
              <w:right w:val="single" w:sz="4" w:space="0" w:color="auto"/>
            </w:tcBorders>
            <w:hideMark/>
          </w:tcPr>
          <w:p w14:paraId="16FAE436" w14:textId="77777777" w:rsidR="006C5EF9" w:rsidRPr="006C5EF9" w:rsidRDefault="006C5EF9" w:rsidP="00F42537">
            <w:pPr>
              <w:jc w:val="both"/>
              <w:rPr>
                <w:b/>
                <w:bCs/>
              </w:rPr>
            </w:pPr>
            <w:r w:rsidRPr="006C5EF9">
              <w:rPr>
                <w:b/>
                <w:bCs/>
              </w:rPr>
              <w:t>Niamh Whelan</w:t>
            </w:r>
          </w:p>
        </w:tc>
        <w:tc>
          <w:tcPr>
            <w:tcW w:w="4530" w:type="dxa"/>
            <w:tcBorders>
              <w:top w:val="single" w:sz="4" w:space="0" w:color="auto"/>
              <w:left w:val="single" w:sz="4" w:space="0" w:color="auto"/>
              <w:bottom w:val="single" w:sz="4" w:space="0" w:color="auto"/>
              <w:right w:val="single" w:sz="4" w:space="0" w:color="auto"/>
            </w:tcBorders>
            <w:hideMark/>
          </w:tcPr>
          <w:p w14:paraId="3211B712" w14:textId="77777777" w:rsidR="006C5EF9" w:rsidRPr="006C5EF9" w:rsidRDefault="006C5EF9" w:rsidP="00F42537">
            <w:pPr>
              <w:jc w:val="both"/>
              <w:rPr>
                <w:b/>
                <w:bCs/>
              </w:rPr>
            </w:pPr>
            <w:r w:rsidRPr="006C5EF9">
              <w:rPr>
                <w:b/>
                <w:bCs/>
              </w:rPr>
              <w:t>SF</w:t>
            </w:r>
          </w:p>
        </w:tc>
      </w:tr>
      <w:bookmarkEnd w:id="161"/>
    </w:tbl>
    <w:p w14:paraId="2B0B8BBB" w14:textId="77777777" w:rsidR="006C5EF9" w:rsidRPr="006C5EF9" w:rsidRDefault="006C5EF9" w:rsidP="00F42537">
      <w:pPr>
        <w:spacing w:after="0" w:line="240" w:lineRule="auto"/>
        <w:jc w:val="both"/>
        <w:rPr>
          <w:b/>
          <w:bCs/>
        </w:rPr>
      </w:pPr>
    </w:p>
    <w:p w14:paraId="0FC9EF3E" w14:textId="77777777" w:rsidR="006C5EF9" w:rsidRPr="006C5EF9" w:rsidRDefault="006C5EF9" w:rsidP="00F42537">
      <w:pPr>
        <w:spacing w:after="0" w:line="240" w:lineRule="auto"/>
        <w:jc w:val="both"/>
        <w:rPr>
          <w:b/>
          <w:bCs/>
        </w:rPr>
      </w:pPr>
    </w:p>
    <w:p w14:paraId="481D820C" w14:textId="77777777" w:rsidR="00DE35BF" w:rsidRDefault="00DE35BF">
      <w:pPr>
        <w:rPr>
          <w:b/>
        </w:rPr>
      </w:pPr>
      <w:bookmarkStart w:id="163" w:name="_Toc168915115"/>
      <w:r>
        <w:rPr>
          <w:b/>
        </w:rPr>
        <w:br w:type="page"/>
      </w:r>
    </w:p>
    <w:p w14:paraId="3D3994BB" w14:textId="18BA8F70" w:rsidR="006C5EF9" w:rsidRPr="006C5EF9" w:rsidRDefault="006C5EF9" w:rsidP="00F42537">
      <w:pPr>
        <w:spacing w:after="0" w:line="240" w:lineRule="auto"/>
        <w:jc w:val="both"/>
        <w:rPr>
          <w:b/>
          <w:bCs/>
        </w:rPr>
      </w:pPr>
      <w:r w:rsidRPr="006C5EF9">
        <w:rPr>
          <w:b/>
        </w:rPr>
        <w:lastRenderedPageBreak/>
        <w:t>Inter Local Authority Committee on Fire/Ambulance Services and Emergency Management</w:t>
      </w:r>
      <w:bookmarkEnd w:id="163"/>
    </w:p>
    <w:tbl>
      <w:tblPr>
        <w:tblStyle w:val="TableGrid"/>
        <w:tblpPr w:leftFromText="180" w:rightFromText="180" w:vertAnchor="text" w:horzAnchor="page" w:tblpX="1617" w:tblpY="277"/>
        <w:tblW w:w="9499" w:type="dxa"/>
        <w:tblLook w:val="04A0" w:firstRow="1" w:lastRow="0" w:firstColumn="1" w:lastColumn="0" w:noHBand="0" w:noVBand="1"/>
      </w:tblPr>
      <w:tblGrid>
        <w:gridCol w:w="4969"/>
        <w:gridCol w:w="4530"/>
      </w:tblGrid>
      <w:tr w:rsidR="006C5EF9" w:rsidRPr="006C5EF9" w14:paraId="4CE6A525" w14:textId="77777777" w:rsidTr="006C5EF9">
        <w:trPr>
          <w:trHeight w:val="378"/>
        </w:trPr>
        <w:tc>
          <w:tcPr>
            <w:tcW w:w="4969" w:type="dxa"/>
            <w:tcBorders>
              <w:top w:val="single" w:sz="4" w:space="0" w:color="auto"/>
              <w:left w:val="single" w:sz="4" w:space="0" w:color="auto"/>
              <w:bottom w:val="single" w:sz="4" w:space="0" w:color="auto"/>
              <w:right w:val="single" w:sz="4" w:space="0" w:color="auto"/>
            </w:tcBorders>
            <w:shd w:val="clear" w:color="auto" w:fill="00B0F0"/>
            <w:hideMark/>
          </w:tcPr>
          <w:p w14:paraId="650B9BAE" w14:textId="77777777" w:rsidR="006C5EF9" w:rsidRPr="006C5EF9" w:rsidRDefault="006C5EF9" w:rsidP="00F42537">
            <w:pPr>
              <w:jc w:val="both"/>
              <w:rPr>
                <w:b/>
                <w:bCs/>
              </w:rPr>
            </w:pPr>
            <w:r w:rsidRPr="006C5EF9">
              <w:rPr>
                <w:b/>
                <w:bCs/>
              </w:rPr>
              <w:t>Councillor</w:t>
            </w:r>
          </w:p>
        </w:tc>
        <w:tc>
          <w:tcPr>
            <w:tcW w:w="4530" w:type="dxa"/>
            <w:tcBorders>
              <w:top w:val="single" w:sz="4" w:space="0" w:color="auto"/>
              <w:left w:val="single" w:sz="4" w:space="0" w:color="auto"/>
              <w:bottom w:val="single" w:sz="4" w:space="0" w:color="auto"/>
              <w:right w:val="single" w:sz="4" w:space="0" w:color="auto"/>
            </w:tcBorders>
            <w:shd w:val="clear" w:color="auto" w:fill="00B0F0"/>
            <w:hideMark/>
          </w:tcPr>
          <w:p w14:paraId="09604293" w14:textId="77777777" w:rsidR="006C5EF9" w:rsidRPr="006C5EF9" w:rsidRDefault="006C5EF9" w:rsidP="00F42537">
            <w:pPr>
              <w:jc w:val="both"/>
              <w:rPr>
                <w:b/>
                <w:bCs/>
              </w:rPr>
            </w:pPr>
            <w:r w:rsidRPr="006C5EF9">
              <w:rPr>
                <w:b/>
                <w:bCs/>
              </w:rPr>
              <w:t>Party</w:t>
            </w:r>
          </w:p>
        </w:tc>
      </w:tr>
      <w:tr w:rsidR="006C5EF9" w:rsidRPr="006C5EF9" w14:paraId="00D7C16B" w14:textId="77777777" w:rsidTr="006C5EF9">
        <w:trPr>
          <w:trHeight w:val="378"/>
        </w:trPr>
        <w:tc>
          <w:tcPr>
            <w:tcW w:w="4969" w:type="dxa"/>
            <w:tcBorders>
              <w:top w:val="single" w:sz="4" w:space="0" w:color="auto"/>
              <w:left w:val="single" w:sz="4" w:space="0" w:color="auto"/>
              <w:bottom w:val="single" w:sz="4" w:space="0" w:color="auto"/>
              <w:right w:val="single" w:sz="4" w:space="0" w:color="auto"/>
            </w:tcBorders>
            <w:hideMark/>
          </w:tcPr>
          <w:p w14:paraId="475A4892" w14:textId="77777777" w:rsidR="006C5EF9" w:rsidRPr="006C5EF9" w:rsidRDefault="006C5EF9" w:rsidP="00F42537">
            <w:pPr>
              <w:jc w:val="both"/>
              <w:rPr>
                <w:b/>
                <w:bCs/>
              </w:rPr>
            </w:pPr>
            <w:r w:rsidRPr="006C5EF9">
              <w:rPr>
                <w:b/>
                <w:bCs/>
              </w:rPr>
              <w:t>Lynn McCrave</w:t>
            </w:r>
          </w:p>
        </w:tc>
        <w:tc>
          <w:tcPr>
            <w:tcW w:w="4530" w:type="dxa"/>
            <w:tcBorders>
              <w:top w:val="single" w:sz="4" w:space="0" w:color="auto"/>
              <w:left w:val="single" w:sz="4" w:space="0" w:color="auto"/>
              <w:bottom w:val="single" w:sz="4" w:space="0" w:color="auto"/>
              <w:right w:val="single" w:sz="4" w:space="0" w:color="auto"/>
            </w:tcBorders>
            <w:hideMark/>
          </w:tcPr>
          <w:p w14:paraId="6D9ED17E" w14:textId="77777777" w:rsidR="006C5EF9" w:rsidRPr="006C5EF9" w:rsidRDefault="006C5EF9" w:rsidP="00F42537">
            <w:pPr>
              <w:jc w:val="both"/>
              <w:rPr>
                <w:b/>
                <w:bCs/>
              </w:rPr>
            </w:pPr>
            <w:r w:rsidRPr="006C5EF9">
              <w:rPr>
                <w:b/>
                <w:bCs/>
              </w:rPr>
              <w:t>FG</w:t>
            </w:r>
          </w:p>
        </w:tc>
      </w:tr>
      <w:tr w:rsidR="006C5EF9" w:rsidRPr="006C5EF9" w14:paraId="5FFC47BD" w14:textId="77777777" w:rsidTr="006C5EF9">
        <w:trPr>
          <w:trHeight w:val="378"/>
        </w:trPr>
        <w:tc>
          <w:tcPr>
            <w:tcW w:w="4969" w:type="dxa"/>
            <w:tcBorders>
              <w:top w:val="single" w:sz="4" w:space="0" w:color="auto"/>
              <w:left w:val="single" w:sz="4" w:space="0" w:color="auto"/>
              <w:bottom w:val="single" w:sz="4" w:space="0" w:color="auto"/>
              <w:right w:val="single" w:sz="4" w:space="0" w:color="auto"/>
            </w:tcBorders>
            <w:hideMark/>
          </w:tcPr>
          <w:p w14:paraId="49A5E580" w14:textId="77777777" w:rsidR="006C5EF9" w:rsidRPr="006C5EF9" w:rsidRDefault="006C5EF9" w:rsidP="00F42537">
            <w:pPr>
              <w:jc w:val="both"/>
              <w:rPr>
                <w:b/>
                <w:bCs/>
              </w:rPr>
            </w:pPr>
            <w:r w:rsidRPr="006C5EF9">
              <w:rPr>
                <w:b/>
                <w:bCs/>
              </w:rPr>
              <w:t>Louise Dunne</w:t>
            </w:r>
          </w:p>
        </w:tc>
        <w:tc>
          <w:tcPr>
            <w:tcW w:w="4530" w:type="dxa"/>
            <w:tcBorders>
              <w:top w:val="single" w:sz="4" w:space="0" w:color="auto"/>
              <w:left w:val="single" w:sz="4" w:space="0" w:color="auto"/>
              <w:bottom w:val="single" w:sz="4" w:space="0" w:color="auto"/>
              <w:right w:val="single" w:sz="4" w:space="0" w:color="auto"/>
            </w:tcBorders>
            <w:hideMark/>
          </w:tcPr>
          <w:p w14:paraId="7C623E48" w14:textId="77777777" w:rsidR="006C5EF9" w:rsidRPr="006C5EF9" w:rsidRDefault="006C5EF9" w:rsidP="00F42537">
            <w:pPr>
              <w:jc w:val="both"/>
              <w:rPr>
                <w:b/>
                <w:bCs/>
              </w:rPr>
            </w:pPr>
            <w:r w:rsidRPr="006C5EF9">
              <w:rPr>
                <w:b/>
                <w:bCs/>
              </w:rPr>
              <w:t>SF</w:t>
            </w:r>
          </w:p>
        </w:tc>
      </w:tr>
      <w:tr w:rsidR="006C5EF9" w:rsidRPr="006C5EF9" w14:paraId="656EA63A" w14:textId="77777777" w:rsidTr="006C5EF9">
        <w:trPr>
          <w:trHeight w:val="378"/>
        </w:trPr>
        <w:tc>
          <w:tcPr>
            <w:tcW w:w="4969" w:type="dxa"/>
            <w:tcBorders>
              <w:top w:val="single" w:sz="4" w:space="0" w:color="auto"/>
              <w:left w:val="single" w:sz="4" w:space="0" w:color="auto"/>
              <w:bottom w:val="single" w:sz="4" w:space="0" w:color="auto"/>
              <w:right w:val="single" w:sz="4" w:space="0" w:color="auto"/>
            </w:tcBorders>
            <w:hideMark/>
          </w:tcPr>
          <w:p w14:paraId="6C5919F7" w14:textId="77777777" w:rsidR="006C5EF9" w:rsidRPr="006C5EF9" w:rsidRDefault="006C5EF9" w:rsidP="00F42537">
            <w:pPr>
              <w:jc w:val="both"/>
              <w:rPr>
                <w:b/>
                <w:bCs/>
              </w:rPr>
            </w:pPr>
            <w:r w:rsidRPr="006C5EF9">
              <w:rPr>
                <w:b/>
                <w:bCs/>
              </w:rPr>
              <w:t>Paddy Cosgrave</w:t>
            </w:r>
          </w:p>
        </w:tc>
        <w:tc>
          <w:tcPr>
            <w:tcW w:w="4530" w:type="dxa"/>
            <w:tcBorders>
              <w:top w:val="single" w:sz="4" w:space="0" w:color="auto"/>
              <w:left w:val="single" w:sz="4" w:space="0" w:color="auto"/>
              <w:bottom w:val="single" w:sz="4" w:space="0" w:color="auto"/>
              <w:right w:val="single" w:sz="4" w:space="0" w:color="auto"/>
            </w:tcBorders>
            <w:hideMark/>
          </w:tcPr>
          <w:p w14:paraId="3145FFAF" w14:textId="77777777" w:rsidR="006C5EF9" w:rsidRPr="006C5EF9" w:rsidRDefault="006C5EF9" w:rsidP="00F42537">
            <w:pPr>
              <w:jc w:val="both"/>
              <w:rPr>
                <w:b/>
                <w:bCs/>
              </w:rPr>
            </w:pPr>
            <w:r w:rsidRPr="006C5EF9">
              <w:rPr>
                <w:b/>
                <w:bCs/>
              </w:rPr>
              <w:t>LAB</w:t>
            </w:r>
          </w:p>
        </w:tc>
      </w:tr>
    </w:tbl>
    <w:p w14:paraId="58D3EFDF" w14:textId="77777777" w:rsidR="006C5EF9" w:rsidRPr="006C5EF9" w:rsidRDefault="006C5EF9" w:rsidP="00F42537">
      <w:pPr>
        <w:spacing w:after="0" w:line="240" w:lineRule="auto"/>
        <w:jc w:val="both"/>
        <w:rPr>
          <w:b/>
          <w:bCs/>
        </w:rPr>
      </w:pPr>
    </w:p>
    <w:p w14:paraId="550D08C2" w14:textId="6495D362" w:rsidR="006C5EF9" w:rsidRPr="006C5EF9" w:rsidRDefault="006C5EF9" w:rsidP="00F42537">
      <w:pPr>
        <w:spacing w:after="0" w:line="240" w:lineRule="auto"/>
        <w:jc w:val="both"/>
        <w:rPr>
          <w:b/>
          <w:bCs/>
        </w:rPr>
      </w:pPr>
      <w:bookmarkStart w:id="164" w:name="_Toc168915116"/>
      <w:bookmarkStart w:id="165" w:name="_Hlk156989284"/>
      <w:r w:rsidRPr="006C5EF9">
        <w:rPr>
          <w:b/>
        </w:rPr>
        <w:t>Infrastructure Naming Committee</w:t>
      </w:r>
      <w:bookmarkEnd w:id="164"/>
    </w:p>
    <w:tbl>
      <w:tblPr>
        <w:tblStyle w:val="TableGrid"/>
        <w:tblpPr w:leftFromText="180" w:rightFromText="180" w:vertAnchor="text" w:horzAnchor="page" w:tblpX="1617" w:tblpY="277"/>
        <w:tblW w:w="9499" w:type="dxa"/>
        <w:tblLook w:val="04A0" w:firstRow="1" w:lastRow="0" w:firstColumn="1" w:lastColumn="0" w:noHBand="0" w:noVBand="1"/>
      </w:tblPr>
      <w:tblGrid>
        <w:gridCol w:w="4969"/>
        <w:gridCol w:w="4530"/>
      </w:tblGrid>
      <w:tr w:rsidR="006C5EF9" w:rsidRPr="006C5EF9" w14:paraId="2B5FD238" w14:textId="77777777" w:rsidTr="006C5EF9">
        <w:trPr>
          <w:trHeight w:val="378"/>
        </w:trPr>
        <w:tc>
          <w:tcPr>
            <w:tcW w:w="4969" w:type="dxa"/>
            <w:tcBorders>
              <w:top w:val="single" w:sz="4" w:space="0" w:color="auto"/>
              <w:left w:val="single" w:sz="4" w:space="0" w:color="auto"/>
              <w:bottom w:val="single" w:sz="4" w:space="0" w:color="auto"/>
              <w:right w:val="single" w:sz="4" w:space="0" w:color="auto"/>
            </w:tcBorders>
            <w:shd w:val="clear" w:color="auto" w:fill="00B0F0"/>
            <w:hideMark/>
          </w:tcPr>
          <w:p w14:paraId="7015CFBE" w14:textId="77777777" w:rsidR="006C5EF9" w:rsidRPr="006C5EF9" w:rsidRDefault="006C5EF9" w:rsidP="00F42537">
            <w:pPr>
              <w:jc w:val="both"/>
              <w:rPr>
                <w:b/>
                <w:bCs/>
              </w:rPr>
            </w:pPr>
            <w:r w:rsidRPr="006C5EF9">
              <w:rPr>
                <w:b/>
                <w:bCs/>
              </w:rPr>
              <w:t>Councillor</w:t>
            </w:r>
          </w:p>
        </w:tc>
        <w:tc>
          <w:tcPr>
            <w:tcW w:w="4530" w:type="dxa"/>
            <w:tcBorders>
              <w:top w:val="single" w:sz="4" w:space="0" w:color="auto"/>
              <w:left w:val="single" w:sz="4" w:space="0" w:color="auto"/>
              <w:bottom w:val="single" w:sz="4" w:space="0" w:color="auto"/>
              <w:right w:val="single" w:sz="4" w:space="0" w:color="auto"/>
            </w:tcBorders>
            <w:shd w:val="clear" w:color="auto" w:fill="00B0F0"/>
            <w:hideMark/>
          </w:tcPr>
          <w:p w14:paraId="0FCFA0FD" w14:textId="77777777" w:rsidR="006C5EF9" w:rsidRPr="006C5EF9" w:rsidRDefault="006C5EF9" w:rsidP="00F42537">
            <w:pPr>
              <w:jc w:val="both"/>
              <w:rPr>
                <w:b/>
                <w:bCs/>
              </w:rPr>
            </w:pPr>
            <w:r w:rsidRPr="006C5EF9">
              <w:rPr>
                <w:b/>
                <w:bCs/>
              </w:rPr>
              <w:t>Party</w:t>
            </w:r>
          </w:p>
        </w:tc>
      </w:tr>
      <w:tr w:rsidR="006C5EF9" w:rsidRPr="006C5EF9" w14:paraId="4C795EE7" w14:textId="77777777" w:rsidTr="006C5EF9">
        <w:trPr>
          <w:trHeight w:val="378"/>
        </w:trPr>
        <w:tc>
          <w:tcPr>
            <w:tcW w:w="4969" w:type="dxa"/>
            <w:tcBorders>
              <w:top w:val="single" w:sz="4" w:space="0" w:color="auto"/>
              <w:left w:val="single" w:sz="4" w:space="0" w:color="auto"/>
              <w:bottom w:val="single" w:sz="4" w:space="0" w:color="auto"/>
              <w:right w:val="single" w:sz="4" w:space="0" w:color="auto"/>
            </w:tcBorders>
            <w:hideMark/>
          </w:tcPr>
          <w:p w14:paraId="16106CB0" w14:textId="77777777" w:rsidR="006C5EF9" w:rsidRPr="006C5EF9" w:rsidRDefault="006C5EF9" w:rsidP="00F42537">
            <w:pPr>
              <w:jc w:val="both"/>
              <w:rPr>
                <w:b/>
                <w:bCs/>
              </w:rPr>
            </w:pPr>
            <w:r w:rsidRPr="006C5EF9">
              <w:rPr>
                <w:b/>
                <w:bCs/>
              </w:rPr>
              <w:t>Mayor - Chair</w:t>
            </w:r>
          </w:p>
        </w:tc>
        <w:tc>
          <w:tcPr>
            <w:tcW w:w="4530" w:type="dxa"/>
            <w:tcBorders>
              <w:top w:val="single" w:sz="4" w:space="0" w:color="auto"/>
              <w:left w:val="single" w:sz="4" w:space="0" w:color="auto"/>
              <w:bottom w:val="single" w:sz="4" w:space="0" w:color="auto"/>
              <w:right w:val="single" w:sz="4" w:space="0" w:color="auto"/>
            </w:tcBorders>
            <w:hideMark/>
          </w:tcPr>
          <w:p w14:paraId="0F265436" w14:textId="77777777" w:rsidR="006C5EF9" w:rsidRPr="006C5EF9" w:rsidRDefault="006C5EF9" w:rsidP="00F42537">
            <w:pPr>
              <w:jc w:val="both"/>
              <w:rPr>
                <w:b/>
                <w:bCs/>
              </w:rPr>
            </w:pPr>
            <w:r w:rsidRPr="006C5EF9">
              <w:rPr>
                <w:b/>
                <w:bCs/>
              </w:rPr>
              <w:t>-</w:t>
            </w:r>
          </w:p>
        </w:tc>
      </w:tr>
      <w:tr w:rsidR="006C5EF9" w:rsidRPr="006C5EF9" w14:paraId="2304A1DB" w14:textId="77777777" w:rsidTr="006C5EF9">
        <w:trPr>
          <w:trHeight w:val="378"/>
        </w:trPr>
        <w:tc>
          <w:tcPr>
            <w:tcW w:w="4969" w:type="dxa"/>
            <w:tcBorders>
              <w:top w:val="single" w:sz="4" w:space="0" w:color="auto"/>
              <w:left w:val="single" w:sz="4" w:space="0" w:color="auto"/>
              <w:bottom w:val="single" w:sz="4" w:space="0" w:color="auto"/>
              <w:right w:val="single" w:sz="4" w:space="0" w:color="auto"/>
            </w:tcBorders>
            <w:hideMark/>
          </w:tcPr>
          <w:p w14:paraId="673AA21A" w14:textId="77777777" w:rsidR="006C5EF9" w:rsidRPr="006C5EF9" w:rsidRDefault="006C5EF9" w:rsidP="00F42537">
            <w:pPr>
              <w:jc w:val="both"/>
              <w:rPr>
                <w:b/>
                <w:bCs/>
              </w:rPr>
            </w:pPr>
            <w:r w:rsidRPr="006C5EF9">
              <w:rPr>
                <w:b/>
                <w:bCs/>
              </w:rPr>
              <w:t>Alan Hayes</w:t>
            </w:r>
          </w:p>
        </w:tc>
        <w:tc>
          <w:tcPr>
            <w:tcW w:w="4530" w:type="dxa"/>
            <w:tcBorders>
              <w:top w:val="single" w:sz="4" w:space="0" w:color="auto"/>
              <w:left w:val="single" w:sz="4" w:space="0" w:color="auto"/>
              <w:bottom w:val="single" w:sz="4" w:space="0" w:color="auto"/>
              <w:right w:val="single" w:sz="4" w:space="0" w:color="auto"/>
            </w:tcBorders>
            <w:hideMark/>
          </w:tcPr>
          <w:p w14:paraId="4F69A5A6" w14:textId="77777777" w:rsidR="006C5EF9" w:rsidRPr="006C5EF9" w:rsidRDefault="006C5EF9" w:rsidP="00F42537">
            <w:pPr>
              <w:jc w:val="both"/>
              <w:rPr>
                <w:b/>
                <w:bCs/>
              </w:rPr>
            </w:pPr>
            <w:r w:rsidRPr="006C5EF9">
              <w:rPr>
                <w:b/>
                <w:bCs/>
              </w:rPr>
              <w:t>IND</w:t>
            </w:r>
          </w:p>
        </w:tc>
      </w:tr>
      <w:tr w:rsidR="006C5EF9" w:rsidRPr="006C5EF9" w14:paraId="5D81A22E" w14:textId="77777777" w:rsidTr="006C5EF9">
        <w:trPr>
          <w:trHeight w:val="378"/>
        </w:trPr>
        <w:tc>
          <w:tcPr>
            <w:tcW w:w="4969" w:type="dxa"/>
            <w:tcBorders>
              <w:top w:val="single" w:sz="4" w:space="0" w:color="auto"/>
              <w:left w:val="single" w:sz="4" w:space="0" w:color="auto"/>
              <w:bottom w:val="single" w:sz="4" w:space="0" w:color="auto"/>
              <w:right w:val="single" w:sz="4" w:space="0" w:color="auto"/>
            </w:tcBorders>
            <w:hideMark/>
          </w:tcPr>
          <w:p w14:paraId="03C20C27" w14:textId="77777777" w:rsidR="006C5EF9" w:rsidRPr="006C5EF9" w:rsidRDefault="006C5EF9" w:rsidP="00F42537">
            <w:pPr>
              <w:jc w:val="both"/>
              <w:rPr>
                <w:b/>
                <w:bCs/>
              </w:rPr>
            </w:pPr>
            <w:r w:rsidRPr="006C5EF9">
              <w:rPr>
                <w:b/>
                <w:bCs/>
              </w:rPr>
              <w:t>Yvonne Collins</w:t>
            </w:r>
          </w:p>
        </w:tc>
        <w:tc>
          <w:tcPr>
            <w:tcW w:w="4530" w:type="dxa"/>
            <w:tcBorders>
              <w:top w:val="single" w:sz="4" w:space="0" w:color="auto"/>
              <w:left w:val="single" w:sz="4" w:space="0" w:color="auto"/>
              <w:bottom w:val="single" w:sz="4" w:space="0" w:color="auto"/>
              <w:right w:val="single" w:sz="4" w:space="0" w:color="auto"/>
            </w:tcBorders>
            <w:hideMark/>
          </w:tcPr>
          <w:p w14:paraId="4658F37B" w14:textId="77777777" w:rsidR="006C5EF9" w:rsidRPr="006C5EF9" w:rsidRDefault="006C5EF9" w:rsidP="00F42537">
            <w:pPr>
              <w:jc w:val="both"/>
              <w:rPr>
                <w:b/>
                <w:bCs/>
              </w:rPr>
            </w:pPr>
            <w:r w:rsidRPr="006C5EF9">
              <w:rPr>
                <w:b/>
                <w:bCs/>
              </w:rPr>
              <w:t>FF</w:t>
            </w:r>
          </w:p>
        </w:tc>
      </w:tr>
      <w:tr w:rsidR="006C5EF9" w:rsidRPr="006C5EF9" w14:paraId="2A81BBB5" w14:textId="77777777" w:rsidTr="006C5EF9">
        <w:trPr>
          <w:trHeight w:val="378"/>
        </w:trPr>
        <w:tc>
          <w:tcPr>
            <w:tcW w:w="4969" w:type="dxa"/>
            <w:tcBorders>
              <w:top w:val="single" w:sz="4" w:space="0" w:color="auto"/>
              <w:left w:val="single" w:sz="4" w:space="0" w:color="auto"/>
              <w:bottom w:val="single" w:sz="4" w:space="0" w:color="auto"/>
              <w:right w:val="single" w:sz="4" w:space="0" w:color="auto"/>
            </w:tcBorders>
            <w:hideMark/>
          </w:tcPr>
          <w:p w14:paraId="51379926" w14:textId="77777777" w:rsidR="006C5EF9" w:rsidRPr="006C5EF9" w:rsidRDefault="006C5EF9" w:rsidP="00F42537">
            <w:pPr>
              <w:jc w:val="both"/>
              <w:rPr>
                <w:b/>
                <w:bCs/>
              </w:rPr>
            </w:pPr>
            <w:r w:rsidRPr="006C5EF9">
              <w:rPr>
                <w:b/>
                <w:bCs/>
              </w:rPr>
              <w:t>Sarah Barnes</w:t>
            </w:r>
          </w:p>
        </w:tc>
        <w:tc>
          <w:tcPr>
            <w:tcW w:w="4530" w:type="dxa"/>
            <w:tcBorders>
              <w:top w:val="single" w:sz="4" w:space="0" w:color="auto"/>
              <w:left w:val="single" w:sz="4" w:space="0" w:color="auto"/>
              <w:bottom w:val="single" w:sz="4" w:space="0" w:color="auto"/>
              <w:right w:val="single" w:sz="4" w:space="0" w:color="auto"/>
            </w:tcBorders>
            <w:hideMark/>
          </w:tcPr>
          <w:p w14:paraId="5CFB29DC" w14:textId="77777777" w:rsidR="006C5EF9" w:rsidRPr="006C5EF9" w:rsidRDefault="006C5EF9" w:rsidP="00F42537">
            <w:pPr>
              <w:jc w:val="both"/>
              <w:rPr>
                <w:b/>
                <w:bCs/>
              </w:rPr>
            </w:pPr>
            <w:r w:rsidRPr="006C5EF9">
              <w:rPr>
                <w:b/>
                <w:bCs/>
              </w:rPr>
              <w:t>FG</w:t>
            </w:r>
          </w:p>
        </w:tc>
      </w:tr>
      <w:bookmarkEnd w:id="165"/>
    </w:tbl>
    <w:p w14:paraId="21E3D2CB" w14:textId="77777777" w:rsidR="006C5EF9" w:rsidRPr="006C5EF9" w:rsidRDefault="006C5EF9" w:rsidP="00F42537">
      <w:pPr>
        <w:spacing w:after="0" w:line="240" w:lineRule="auto"/>
        <w:jc w:val="both"/>
        <w:rPr>
          <w:b/>
          <w:bCs/>
        </w:rPr>
      </w:pPr>
    </w:p>
    <w:p w14:paraId="5484ED53" w14:textId="14DE66B0" w:rsidR="006C5EF9" w:rsidRPr="001600B1" w:rsidRDefault="006C5EF9" w:rsidP="00F42537">
      <w:pPr>
        <w:spacing w:after="0" w:line="240" w:lineRule="auto"/>
        <w:jc w:val="both"/>
        <w:rPr>
          <w:b/>
          <w:bCs/>
        </w:rPr>
      </w:pPr>
      <w:bookmarkStart w:id="166" w:name="_Toc168915117"/>
      <w:r w:rsidRPr="006C5EF9">
        <w:rPr>
          <w:b/>
        </w:rPr>
        <w:t>Commemorations Committee</w:t>
      </w:r>
      <w:bookmarkEnd w:id="166"/>
    </w:p>
    <w:tbl>
      <w:tblPr>
        <w:tblStyle w:val="TableGrid"/>
        <w:tblpPr w:leftFromText="180" w:rightFromText="180" w:vertAnchor="text" w:horzAnchor="page" w:tblpX="1906" w:tblpY="277"/>
        <w:tblW w:w="9210" w:type="dxa"/>
        <w:tblLook w:val="04A0" w:firstRow="1" w:lastRow="0" w:firstColumn="1" w:lastColumn="0" w:noHBand="0" w:noVBand="1"/>
      </w:tblPr>
      <w:tblGrid>
        <w:gridCol w:w="4680"/>
        <w:gridCol w:w="4530"/>
      </w:tblGrid>
      <w:tr w:rsidR="006C5EF9" w:rsidRPr="006C5EF9" w14:paraId="70574C38" w14:textId="77777777" w:rsidTr="006C5EF9">
        <w:trPr>
          <w:trHeight w:val="378"/>
        </w:trPr>
        <w:tc>
          <w:tcPr>
            <w:tcW w:w="4680" w:type="dxa"/>
            <w:tcBorders>
              <w:top w:val="single" w:sz="4" w:space="0" w:color="auto"/>
              <w:left w:val="single" w:sz="4" w:space="0" w:color="auto"/>
              <w:bottom w:val="single" w:sz="4" w:space="0" w:color="auto"/>
              <w:right w:val="single" w:sz="4" w:space="0" w:color="auto"/>
            </w:tcBorders>
            <w:shd w:val="clear" w:color="auto" w:fill="00B0F0"/>
            <w:hideMark/>
          </w:tcPr>
          <w:p w14:paraId="0A917BB9" w14:textId="77777777" w:rsidR="006C5EF9" w:rsidRPr="006C5EF9" w:rsidRDefault="006C5EF9" w:rsidP="00F42537">
            <w:pPr>
              <w:jc w:val="both"/>
              <w:rPr>
                <w:b/>
                <w:bCs/>
              </w:rPr>
            </w:pPr>
            <w:r w:rsidRPr="006C5EF9">
              <w:rPr>
                <w:b/>
                <w:bCs/>
              </w:rPr>
              <w:t>Councillor</w:t>
            </w:r>
          </w:p>
        </w:tc>
        <w:tc>
          <w:tcPr>
            <w:tcW w:w="4530" w:type="dxa"/>
            <w:tcBorders>
              <w:top w:val="single" w:sz="4" w:space="0" w:color="auto"/>
              <w:left w:val="single" w:sz="4" w:space="0" w:color="auto"/>
              <w:bottom w:val="single" w:sz="4" w:space="0" w:color="auto"/>
              <w:right w:val="single" w:sz="4" w:space="0" w:color="auto"/>
            </w:tcBorders>
            <w:shd w:val="clear" w:color="auto" w:fill="00B0F0"/>
            <w:hideMark/>
          </w:tcPr>
          <w:p w14:paraId="0A441145" w14:textId="77777777" w:rsidR="006C5EF9" w:rsidRPr="006C5EF9" w:rsidRDefault="006C5EF9" w:rsidP="00F42537">
            <w:pPr>
              <w:jc w:val="both"/>
              <w:rPr>
                <w:b/>
                <w:bCs/>
              </w:rPr>
            </w:pPr>
            <w:r w:rsidRPr="006C5EF9">
              <w:rPr>
                <w:b/>
                <w:bCs/>
              </w:rPr>
              <w:t>Party</w:t>
            </w:r>
          </w:p>
        </w:tc>
      </w:tr>
      <w:tr w:rsidR="006C5EF9" w:rsidRPr="006C5EF9" w14:paraId="05232106" w14:textId="77777777" w:rsidTr="006C5EF9">
        <w:trPr>
          <w:trHeight w:val="378"/>
        </w:trPr>
        <w:tc>
          <w:tcPr>
            <w:tcW w:w="4680" w:type="dxa"/>
            <w:tcBorders>
              <w:top w:val="single" w:sz="4" w:space="0" w:color="auto"/>
              <w:left w:val="single" w:sz="4" w:space="0" w:color="auto"/>
              <w:bottom w:val="single" w:sz="4" w:space="0" w:color="auto"/>
              <w:right w:val="single" w:sz="4" w:space="0" w:color="auto"/>
            </w:tcBorders>
            <w:hideMark/>
          </w:tcPr>
          <w:p w14:paraId="6013FD79" w14:textId="77777777" w:rsidR="006C5EF9" w:rsidRPr="006C5EF9" w:rsidRDefault="006C5EF9" w:rsidP="00F42537">
            <w:pPr>
              <w:jc w:val="both"/>
              <w:rPr>
                <w:b/>
                <w:bCs/>
              </w:rPr>
            </w:pPr>
            <w:r w:rsidRPr="006C5EF9">
              <w:rPr>
                <w:b/>
                <w:bCs/>
              </w:rPr>
              <w:t>Sarah Barnes</w:t>
            </w:r>
          </w:p>
        </w:tc>
        <w:tc>
          <w:tcPr>
            <w:tcW w:w="4530" w:type="dxa"/>
            <w:tcBorders>
              <w:top w:val="single" w:sz="4" w:space="0" w:color="auto"/>
              <w:left w:val="single" w:sz="4" w:space="0" w:color="auto"/>
              <w:bottom w:val="single" w:sz="4" w:space="0" w:color="auto"/>
              <w:right w:val="single" w:sz="4" w:space="0" w:color="auto"/>
            </w:tcBorders>
            <w:hideMark/>
          </w:tcPr>
          <w:p w14:paraId="79EFF1FB" w14:textId="77777777" w:rsidR="006C5EF9" w:rsidRPr="006C5EF9" w:rsidRDefault="006C5EF9" w:rsidP="00F42537">
            <w:pPr>
              <w:jc w:val="both"/>
              <w:rPr>
                <w:b/>
                <w:bCs/>
              </w:rPr>
            </w:pPr>
            <w:r w:rsidRPr="006C5EF9">
              <w:rPr>
                <w:b/>
                <w:bCs/>
              </w:rPr>
              <w:t>FG</w:t>
            </w:r>
          </w:p>
        </w:tc>
      </w:tr>
      <w:tr w:rsidR="006C5EF9" w:rsidRPr="006C5EF9" w14:paraId="3CDD11F8" w14:textId="77777777" w:rsidTr="006C5EF9">
        <w:trPr>
          <w:trHeight w:val="378"/>
        </w:trPr>
        <w:tc>
          <w:tcPr>
            <w:tcW w:w="4680" w:type="dxa"/>
            <w:tcBorders>
              <w:top w:val="single" w:sz="4" w:space="0" w:color="auto"/>
              <w:left w:val="single" w:sz="4" w:space="0" w:color="auto"/>
              <w:bottom w:val="single" w:sz="4" w:space="0" w:color="auto"/>
              <w:right w:val="single" w:sz="4" w:space="0" w:color="auto"/>
            </w:tcBorders>
            <w:hideMark/>
          </w:tcPr>
          <w:p w14:paraId="2FB699F4" w14:textId="77777777" w:rsidR="006C5EF9" w:rsidRPr="006C5EF9" w:rsidRDefault="006C5EF9" w:rsidP="00F42537">
            <w:pPr>
              <w:jc w:val="both"/>
              <w:rPr>
                <w:b/>
                <w:bCs/>
              </w:rPr>
            </w:pPr>
            <w:r w:rsidRPr="006C5EF9">
              <w:rPr>
                <w:b/>
                <w:bCs/>
              </w:rPr>
              <w:t>William Carey</w:t>
            </w:r>
          </w:p>
        </w:tc>
        <w:tc>
          <w:tcPr>
            <w:tcW w:w="4530" w:type="dxa"/>
            <w:tcBorders>
              <w:top w:val="single" w:sz="4" w:space="0" w:color="auto"/>
              <w:left w:val="single" w:sz="4" w:space="0" w:color="auto"/>
              <w:bottom w:val="single" w:sz="4" w:space="0" w:color="auto"/>
              <w:right w:val="single" w:sz="4" w:space="0" w:color="auto"/>
            </w:tcBorders>
            <w:hideMark/>
          </w:tcPr>
          <w:p w14:paraId="0B3CF704" w14:textId="77777777" w:rsidR="006C5EF9" w:rsidRPr="006C5EF9" w:rsidRDefault="006C5EF9" w:rsidP="00F42537">
            <w:pPr>
              <w:jc w:val="both"/>
              <w:rPr>
                <w:b/>
                <w:bCs/>
              </w:rPr>
            </w:pPr>
            <w:r w:rsidRPr="006C5EF9">
              <w:rPr>
                <w:b/>
                <w:bCs/>
              </w:rPr>
              <w:t>SF</w:t>
            </w:r>
          </w:p>
        </w:tc>
      </w:tr>
      <w:tr w:rsidR="006C5EF9" w:rsidRPr="006C5EF9" w14:paraId="1FCC4E6C" w14:textId="77777777" w:rsidTr="006C5EF9">
        <w:trPr>
          <w:trHeight w:val="378"/>
        </w:trPr>
        <w:tc>
          <w:tcPr>
            <w:tcW w:w="4680" w:type="dxa"/>
            <w:tcBorders>
              <w:top w:val="single" w:sz="4" w:space="0" w:color="auto"/>
              <w:left w:val="single" w:sz="4" w:space="0" w:color="auto"/>
              <w:bottom w:val="single" w:sz="4" w:space="0" w:color="auto"/>
              <w:right w:val="single" w:sz="4" w:space="0" w:color="auto"/>
            </w:tcBorders>
            <w:hideMark/>
          </w:tcPr>
          <w:p w14:paraId="080735CF" w14:textId="77777777" w:rsidR="006C5EF9" w:rsidRPr="006C5EF9" w:rsidRDefault="006C5EF9" w:rsidP="00F42537">
            <w:pPr>
              <w:jc w:val="both"/>
              <w:rPr>
                <w:b/>
                <w:bCs/>
              </w:rPr>
            </w:pPr>
            <w:r w:rsidRPr="006C5EF9">
              <w:rPr>
                <w:b/>
                <w:bCs/>
              </w:rPr>
              <w:t>Yvonne Collins</w:t>
            </w:r>
          </w:p>
        </w:tc>
        <w:tc>
          <w:tcPr>
            <w:tcW w:w="4530" w:type="dxa"/>
            <w:tcBorders>
              <w:top w:val="single" w:sz="4" w:space="0" w:color="auto"/>
              <w:left w:val="single" w:sz="4" w:space="0" w:color="auto"/>
              <w:bottom w:val="single" w:sz="4" w:space="0" w:color="auto"/>
              <w:right w:val="single" w:sz="4" w:space="0" w:color="auto"/>
            </w:tcBorders>
            <w:hideMark/>
          </w:tcPr>
          <w:p w14:paraId="17A7EA18" w14:textId="77777777" w:rsidR="006C5EF9" w:rsidRPr="006C5EF9" w:rsidRDefault="006C5EF9" w:rsidP="00F42537">
            <w:pPr>
              <w:jc w:val="both"/>
              <w:rPr>
                <w:b/>
                <w:bCs/>
              </w:rPr>
            </w:pPr>
            <w:r w:rsidRPr="006C5EF9">
              <w:rPr>
                <w:b/>
                <w:bCs/>
              </w:rPr>
              <w:t>FF</w:t>
            </w:r>
          </w:p>
        </w:tc>
      </w:tr>
    </w:tbl>
    <w:p w14:paraId="7AA269C4" w14:textId="33163C8A" w:rsidR="006C5EF9" w:rsidRPr="001600B1" w:rsidRDefault="006C5EF9" w:rsidP="00F42537">
      <w:pPr>
        <w:spacing w:after="0" w:line="240" w:lineRule="auto"/>
        <w:jc w:val="both"/>
        <w:rPr>
          <w:b/>
          <w:bCs/>
        </w:rPr>
      </w:pPr>
      <w:r w:rsidRPr="006C5EF9">
        <w:rPr>
          <w:b/>
          <w:bCs/>
        </w:rPr>
        <w:tab/>
      </w:r>
      <w:bookmarkStart w:id="167" w:name="_Toc168915118"/>
    </w:p>
    <w:p w14:paraId="4B53F7AD" w14:textId="26093694" w:rsidR="006C5EF9" w:rsidRPr="006C5EF9" w:rsidRDefault="006C5EF9" w:rsidP="00F42537">
      <w:pPr>
        <w:spacing w:after="0" w:line="240" w:lineRule="auto"/>
        <w:jc w:val="both"/>
        <w:rPr>
          <w:b/>
          <w:bCs/>
        </w:rPr>
      </w:pPr>
      <w:bookmarkStart w:id="168" w:name="_Toc168915119"/>
      <w:bookmarkEnd w:id="167"/>
      <w:r w:rsidRPr="006C5EF9">
        <w:rPr>
          <w:b/>
        </w:rPr>
        <w:t>300K Have Your Say Steering Group Membership</w:t>
      </w:r>
      <w:bookmarkEnd w:id="168"/>
    </w:p>
    <w:tbl>
      <w:tblPr>
        <w:tblStyle w:val="TableGrid"/>
        <w:tblpPr w:leftFromText="180" w:rightFromText="180" w:vertAnchor="text" w:horzAnchor="page" w:tblpX="1906" w:tblpY="277"/>
        <w:tblW w:w="9210" w:type="dxa"/>
        <w:tblLook w:val="04A0" w:firstRow="1" w:lastRow="0" w:firstColumn="1" w:lastColumn="0" w:noHBand="0" w:noVBand="1"/>
      </w:tblPr>
      <w:tblGrid>
        <w:gridCol w:w="4680"/>
        <w:gridCol w:w="4530"/>
      </w:tblGrid>
      <w:tr w:rsidR="006C5EF9" w:rsidRPr="006C5EF9" w14:paraId="79D9937A" w14:textId="77777777" w:rsidTr="006C5EF9">
        <w:trPr>
          <w:trHeight w:val="378"/>
        </w:trPr>
        <w:tc>
          <w:tcPr>
            <w:tcW w:w="4680" w:type="dxa"/>
            <w:tcBorders>
              <w:top w:val="single" w:sz="4" w:space="0" w:color="auto"/>
              <w:left w:val="single" w:sz="4" w:space="0" w:color="auto"/>
              <w:bottom w:val="single" w:sz="4" w:space="0" w:color="auto"/>
              <w:right w:val="single" w:sz="4" w:space="0" w:color="auto"/>
            </w:tcBorders>
            <w:shd w:val="clear" w:color="auto" w:fill="00B0F0"/>
            <w:hideMark/>
          </w:tcPr>
          <w:p w14:paraId="6F519803" w14:textId="77777777" w:rsidR="006C5EF9" w:rsidRPr="006C5EF9" w:rsidRDefault="006C5EF9" w:rsidP="00F42537">
            <w:pPr>
              <w:jc w:val="both"/>
              <w:rPr>
                <w:b/>
                <w:bCs/>
              </w:rPr>
            </w:pPr>
            <w:r w:rsidRPr="006C5EF9">
              <w:rPr>
                <w:b/>
                <w:bCs/>
              </w:rPr>
              <w:t>Councillor</w:t>
            </w:r>
          </w:p>
        </w:tc>
        <w:tc>
          <w:tcPr>
            <w:tcW w:w="4530" w:type="dxa"/>
            <w:tcBorders>
              <w:top w:val="single" w:sz="4" w:space="0" w:color="auto"/>
              <w:left w:val="single" w:sz="4" w:space="0" w:color="auto"/>
              <w:bottom w:val="single" w:sz="4" w:space="0" w:color="auto"/>
              <w:right w:val="single" w:sz="4" w:space="0" w:color="auto"/>
            </w:tcBorders>
            <w:shd w:val="clear" w:color="auto" w:fill="00B0F0"/>
            <w:hideMark/>
          </w:tcPr>
          <w:p w14:paraId="2841A812" w14:textId="77777777" w:rsidR="006C5EF9" w:rsidRPr="006C5EF9" w:rsidRDefault="006C5EF9" w:rsidP="00F42537">
            <w:pPr>
              <w:jc w:val="both"/>
              <w:rPr>
                <w:b/>
                <w:bCs/>
              </w:rPr>
            </w:pPr>
            <w:r w:rsidRPr="006C5EF9">
              <w:rPr>
                <w:b/>
                <w:bCs/>
              </w:rPr>
              <w:t>Party</w:t>
            </w:r>
          </w:p>
        </w:tc>
      </w:tr>
      <w:tr w:rsidR="006C5EF9" w:rsidRPr="006C5EF9" w14:paraId="63BDE6CD" w14:textId="77777777" w:rsidTr="006C5EF9">
        <w:trPr>
          <w:trHeight w:val="378"/>
        </w:trPr>
        <w:tc>
          <w:tcPr>
            <w:tcW w:w="4680" w:type="dxa"/>
            <w:tcBorders>
              <w:top w:val="single" w:sz="4" w:space="0" w:color="auto"/>
              <w:left w:val="single" w:sz="4" w:space="0" w:color="auto"/>
              <w:bottom w:val="single" w:sz="4" w:space="0" w:color="auto"/>
              <w:right w:val="single" w:sz="4" w:space="0" w:color="auto"/>
            </w:tcBorders>
            <w:hideMark/>
          </w:tcPr>
          <w:p w14:paraId="2AFBA077" w14:textId="77777777" w:rsidR="006C5EF9" w:rsidRPr="006C5EF9" w:rsidRDefault="006C5EF9" w:rsidP="00F42537">
            <w:pPr>
              <w:jc w:val="both"/>
              <w:rPr>
                <w:b/>
                <w:bCs/>
              </w:rPr>
            </w:pPr>
            <w:r w:rsidRPr="006C5EF9">
              <w:rPr>
                <w:b/>
                <w:bCs/>
              </w:rPr>
              <w:t>Councillor Y. Collins</w:t>
            </w:r>
          </w:p>
        </w:tc>
        <w:tc>
          <w:tcPr>
            <w:tcW w:w="4530" w:type="dxa"/>
            <w:tcBorders>
              <w:top w:val="single" w:sz="4" w:space="0" w:color="auto"/>
              <w:left w:val="single" w:sz="4" w:space="0" w:color="auto"/>
              <w:bottom w:val="single" w:sz="4" w:space="0" w:color="auto"/>
              <w:right w:val="single" w:sz="4" w:space="0" w:color="auto"/>
            </w:tcBorders>
            <w:hideMark/>
          </w:tcPr>
          <w:p w14:paraId="1247B380" w14:textId="77777777" w:rsidR="006C5EF9" w:rsidRPr="006C5EF9" w:rsidRDefault="006C5EF9" w:rsidP="00F42537">
            <w:pPr>
              <w:jc w:val="both"/>
              <w:rPr>
                <w:b/>
                <w:bCs/>
              </w:rPr>
            </w:pPr>
            <w:r w:rsidRPr="006C5EF9">
              <w:rPr>
                <w:b/>
                <w:bCs/>
              </w:rPr>
              <w:t>FF</w:t>
            </w:r>
          </w:p>
        </w:tc>
      </w:tr>
      <w:tr w:rsidR="006C5EF9" w:rsidRPr="006C5EF9" w14:paraId="054F029B" w14:textId="77777777" w:rsidTr="006C5EF9">
        <w:trPr>
          <w:trHeight w:val="378"/>
        </w:trPr>
        <w:tc>
          <w:tcPr>
            <w:tcW w:w="4680" w:type="dxa"/>
            <w:tcBorders>
              <w:top w:val="single" w:sz="4" w:space="0" w:color="auto"/>
              <w:left w:val="single" w:sz="4" w:space="0" w:color="auto"/>
              <w:bottom w:val="single" w:sz="4" w:space="0" w:color="auto"/>
              <w:right w:val="single" w:sz="4" w:space="0" w:color="auto"/>
            </w:tcBorders>
            <w:hideMark/>
          </w:tcPr>
          <w:p w14:paraId="074C343F" w14:textId="77777777" w:rsidR="006C5EF9" w:rsidRPr="006C5EF9" w:rsidRDefault="006C5EF9" w:rsidP="00F42537">
            <w:pPr>
              <w:jc w:val="both"/>
              <w:rPr>
                <w:b/>
                <w:bCs/>
              </w:rPr>
            </w:pPr>
            <w:r w:rsidRPr="006C5EF9">
              <w:rPr>
                <w:b/>
                <w:bCs/>
              </w:rPr>
              <w:t>Councillor P. Kearns</w:t>
            </w:r>
          </w:p>
        </w:tc>
        <w:tc>
          <w:tcPr>
            <w:tcW w:w="4530" w:type="dxa"/>
            <w:tcBorders>
              <w:top w:val="single" w:sz="4" w:space="0" w:color="auto"/>
              <w:left w:val="single" w:sz="4" w:space="0" w:color="auto"/>
              <w:bottom w:val="single" w:sz="4" w:space="0" w:color="auto"/>
              <w:right w:val="single" w:sz="4" w:space="0" w:color="auto"/>
            </w:tcBorders>
            <w:hideMark/>
          </w:tcPr>
          <w:p w14:paraId="117D0C56" w14:textId="77777777" w:rsidR="006C5EF9" w:rsidRPr="006C5EF9" w:rsidRDefault="006C5EF9" w:rsidP="00F42537">
            <w:pPr>
              <w:jc w:val="both"/>
              <w:rPr>
                <w:b/>
                <w:bCs/>
              </w:rPr>
            </w:pPr>
            <w:r w:rsidRPr="006C5EF9">
              <w:rPr>
                <w:b/>
                <w:bCs/>
              </w:rPr>
              <w:t>Lab</w:t>
            </w:r>
          </w:p>
        </w:tc>
      </w:tr>
      <w:tr w:rsidR="006C5EF9" w:rsidRPr="006C5EF9" w14:paraId="0732242F" w14:textId="77777777" w:rsidTr="006C5EF9">
        <w:trPr>
          <w:trHeight w:val="378"/>
        </w:trPr>
        <w:tc>
          <w:tcPr>
            <w:tcW w:w="4680" w:type="dxa"/>
            <w:tcBorders>
              <w:top w:val="single" w:sz="4" w:space="0" w:color="auto"/>
              <w:left w:val="single" w:sz="4" w:space="0" w:color="auto"/>
              <w:bottom w:val="single" w:sz="4" w:space="0" w:color="auto"/>
              <w:right w:val="single" w:sz="4" w:space="0" w:color="auto"/>
            </w:tcBorders>
            <w:hideMark/>
          </w:tcPr>
          <w:p w14:paraId="4323B319" w14:textId="77777777" w:rsidR="006C5EF9" w:rsidRPr="006C5EF9" w:rsidRDefault="006C5EF9" w:rsidP="00F42537">
            <w:pPr>
              <w:jc w:val="both"/>
              <w:rPr>
                <w:b/>
                <w:bCs/>
              </w:rPr>
            </w:pPr>
            <w:r w:rsidRPr="006C5EF9">
              <w:rPr>
                <w:b/>
                <w:bCs/>
              </w:rPr>
              <w:t>Councillor V. Casserly</w:t>
            </w:r>
          </w:p>
        </w:tc>
        <w:tc>
          <w:tcPr>
            <w:tcW w:w="4530" w:type="dxa"/>
            <w:tcBorders>
              <w:top w:val="single" w:sz="4" w:space="0" w:color="auto"/>
              <w:left w:val="single" w:sz="4" w:space="0" w:color="auto"/>
              <w:bottom w:val="single" w:sz="4" w:space="0" w:color="auto"/>
              <w:right w:val="single" w:sz="4" w:space="0" w:color="auto"/>
            </w:tcBorders>
            <w:hideMark/>
          </w:tcPr>
          <w:p w14:paraId="4B9AA82A" w14:textId="77777777" w:rsidR="006C5EF9" w:rsidRPr="006C5EF9" w:rsidRDefault="006C5EF9" w:rsidP="00F42537">
            <w:pPr>
              <w:jc w:val="both"/>
              <w:rPr>
                <w:b/>
                <w:bCs/>
              </w:rPr>
            </w:pPr>
            <w:r w:rsidRPr="006C5EF9">
              <w:rPr>
                <w:b/>
                <w:bCs/>
              </w:rPr>
              <w:t>FG</w:t>
            </w:r>
          </w:p>
        </w:tc>
      </w:tr>
      <w:tr w:rsidR="006C5EF9" w:rsidRPr="006C5EF9" w14:paraId="7C855CF5" w14:textId="77777777" w:rsidTr="006C5EF9">
        <w:trPr>
          <w:trHeight w:val="378"/>
        </w:trPr>
        <w:tc>
          <w:tcPr>
            <w:tcW w:w="4680" w:type="dxa"/>
            <w:tcBorders>
              <w:top w:val="single" w:sz="4" w:space="0" w:color="auto"/>
              <w:left w:val="single" w:sz="4" w:space="0" w:color="auto"/>
              <w:bottom w:val="single" w:sz="4" w:space="0" w:color="auto"/>
              <w:right w:val="single" w:sz="4" w:space="0" w:color="auto"/>
            </w:tcBorders>
            <w:hideMark/>
          </w:tcPr>
          <w:p w14:paraId="29A2D925" w14:textId="77777777" w:rsidR="006C5EF9" w:rsidRPr="006C5EF9" w:rsidRDefault="006C5EF9" w:rsidP="00F42537">
            <w:pPr>
              <w:jc w:val="both"/>
              <w:rPr>
                <w:b/>
                <w:bCs/>
              </w:rPr>
            </w:pPr>
            <w:r w:rsidRPr="006C5EF9">
              <w:rPr>
                <w:b/>
                <w:bCs/>
              </w:rPr>
              <w:t>Councillor W. Carey</w:t>
            </w:r>
          </w:p>
        </w:tc>
        <w:tc>
          <w:tcPr>
            <w:tcW w:w="4530" w:type="dxa"/>
            <w:tcBorders>
              <w:top w:val="single" w:sz="4" w:space="0" w:color="auto"/>
              <w:left w:val="single" w:sz="4" w:space="0" w:color="auto"/>
              <w:bottom w:val="single" w:sz="4" w:space="0" w:color="auto"/>
              <w:right w:val="single" w:sz="4" w:space="0" w:color="auto"/>
            </w:tcBorders>
            <w:hideMark/>
          </w:tcPr>
          <w:p w14:paraId="67713183" w14:textId="77777777" w:rsidR="006C5EF9" w:rsidRPr="006C5EF9" w:rsidRDefault="006C5EF9" w:rsidP="00F42537">
            <w:pPr>
              <w:jc w:val="both"/>
              <w:rPr>
                <w:b/>
                <w:bCs/>
              </w:rPr>
            </w:pPr>
            <w:r w:rsidRPr="006C5EF9">
              <w:rPr>
                <w:b/>
                <w:bCs/>
              </w:rPr>
              <w:t>SF</w:t>
            </w:r>
          </w:p>
        </w:tc>
      </w:tr>
      <w:tr w:rsidR="006C5EF9" w:rsidRPr="006C5EF9" w14:paraId="47B56D4E" w14:textId="77777777" w:rsidTr="006C5EF9">
        <w:trPr>
          <w:trHeight w:val="378"/>
        </w:trPr>
        <w:tc>
          <w:tcPr>
            <w:tcW w:w="4680" w:type="dxa"/>
            <w:tcBorders>
              <w:top w:val="single" w:sz="4" w:space="0" w:color="auto"/>
              <w:left w:val="single" w:sz="4" w:space="0" w:color="auto"/>
              <w:bottom w:val="single" w:sz="4" w:space="0" w:color="auto"/>
              <w:right w:val="single" w:sz="4" w:space="0" w:color="auto"/>
            </w:tcBorders>
            <w:hideMark/>
          </w:tcPr>
          <w:p w14:paraId="234C1233" w14:textId="77777777" w:rsidR="006C5EF9" w:rsidRPr="006C5EF9" w:rsidRDefault="006C5EF9" w:rsidP="00F42537">
            <w:pPr>
              <w:jc w:val="both"/>
              <w:rPr>
                <w:b/>
                <w:bCs/>
              </w:rPr>
            </w:pPr>
            <w:r w:rsidRPr="006C5EF9">
              <w:rPr>
                <w:b/>
                <w:bCs/>
              </w:rPr>
              <w:t>Councillor D. Adelaide</w:t>
            </w:r>
          </w:p>
        </w:tc>
        <w:tc>
          <w:tcPr>
            <w:tcW w:w="4530" w:type="dxa"/>
            <w:tcBorders>
              <w:top w:val="single" w:sz="4" w:space="0" w:color="auto"/>
              <w:left w:val="single" w:sz="4" w:space="0" w:color="auto"/>
              <w:bottom w:val="single" w:sz="4" w:space="0" w:color="auto"/>
              <w:right w:val="single" w:sz="4" w:space="0" w:color="auto"/>
            </w:tcBorders>
            <w:hideMark/>
          </w:tcPr>
          <w:p w14:paraId="3862F749" w14:textId="77777777" w:rsidR="006C5EF9" w:rsidRPr="006C5EF9" w:rsidRDefault="006C5EF9" w:rsidP="00F42537">
            <w:pPr>
              <w:jc w:val="both"/>
              <w:rPr>
                <w:b/>
                <w:bCs/>
              </w:rPr>
            </w:pPr>
            <w:r w:rsidRPr="006C5EF9">
              <w:rPr>
                <w:b/>
                <w:bCs/>
              </w:rPr>
              <w:t>PBP</w:t>
            </w:r>
          </w:p>
        </w:tc>
      </w:tr>
      <w:tr w:rsidR="006C5EF9" w:rsidRPr="006C5EF9" w14:paraId="250C2550" w14:textId="77777777" w:rsidTr="006C5EF9">
        <w:trPr>
          <w:trHeight w:val="378"/>
        </w:trPr>
        <w:tc>
          <w:tcPr>
            <w:tcW w:w="4680" w:type="dxa"/>
            <w:tcBorders>
              <w:top w:val="single" w:sz="4" w:space="0" w:color="auto"/>
              <w:left w:val="single" w:sz="4" w:space="0" w:color="auto"/>
              <w:bottom w:val="single" w:sz="4" w:space="0" w:color="auto"/>
              <w:right w:val="single" w:sz="4" w:space="0" w:color="auto"/>
            </w:tcBorders>
            <w:hideMark/>
          </w:tcPr>
          <w:p w14:paraId="162F359C" w14:textId="77777777" w:rsidR="006C5EF9" w:rsidRPr="006C5EF9" w:rsidRDefault="006C5EF9" w:rsidP="00F42537">
            <w:pPr>
              <w:jc w:val="both"/>
              <w:rPr>
                <w:b/>
                <w:bCs/>
              </w:rPr>
            </w:pPr>
            <w:r w:rsidRPr="006C5EF9">
              <w:rPr>
                <w:b/>
                <w:bCs/>
              </w:rPr>
              <w:t>Councillor M. Duff</w:t>
            </w:r>
          </w:p>
        </w:tc>
        <w:tc>
          <w:tcPr>
            <w:tcW w:w="4530" w:type="dxa"/>
            <w:tcBorders>
              <w:top w:val="single" w:sz="4" w:space="0" w:color="auto"/>
              <w:left w:val="single" w:sz="4" w:space="0" w:color="auto"/>
              <w:bottom w:val="single" w:sz="4" w:space="0" w:color="auto"/>
              <w:right w:val="single" w:sz="4" w:space="0" w:color="auto"/>
            </w:tcBorders>
            <w:hideMark/>
          </w:tcPr>
          <w:p w14:paraId="2C286735" w14:textId="77777777" w:rsidR="006C5EF9" w:rsidRPr="006C5EF9" w:rsidRDefault="006C5EF9" w:rsidP="00F42537">
            <w:pPr>
              <w:jc w:val="both"/>
              <w:rPr>
                <w:b/>
                <w:bCs/>
              </w:rPr>
            </w:pPr>
            <w:r w:rsidRPr="006C5EF9">
              <w:rPr>
                <w:b/>
                <w:bCs/>
              </w:rPr>
              <w:t>IND</w:t>
            </w:r>
          </w:p>
        </w:tc>
      </w:tr>
      <w:tr w:rsidR="006C5EF9" w:rsidRPr="006C5EF9" w14:paraId="6CAEDCA6" w14:textId="77777777" w:rsidTr="006C5EF9">
        <w:trPr>
          <w:trHeight w:val="378"/>
        </w:trPr>
        <w:tc>
          <w:tcPr>
            <w:tcW w:w="4680" w:type="dxa"/>
            <w:tcBorders>
              <w:top w:val="single" w:sz="4" w:space="0" w:color="auto"/>
              <w:left w:val="single" w:sz="4" w:space="0" w:color="auto"/>
              <w:bottom w:val="single" w:sz="4" w:space="0" w:color="auto"/>
              <w:right w:val="single" w:sz="4" w:space="0" w:color="auto"/>
            </w:tcBorders>
            <w:hideMark/>
          </w:tcPr>
          <w:p w14:paraId="5E00255C" w14:textId="77777777" w:rsidR="006C5EF9" w:rsidRPr="006C5EF9" w:rsidRDefault="006C5EF9" w:rsidP="00F42537">
            <w:pPr>
              <w:jc w:val="both"/>
              <w:rPr>
                <w:b/>
                <w:bCs/>
              </w:rPr>
            </w:pPr>
            <w:r w:rsidRPr="006C5EF9">
              <w:rPr>
                <w:b/>
                <w:bCs/>
              </w:rPr>
              <w:t xml:space="preserve">Councillor A. Hayes. </w:t>
            </w:r>
          </w:p>
        </w:tc>
        <w:tc>
          <w:tcPr>
            <w:tcW w:w="4530" w:type="dxa"/>
            <w:tcBorders>
              <w:top w:val="single" w:sz="4" w:space="0" w:color="auto"/>
              <w:left w:val="single" w:sz="4" w:space="0" w:color="auto"/>
              <w:bottom w:val="single" w:sz="4" w:space="0" w:color="auto"/>
              <w:right w:val="single" w:sz="4" w:space="0" w:color="auto"/>
            </w:tcBorders>
            <w:hideMark/>
          </w:tcPr>
          <w:p w14:paraId="46A61635" w14:textId="77777777" w:rsidR="006C5EF9" w:rsidRPr="006C5EF9" w:rsidRDefault="006C5EF9" w:rsidP="00F42537">
            <w:pPr>
              <w:jc w:val="both"/>
              <w:rPr>
                <w:b/>
                <w:bCs/>
              </w:rPr>
            </w:pPr>
            <w:r w:rsidRPr="006C5EF9">
              <w:rPr>
                <w:b/>
                <w:bCs/>
              </w:rPr>
              <w:t>IND</w:t>
            </w:r>
          </w:p>
        </w:tc>
      </w:tr>
      <w:tr w:rsidR="006C5EF9" w:rsidRPr="006C5EF9" w14:paraId="3E4A8DDD" w14:textId="77777777" w:rsidTr="006C5EF9">
        <w:trPr>
          <w:trHeight w:val="378"/>
        </w:trPr>
        <w:tc>
          <w:tcPr>
            <w:tcW w:w="4680" w:type="dxa"/>
            <w:tcBorders>
              <w:top w:val="single" w:sz="4" w:space="0" w:color="auto"/>
              <w:left w:val="single" w:sz="4" w:space="0" w:color="auto"/>
              <w:bottom w:val="single" w:sz="4" w:space="0" w:color="auto"/>
              <w:right w:val="single" w:sz="4" w:space="0" w:color="auto"/>
            </w:tcBorders>
            <w:hideMark/>
          </w:tcPr>
          <w:p w14:paraId="0B53ADA4" w14:textId="77777777" w:rsidR="006C5EF9" w:rsidRPr="006C5EF9" w:rsidRDefault="006C5EF9" w:rsidP="00F42537">
            <w:pPr>
              <w:jc w:val="both"/>
              <w:rPr>
                <w:b/>
                <w:bCs/>
              </w:rPr>
            </w:pPr>
            <w:r w:rsidRPr="006C5EF9">
              <w:rPr>
                <w:b/>
                <w:bCs/>
              </w:rPr>
              <w:t xml:space="preserve">Mayor </w:t>
            </w:r>
          </w:p>
        </w:tc>
        <w:tc>
          <w:tcPr>
            <w:tcW w:w="4530" w:type="dxa"/>
            <w:tcBorders>
              <w:top w:val="single" w:sz="4" w:space="0" w:color="auto"/>
              <w:left w:val="single" w:sz="4" w:space="0" w:color="auto"/>
              <w:bottom w:val="single" w:sz="4" w:space="0" w:color="auto"/>
              <w:right w:val="single" w:sz="4" w:space="0" w:color="auto"/>
            </w:tcBorders>
            <w:hideMark/>
          </w:tcPr>
          <w:p w14:paraId="24391E42" w14:textId="77777777" w:rsidR="006C5EF9" w:rsidRPr="006C5EF9" w:rsidRDefault="006C5EF9" w:rsidP="00F42537">
            <w:pPr>
              <w:jc w:val="both"/>
              <w:rPr>
                <w:b/>
                <w:bCs/>
              </w:rPr>
            </w:pPr>
            <w:r w:rsidRPr="006C5EF9">
              <w:rPr>
                <w:b/>
                <w:bCs/>
              </w:rPr>
              <w:t>-</w:t>
            </w:r>
          </w:p>
        </w:tc>
      </w:tr>
    </w:tbl>
    <w:p w14:paraId="6888EB45" w14:textId="77777777" w:rsidR="006C5EF9" w:rsidRDefault="006C5EF9" w:rsidP="00F42537">
      <w:pPr>
        <w:spacing w:after="0" w:line="240" w:lineRule="auto"/>
        <w:jc w:val="both"/>
        <w:rPr>
          <w:b/>
          <w:bCs/>
        </w:rPr>
      </w:pPr>
    </w:p>
    <w:p w14:paraId="653CA493" w14:textId="77777777" w:rsidR="001600B1" w:rsidRDefault="001600B1" w:rsidP="00F42537">
      <w:pPr>
        <w:spacing w:after="0" w:line="240" w:lineRule="auto"/>
        <w:jc w:val="both"/>
        <w:rPr>
          <w:b/>
          <w:bCs/>
        </w:rPr>
      </w:pPr>
    </w:p>
    <w:p w14:paraId="41D5BD53" w14:textId="77777777" w:rsidR="001600B1" w:rsidRDefault="001600B1" w:rsidP="00F42537">
      <w:pPr>
        <w:spacing w:after="0" w:line="240" w:lineRule="auto"/>
        <w:jc w:val="both"/>
        <w:rPr>
          <w:b/>
          <w:bCs/>
        </w:rPr>
      </w:pPr>
    </w:p>
    <w:p w14:paraId="1FF41B26" w14:textId="77777777" w:rsidR="001600B1" w:rsidRPr="006C5EF9" w:rsidRDefault="001600B1" w:rsidP="00F42537">
      <w:pPr>
        <w:spacing w:after="0" w:line="240" w:lineRule="auto"/>
        <w:jc w:val="both"/>
        <w:rPr>
          <w:b/>
          <w:bCs/>
        </w:rPr>
      </w:pPr>
    </w:p>
    <w:p w14:paraId="22A07B32" w14:textId="36982E96" w:rsidR="006C5EF9" w:rsidRPr="006C5EF9" w:rsidRDefault="006C5EF9" w:rsidP="00DB4E00">
      <w:pPr>
        <w:spacing w:after="0" w:line="240" w:lineRule="auto"/>
        <w:jc w:val="both"/>
        <w:rPr>
          <w:b/>
          <w:bCs/>
          <w:u w:val="single"/>
        </w:rPr>
      </w:pPr>
      <w:bookmarkStart w:id="169" w:name="_Toc168915120"/>
      <w:r w:rsidRPr="006C5EF9">
        <w:rPr>
          <w:b/>
        </w:rPr>
        <w:t xml:space="preserve">Liffey </w:t>
      </w:r>
      <w:bookmarkEnd w:id="169"/>
    </w:p>
    <w:p w14:paraId="38AC556C" w14:textId="50F07804" w:rsidR="006C5EF9" w:rsidRDefault="006C5EF9" w:rsidP="00B60676">
      <w:pPr>
        <w:jc w:val="both"/>
      </w:pPr>
      <w:r>
        <w:br w:type="page"/>
      </w:r>
    </w:p>
    <w:p w14:paraId="3439030D" w14:textId="4E073BEF" w:rsidR="006C5EF9" w:rsidRDefault="006C5EF9" w:rsidP="003B1180">
      <w:pPr>
        <w:pStyle w:val="Heading2"/>
      </w:pPr>
      <w:bookmarkStart w:id="170" w:name="_Toc199244585"/>
      <w:r>
        <w:lastRenderedPageBreak/>
        <w:t xml:space="preserve">Appendix </w:t>
      </w:r>
      <w:r w:rsidR="003B3846">
        <w:t>3</w:t>
      </w:r>
      <w:r w:rsidR="0011261A">
        <w:t>.4</w:t>
      </w:r>
      <w:r w:rsidR="001600B1">
        <w:t>:</w:t>
      </w:r>
      <w:r>
        <w:t xml:space="preserve"> Training and </w:t>
      </w:r>
      <w:r w:rsidR="00DE35BF">
        <w:t>c</w:t>
      </w:r>
      <w:r>
        <w:t xml:space="preserve">onferences </w:t>
      </w:r>
      <w:r w:rsidR="00DE35BF">
        <w:t>a</w:t>
      </w:r>
      <w:r>
        <w:t>ttended by Councillors in 2024</w:t>
      </w:r>
      <w:bookmarkEnd w:id="170"/>
    </w:p>
    <w:p w14:paraId="6DEF1685" w14:textId="0E3899DA" w:rsidR="006C5EF9" w:rsidRPr="006C5EF9" w:rsidRDefault="006C5EF9" w:rsidP="00B60676">
      <w:pPr>
        <w:jc w:val="both"/>
        <w:rPr>
          <w:b/>
          <w:bCs/>
        </w:rPr>
      </w:pPr>
      <w:r w:rsidRPr="006C5EF9">
        <w:rPr>
          <w:b/>
          <w:bCs/>
        </w:rPr>
        <w:t>Name</w:t>
      </w:r>
      <w:r w:rsidRPr="006C5EF9">
        <w:rPr>
          <w:b/>
          <w:bCs/>
        </w:rPr>
        <w:tab/>
      </w:r>
      <w:r w:rsidRPr="006C5EF9">
        <w:rPr>
          <w:b/>
          <w:bCs/>
        </w:rPr>
        <w:tab/>
      </w:r>
      <w:r w:rsidRPr="006C5EF9">
        <w:rPr>
          <w:b/>
          <w:bCs/>
        </w:rPr>
        <w:tab/>
        <w:t xml:space="preserve">       </w:t>
      </w:r>
      <w:r>
        <w:rPr>
          <w:b/>
          <w:bCs/>
        </w:rPr>
        <w:tab/>
      </w:r>
      <w:r>
        <w:rPr>
          <w:b/>
          <w:bCs/>
        </w:rPr>
        <w:tab/>
      </w:r>
      <w:r>
        <w:rPr>
          <w:b/>
          <w:bCs/>
        </w:rPr>
        <w:tab/>
      </w:r>
      <w:r w:rsidRPr="006C5EF9">
        <w:rPr>
          <w:b/>
          <w:bCs/>
        </w:rPr>
        <w:t>Location</w:t>
      </w:r>
      <w:r w:rsidRPr="006C5EF9">
        <w:rPr>
          <w:b/>
          <w:bCs/>
        </w:rPr>
        <w:tab/>
      </w:r>
      <w:r w:rsidRPr="006C5EF9">
        <w:rPr>
          <w:b/>
          <w:bCs/>
        </w:rPr>
        <w:tab/>
        <w:t xml:space="preserve">         Date</w:t>
      </w:r>
    </w:p>
    <w:p w14:paraId="083FE3C1" w14:textId="3DC42219" w:rsidR="006C5EF9" w:rsidRPr="006C5EF9" w:rsidRDefault="006C5EF9" w:rsidP="00B60676">
      <w:pPr>
        <w:jc w:val="both"/>
      </w:pPr>
      <w:r w:rsidRPr="006C5EF9">
        <w:t xml:space="preserve">AILG Annual Training </w:t>
      </w:r>
      <w:r w:rsidRPr="006C5EF9">
        <w:tab/>
      </w:r>
      <w:r w:rsidRPr="006C5EF9">
        <w:tab/>
        <w:t xml:space="preserve">          </w:t>
      </w:r>
      <w:r>
        <w:tab/>
      </w:r>
      <w:r w:rsidRPr="006C5EF9">
        <w:t>Wicklow</w:t>
      </w:r>
      <w:r w:rsidRPr="006C5EF9">
        <w:tab/>
      </w:r>
      <w:r>
        <w:tab/>
      </w:r>
      <w:r w:rsidRPr="006C5EF9">
        <w:t>14th February</w:t>
      </w:r>
    </w:p>
    <w:p w14:paraId="16112B46" w14:textId="5C444169" w:rsidR="006C5EF9" w:rsidRPr="006C5EF9" w:rsidRDefault="006C5EF9" w:rsidP="00B60676">
      <w:pPr>
        <w:jc w:val="both"/>
      </w:pPr>
      <w:r w:rsidRPr="006C5EF9">
        <w:t xml:space="preserve">AILG Module 1 </w:t>
      </w:r>
      <w:r w:rsidRPr="006C5EF9">
        <w:tab/>
      </w:r>
      <w:r w:rsidRPr="006C5EF9">
        <w:tab/>
      </w:r>
      <w:r w:rsidRPr="006C5EF9">
        <w:tab/>
        <w:t xml:space="preserve">           </w:t>
      </w:r>
      <w:r>
        <w:tab/>
      </w:r>
      <w:r w:rsidRPr="006C5EF9">
        <w:t>Limerick</w:t>
      </w:r>
      <w:r w:rsidRPr="006C5EF9">
        <w:tab/>
      </w:r>
      <w:r w:rsidRPr="006C5EF9">
        <w:tab/>
        <w:t>27th January</w:t>
      </w:r>
    </w:p>
    <w:p w14:paraId="2BB5CCD6" w14:textId="203D20BE" w:rsidR="006C5EF9" w:rsidRPr="006C5EF9" w:rsidRDefault="006C5EF9" w:rsidP="00B60676">
      <w:pPr>
        <w:jc w:val="both"/>
      </w:pPr>
      <w:r w:rsidRPr="006C5EF9">
        <w:t xml:space="preserve">AILG Module 2 </w:t>
      </w:r>
      <w:r w:rsidRPr="006C5EF9">
        <w:tab/>
      </w:r>
      <w:r w:rsidRPr="006C5EF9">
        <w:tab/>
      </w:r>
      <w:r>
        <w:tab/>
      </w:r>
      <w:r>
        <w:tab/>
      </w:r>
      <w:r w:rsidRPr="006C5EF9">
        <w:t>Kilkenny</w:t>
      </w:r>
      <w:r w:rsidRPr="006C5EF9">
        <w:tab/>
      </w:r>
      <w:r>
        <w:tab/>
      </w:r>
      <w:r w:rsidRPr="006C5EF9">
        <w:t>21st March</w:t>
      </w:r>
    </w:p>
    <w:p w14:paraId="787FEE41" w14:textId="0DF8D77C" w:rsidR="006C5EF9" w:rsidRPr="006C5EF9" w:rsidRDefault="006C5EF9" w:rsidP="00B60676">
      <w:pPr>
        <w:jc w:val="both"/>
      </w:pPr>
      <w:r w:rsidRPr="006C5EF9">
        <w:t xml:space="preserve">AILG Induction Training </w:t>
      </w:r>
      <w:r w:rsidRPr="006C5EF9">
        <w:tab/>
      </w:r>
      <w:r>
        <w:tab/>
      </w:r>
      <w:r>
        <w:tab/>
      </w:r>
      <w:r w:rsidRPr="006C5EF9">
        <w:t xml:space="preserve">Mullingar </w:t>
      </w:r>
      <w:r w:rsidRPr="006C5EF9">
        <w:tab/>
      </w:r>
      <w:r>
        <w:tab/>
      </w:r>
      <w:r w:rsidRPr="006C5EF9">
        <w:t>11th July</w:t>
      </w:r>
    </w:p>
    <w:p w14:paraId="5EE41C83" w14:textId="19F54C81" w:rsidR="006C5EF9" w:rsidRPr="006C5EF9" w:rsidRDefault="006C5EF9" w:rsidP="00B60676">
      <w:pPr>
        <w:jc w:val="both"/>
      </w:pPr>
      <w:r w:rsidRPr="006C5EF9">
        <w:t xml:space="preserve">AILG Induction Training </w:t>
      </w:r>
      <w:r w:rsidRPr="006C5EF9">
        <w:tab/>
      </w:r>
      <w:r>
        <w:tab/>
      </w:r>
      <w:r>
        <w:tab/>
      </w:r>
      <w:r w:rsidRPr="006C5EF9">
        <w:t xml:space="preserve">Cork </w:t>
      </w:r>
      <w:r w:rsidRPr="006C5EF9">
        <w:tab/>
      </w:r>
      <w:r w:rsidRPr="006C5EF9">
        <w:tab/>
        <w:t xml:space="preserve">               13th July</w:t>
      </w:r>
    </w:p>
    <w:p w14:paraId="7026B2D1" w14:textId="48981117" w:rsidR="006C5EF9" w:rsidRPr="006C5EF9" w:rsidRDefault="006C5EF9" w:rsidP="00B60676">
      <w:pPr>
        <w:jc w:val="both"/>
      </w:pPr>
      <w:r w:rsidRPr="006C5EF9">
        <w:t xml:space="preserve">AILG Module 4 </w:t>
      </w:r>
      <w:r w:rsidRPr="006C5EF9">
        <w:tab/>
        <w:t xml:space="preserve">                             </w:t>
      </w:r>
      <w:r>
        <w:tab/>
      </w:r>
      <w:r>
        <w:tab/>
      </w:r>
      <w:r w:rsidRPr="006C5EF9">
        <w:t>Tipperary</w:t>
      </w:r>
      <w:r>
        <w:tab/>
      </w:r>
      <w:r>
        <w:tab/>
      </w:r>
      <w:r w:rsidRPr="006C5EF9">
        <w:t>26</w:t>
      </w:r>
      <w:r w:rsidRPr="006C5EF9">
        <w:rPr>
          <w:vertAlign w:val="superscript"/>
        </w:rPr>
        <w:t>th</w:t>
      </w:r>
      <w:r w:rsidRPr="006C5EF9">
        <w:t xml:space="preserve"> September</w:t>
      </w:r>
    </w:p>
    <w:p w14:paraId="17A6E4FA" w14:textId="3701E7E0" w:rsidR="006C5EF9" w:rsidRPr="006C5EF9" w:rsidRDefault="006C5EF9" w:rsidP="00B60676">
      <w:pPr>
        <w:jc w:val="both"/>
      </w:pPr>
      <w:r w:rsidRPr="006C5EF9">
        <w:t xml:space="preserve">AILG Module 5                           </w:t>
      </w:r>
      <w:r>
        <w:tab/>
      </w:r>
      <w:r>
        <w:tab/>
      </w:r>
      <w:r>
        <w:tab/>
      </w:r>
      <w:r w:rsidRPr="006C5EF9">
        <w:t>Sligo</w:t>
      </w:r>
      <w:r>
        <w:tab/>
      </w:r>
      <w:r>
        <w:tab/>
      </w:r>
      <w:r>
        <w:tab/>
      </w:r>
      <w:r w:rsidRPr="006C5EF9">
        <w:t xml:space="preserve">24th Oct </w:t>
      </w:r>
    </w:p>
    <w:p w14:paraId="78AB17C5" w14:textId="01681CEE" w:rsidR="006C5EF9" w:rsidRPr="006C5EF9" w:rsidRDefault="006C5EF9" w:rsidP="00B60676">
      <w:pPr>
        <w:jc w:val="both"/>
      </w:pPr>
      <w:r w:rsidRPr="006C5EF9">
        <w:t xml:space="preserve">AILG Module 6                       </w:t>
      </w:r>
      <w:r>
        <w:tab/>
      </w:r>
      <w:r>
        <w:tab/>
      </w:r>
      <w:r>
        <w:tab/>
      </w:r>
      <w:r w:rsidRPr="006C5EF9">
        <w:t>Waterford</w:t>
      </w:r>
      <w:r>
        <w:tab/>
      </w:r>
      <w:r>
        <w:tab/>
        <w:t>1</w:t>
      </w:r>
      <w:r w:rsidRPr="006C5EF9">
        <w:t>6th Nov</w:t>
      </w:r>
    </w:p>
    <w:p w14:paraId="56BBCF4F" w14:textId="4F8F09A0" w:rsidR="006C5EF9" w:rsidRPr="006C5EF9" w:rsidRDefault="006C5EF9" w:rsidP="00B60676">
      <w:pPr>
        <w:jc w:val="both"/>
      </w:pPr>
      <w:r w:rsidRPr="006C5EF9">
        <w:t xml:space="preserve">LAMA Spring Training </w:t>
      </w:r>
      <w:r w:rsidRPr="006C5EF9">
        <w:tab/>
      </w:r>
      <w:r>
        <w:tab/>
      </w:r>
      <w:r>
        <w:tab/>
      </w:r>
      <w:r w:rsidRPr="006C5EF9">
        <w:t>Donegal</w:t>
      </w:r>
      <w:r>
        <w:tab/>
      </w:r>
      <w:r>
        <w:tab/>
      </w:r>
      <w:r w:rsidRPr="006C5EF9">
        <w:t>19</w:t>
      </w:r>
      <w:r w:rsidRPr="006C5EF9">
        <w:rPr>
          <w:vertAlign w:val="superscript"/>
        </w:rPr>
        <w:t>th</w:t>
      </w:r>
      <w:r w:rsidRPr="006C5EF9">
        <w:t xml:space="preserve"> </w:t>
      </w:r>
      <w:r w:rsidR="0037035F">
        <w:t>and</w:t>
      </w:r>
      <w:r w:rsidRPr="006C5EF9">
        <w:t xml:space="preserve"> 20</w:t>
      </w:r>
      <w:r w:rsidRPr="006C5EF9">
        <w:rPr>
          <w:vertAlign w:val="superscript"/>
        </w:rPr>
        <w:t>th</w:t>
      </w:r>
      <w:r w:rsidRPr="006C5EF9">
        <w:t xml:space="preserve"> January</w:t>
      </w:r>
    </w:p>
    <w:p w14:paraId="7E0CF584" w14:textId="0318ED88" w:rsidR="006C5EF9" w:rsidRPr="006C5EF9" w:rsidRDefault="006C5EF9" w:rsidP="00B60676">
      <w:pPr>
        <w:jc w:val="both"/>
      </w:pPr>
      <w:r w:rsidRPr="006C5EF9">
        <w:t>LAMA Autum Training</w:t>
      </w:r>
      <w:r>
        <w:tab/>
      </w:r>
      <w:r>
        <w:tab/>
      </w:r>
      <w:r>
        <w:tab/>
      </w:r>
      <w:r w:rsidRPr="006C5EF9">
        <w:t>Meath</w:t>
      </w:r>
      <w:r>
        <w:tab/>
      </w:r>
      <w:r>
        <w:tab/>
      </w:r>
      <w:r>
        <w:tab/>
      </w:r>
      <w:r w:rsidRPr="006C5EF9">
        <w:t>17th -18th Oct</w:t>
      </w:r>
    </w:p>
    <w:p w14:paraId="5233D7C4" w14:textId="51900C05" w:rsidR="006C5EF9" w:rsidRPr="006C5EF9" w:rsidRDefault="006C5EF9" w:rsidP="00B60676">
      <w:pPr>
        <w:jc w:val="both"/>
      </w:pPr>
      <w:r w:rsidRPr="006C5EF9">
        <w:t>AIR regions</w:t>
      </w:r>
      <w:r>
        <w:tab/>
      </w:r>
      <w:r>
        <w:tab/>
      </w:r>
      <w:r>
        <w:tab/>
      </w:r>
      <w:r>
        <w:tab/>
      </w:r>
      <w:r>
        <w:tab/>
      </w:r>
      <w:r w:rsidRPr="006C5EF9">
        <w:t>Limerick</w:t>
      </w:r>
      <w:r>
        <w:tab/>
      </w:r>
      <w:r>
        <w:tab/>
      </w:r>
      <w:r w:rsidRPr="006C5EF9">
        <w:t xml:space="preserve">7th </w:t>
      </w:r>
      <w:r w:rsidR="0037035F">
        <w:t>and</w:t>
      </w:r>
      <w:r w:rsidRPr="006C5EF9">
        <w:t xml:space="preserve"> 8th Feb</w:t>
      </w:r>
    </w:p>
    <w:p w14:paraId="29E95C23" w14:textId="289EB839" w:rsidR="006C5EF9" w:rsidRPr="006C5EF9" w:rsidRDefault="006C5EF9" w:rsidP="00B60676">
      <w:pPr>
        <w:jc w:val="both"/>
      </w:pPr>
      <w:r w:rsidRPr="006C5EF9">
        <w:t>MacGill Summer school</w:t>
      </w:r>
      <w:r>
        <w:tab/>
      </w:r>
      <w:r>
        <w:tab/>
      </w:r>
      <w:r>
        <w:tab/>
      </w:r>
      <w:r w:rsidRPr="006C5EF9">
        <w:t>Donegal</w:t>
      </w:r>
      <w:r>
        <w:tab/>
      </w:r>
      <w:r>
        <w:tab/>
      </w:r>
      <w:r w:rsidRPr="006C5EF9">
        <w:t>18th -20th July</w:t>
      </w:r>
    </w:p>
    <w:p w14:paraId="78806DB3" w14:textId="5F95AD22" w:rsidR="006C5EF9" w:rsidRPr="006C5EF9" w:rsidRDefault="006C5EF9" w:rsidP="00B60676">
      <w:pPr>
        <w:jc w:val="both"/>
      </w:pPr>
      <w:r w:rsidRPr="006C5EF9">
        <w:t>AILG Autumn Training</w:t>
      </w:r>
      <w:r>
        <w:tab/>
      </w:r>
      <w:r>
        <w:tab/>
      </w:r>
      <w:r>
        <w:tab/>
      </w:r>
      <w:r w:rsidRPr="006C5EF9">
        <w:t>Monaghan</w:t>
      </w:r>
      <w:r>
        <w:tab/>
      </w:r>
      <w:r>
        <w:tab/>
      </w:r>
      <w:r w:rsidRPr="006C5EF9">
        <w:t xml:space="preserve">11th </w:t>
      </w:r>
      <w:r w:rsidR="0037035F">
        <w:t>and</w:t>
      </w:r>
      <w:r w:rsidRPr="006C5EF9">
        <w:t xml:space="preserve"> 12th Sept</w:t>
      </w:r>
    </w:p>
    <w:p w14:paraId="71FD54B3" w14:textId="7984E2A0" w:rsidR="006C5EF9" w:rsidRPr="006C5EF9" w:rsidRDefault="006C5EF9" w:rsidP="00B60676">
      <w:pPr>
        <w:jc w:val="both"/>
      </w:pPr>
      <w:r w:rsidRPr="006C5EF9">
        <w:t>Irish Council for Social Housing</w:t>
      </w:r>
      <w:r>
        <w:tab/>
      </w:r>
      <w:r>
        <w:tab/>
      </w:r>
      <w:r w:rsidRPr="006C5EF9">
        <w:t>Sligo</w:t>
      </w:r>
      <w:r>
        <w:tab/>
      </w:r>
      <w:r>
        <w:tab/>
      </w:r>
      <w:r>
        <w:tab/>
      </w:r>
      <w:r w:rsidRPr="006C5EF9">
        <w:t xml:space="preserve">16th -17th Oct </w:t>
      </w:r>
    </w:p>
    <w:p w14:paraId="1EA74DCB" w14:textId="4E318190" w:rsidR="006C5EF9" w:rsidRPr="006C5EF9" w:rsidRDefault="006C5EF9" w:rsidP="00B60676">
      <w:pPr>
        <w:jc w:val="both"/>
      </w:pPr>
      <w:r w:rsidRPr="006C5EF9">
        <w:t>Kennedy Summer School</w:t>
      </w:r>
      <w:r>
        <w:tab/>
      </w:r>
      <w:r>
        <w:tab/>
      </w:r>
      <w:r>
        <w:tab/>
      </w:r>
      <w:r w:rsidRPr="006C5EF9">
        <w:t>Wexford</w:t>
      </w:r>
      <w:r>
        <w:tab/>
      </w:r>
      <w:r>
        <w:tab/>
      </w:r>
      <w:r w:rsidRPr="006C5EF9">
        <w:t xml:space="preserve">30th Aug </w:t>
      </w:r>
    </w:p>
    <w:p w14:paraId="1360147A" w14:textId="77777777" w:rsidR="006C5EF9" w:rsidRPr="006C5EF9" w:rsidRDefault="006C5EF9" w:rsidP="00B60676">
      <w:pPr>
        <w:jc w:val="both"/>
      </w:pPr>
    </w:p>
    <w:p w14:paraId="5059491C" w14:textId="3977CB24" w:rsidR="00A45EAB" w:rsidRPr="0038049D" w:rsidRDefault="00A45EAB" w:rsidP="0038049D">
      <w:pPr>
        <w:jc w:val="both"/>
        <w:sectPr w:rsidR="00A45EAB" w:rsidRPr="0038049D" w:rsidSect="00BE4EDC">
          <w:footerReference w:type="default" r:id="rId19"/>
          <w:pgSz w:w="11906" w:h="16838"/>
          <w:pgMar w:top="1440" w:right="1080" w:bottom="1440" w:left="1080" w:header="708" w:footer="708" w:gutter="0"/>
          <w:cols w:space="708"/>
          <w:docGrid w:linePitch="360"/>
        </w:sectPr>
      </w:pPr>
    </w:p>
    <w:p w14:paraId="306DBD19" w14:textId="52FC0F8F" w:rsidR="001926C9" w:rsidRPr="00DE35BF" w:rsidRDefault="00B048EE" w:rsidP="00121548">
      <w:pPr>
        <w:pStyle w:val="Heading2"/>
      </w:pPr>
      <w:bookmarkStart w:id="171" w:name="_Toc199244586"/>
      <w:r w:rsidRPr="00DE35BF">
        <w:lastRenderedPageBreak/>
        <w:t xml:space="preserve">Appendix </w:t>
      </w:r>
      <w:r w:rsidR="003B3846">
        <w:t>4</w:t>
      </w:r>
      <w:r w:rsidRPr="00DE35BF">
        <w:t xml:space="preserve"> </w:t>
      </w:r>
      <w:r w:rsidR="00255800" w:rsidRPr="00DE35BF">
        <w:t xml:space="preserve">Corporate Plan 2020 2024 </w:t>
      </w:r>
      <w:r w:rsidRPr="00DE35BF">
        <w:t>Indicators</w:t>
      </w:r>
      <w:bookmarkEnd w:id="171"/>
      <w:r w:rsidRPr="00DE35BF">
        <w:t xml:space="preserve"> </w:t>
      </w:r>
    </w:p>
    <w:tbl>
      <w:tblPr>
        <w:tblpPr w:leftFromText="180" w:rightFromText="180" w:horzAnchor="margin" w:tblpXSpec="center" w:tblpY="420"/>
        <w:tblW w:w="1516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127"/>
        <w:gridCol w:w="3969"/>
        <w:gridCol w:w="1417"/>
        <w:gridCol w:w="1134"/>
        <w:gridCol w:w="1418"/>
        <w:gridCol w:w="1275"/>
        <w:gridCol w:w="1276"/>
        <w:gridCol w:w="1276"/>
        <w:gridCol w:w="1276"/>
      </w:tblGrid>
      <w:tr w:rsidR="0038049D" w:rsidRPr="00A45EAB" w14:paraId="02694345" w14:textId="77777777" w:rsidTr="005A1628">
        <w:trPr>
          <w:trHeight w:val="783"/>
          <w:jc w:val="center"/>
        </w:trPr>
        <w:tc>
          <w:tcPr>
            <w:tcW w:w="2127" w:type="dxa"/>
            <w:tcBorders>
              <w:top w:val="nil"/>
              <w:left w:val="nil"/>
              <w:right w:val="nil"/>
            </w:tcBorders>
            <w:shd w:val="clear" w:color="auto" w:fill="718390"/>
            <w:vAlign w:val="center"/>
          </w:tcPr>
          <w:p w14:paraId="5BC77E6B" w14:textId="77777777" w:rsidR="0038049D" w:rsidRPr="00A45EAB" w:rsidRDefault="0038049D" w:rsidP="005A1628">
            <w:pPr>
              <w:pStyle w:val="TableParagraph"/>
              <w:spacing w:before="144" w:line="232" w:lineRule="auto"/>
              <w:ind w:right="503"/>
              <w:rPr>
                <w:b/>
                <w:sz w:val="18"/>
              </w:rPr>
            </w:pPr>
            <w:r w:rsidRPr="00A45EAB">
              <w:rPr>
                <w:b/>
                <w:color w:val="FFFFFF"/>
                <w:w w:val="105"/>
                <w:sz w:val="18"/>
              </w:rPr>
              <w:t>Corporate</w:t>
            </w:r>
            <w:r w:rsidRPr="00A45EAB">
              <w:rPr>
                <w:b/>
                <w:color w:val="FFFFFF"/>
                <w:spacing w:val="-14"/>
                <w:w w:val="105"/>
                <w:sz w:val="18"/>
              </w:rPr>
              <w:t xml:space="preserve"> </w:t>
            </w:r>
            <w:r w:rsidRPr="00A45EAB">
              <w:rPr>
                <w:b/>
                <w:color w:val="FFFFFF"/>
                <w:w w:val="105"/>
                <w:sz w:val="18"/>
              </w:rPr>
              <w:t>Plan</w:t>
            </w:r>
            <w:r>
              <w:rPr>
                <w:b/>
                <w:color w:val="FFFFFF"/>
                <w:w w:val="105"/>
                <w:sz w:val="18"/>
              </w:rPr>
              <w:t xml:space="preserve"> G</w:t>
            </w:r>
            <w:r w:rsidRPr="00A45EAB">
              <w:rPr>
                <w:b/>
                <w:color w:val="FFFFFF"/>
                <w:spacing w:val="-2"/>
                <w:w w:val="105"/>
                <w:sz w:val="18"/>
              </w:rPr>
              <w:t>oals</w:t>
            </w:r>
          </w:p>
        </w:tc>
        <w:tc>
          <w:tcPr>
            <w:tcW w:w="3969" w:type="dxa"/>
            <w:tcBorders>
              <w:top w:val="nil"/>
              <w:left w:val="nil"/>
              <w:right w:val="nil"/>
            </w:tcBorders>
            <w:shd w:val="clear" w:color="auto" w:fill="718390"/>
            <w:vAlign w:val="center"/>
          </w:tcPr>
          <w:p w14:paraId="0F49BE11" w14:textId="77777777" w:rsidR="0038049D" w:rsidRPr="00A45EAB" w:rsidRDefault="0038049D" w:rsidP="005A1628">
            <w:pPr>
              <w:pStyle w:val="TableParagraph"/>
              <w:spacing w:before="139" w:line="203" w:lineRule="exact"/>
              <w:ind w:left="180"/>
              <w:rPr>
                <w:sz w:val="18"/>
              </w:rPr>
            </w:pPr>
            <w:r w:rsidRPr="00A45EAB">
              <w:rPr>
                <w:b/>
                <w:color w:val="FFFFFF"/>
                <w:sz w:val="18"/>
              </w:rPr>
              <w:t>Measurement</w:t>
            </w:r>
            <w:r w:rsidRPr="00A45EAB">
              <w:rPr>
                <w:b/>
                <w:color w:val="FFFFFF"/>
                <w:spacing w:val="26"/>
                <w:sz w:val="18"/>
              </w:rPr>
              <w:t xml:space="preserve"> </w:t>
            </w:r>
            <w:r w:rsidRPr="00A45EAB">
              <w:rPr>
                <w:b/>
                <w:color w:val="FFFFFF"/>
                <w:sz w:val="18"/>
              </w:rPr>
              <w:t>/</w:t>
            </w:r>
            <w:r w:rsidRPr="00A45EAB">
              <w:rPr>
                <w:b/>
                <w:color w:val="FFFFFF"/>
                <w:spacing w:val="27"/>
                <w:sz w:val="18"/>
              </w:rPr>
              <w:t xml:space="preserve"> </w:t>
            </w:r>
            <w:r w:rsidRPr="00A45EAB">
              <w:rPr>
                <w:b/>
                <w:color w:val="FFFFFF"/>
                <w:sz w:val="18"/>
              </w:rPr>
              <w:t>Indicator</w:t>
            </w:r>
          </w:p>
        </w:tc>
        <w:tc>
          <w:tcPr>
            <w:tcW w:w="1417" w:type="dxa"/>
            <w:tcBorders>
              <w:top w:val="nil"/>
              <w:left w:val="nil"/>
              <w:right w:val="nil"/>
            </w:tcBorders>
            <w:shd w:val="clear" w:color="auto" w:fill="718390"/>
            <w:vAlign w:val="center"/>
          </w:tcPr>
          <w:p w14:paraId="1B0D5AEF" w14:textId="77777777" w:rsidR="0038049D" w:rsidRPr="00A45EAB" w:rsidRDefault="0038049D" w:rsidP="005A1628">
            <w:pPr>
              <w:pStyle w:val="TableParagraph"/>
              <w:spacing w:before="139" w:line="203" w:lineRule="exact"/>
              <w:ind w:right="99"/>
              <w:jc w:val="center"/>
              <w:rPr>
                <w:b/>
                <w:sz w:val="18"/>
              </w:rPr>
            </w:pPr>
            <w:r w:rsidRPr="00A45EAB">
              <w:rPr>
                <w:b/>
                <w:color w:val="FFFFFF"/>
                <w:sz w:val="18"/>
              </w:rPr>
              <w:t>Baseline</w:t>
            </w:r>
            <w:r w:rsidRPr="00A45EAB">
              <w:rPr>
                <w:b/>
                <w:color w:val="FFFFFF"/>
                <w:spacing w:val="10"/>
                <w:sz w:val="18"/>
              </w:rPr>
              <w:t xml:space="preserve"> </w:t>
            </w:r>
            <w:r w:rsidRPr="00A45EAB">
              <w:rPr>
                <w:b/>
                <w:color w:val="FFFFFF"/>
                <w:spacing w:val="-4"/>
                <w:sz w:val="18"/>
              </w:rPr>
              <w:t>Data</w:t>
            </w:r>
            <w:r>
              <w:rPr>
                <w:b/>
                <w:color w:val="FFFFFF"/>
                <w:spacing w:val="-4"/>
                <w:sz w:val="18"/>
              </w:rPr>
              <w:t xml:space="preserve"> </w:t>
            </w:r>
            <w:r w:rsidRPr="00A45EAB">
              <w:rPr>
                <w:b/>
                <w:color w:val="FFFFFF"/>
                <w:spacing w:val="-4"/>
                <w:w w:val="105"/>
                <w:sz w:val="18"/>
              </w:rPr>
              <w:t>2019</w:t>
            </w:r>
          </w:p>
        </w:tc>
        <w:tc>
          <w:tcPr>
            <w:tcW w:w="1134" w:type="dxa"/>
            <w:tcBorders>
              <w:top w:val="nil"/>
              <w:left w:val="nil"/>
              <w:right w:val="nil"/>
            </w:tcBorders>
            <w:shd w:val="clear" w:color="auto" w:fill="718390"/>
            <w:vAlign w:val="center"/>
          </w:tcPr>
          <w:p w14:paraId="6A66449C" w14:textId="77777777" w:rsidR="0038049D" w:rsidRPr="00A45EAB" w:rsidRDefault="0038049D" w:rsidP="005A1628">
            <w:pPr>
              <w:pStyle w:val="TableParagraph"/>
              <w:spacing w:before="139" w:line="203" w:lineRule="exact"/>
              <w:ind w:right="99"/>
              <w:jc w:val="center"/>
              <w:rPr>
                <w:b/>
                <w:color w:val="FFFFFF"/>
                <w:sz w:val="18"/>
              </w:rPr>
            </w:pPr>
            <w:r w:rsidRPr="00A45EAB">
              <w:rPr>
                <w:b/>
                <w:color w:val="FFFFFF"/>
                <w:sz w:val="18"/>
              </w:rPr>
              <w:t>2020</w:t>
            </w:r>
          </w:p>
        </w:tc>
        <w:tc>
          <w:tcPr>
            <w:tcW w:w="1418" w:type="dxa"/>
            <w:tcBorders>
              <w:top w:val="nil"/>
              <w:left w:val="nil"/>
              <w:right w:val="nil"/>
            </w:tcBorders>
            <w:shd w:val="clear" w:color="auto" w:fill="718390"/>
            <w:vAlign w:val="center"/>
          </w:tcPr>
          <w:p w14:paraId="706300F1" w14:textId="77777777" w:rsidR="0038049D" w:rsidRPr="00A45EAB" w:rsidRDefault="0038049D" w:rsidP="005A1628">
            <w:pPr>
              <w:pStyle w:val="TableParagraph"/>
              <w:spacing w:before="139" w:line="203" w:lineRule="exact"/>
              <w:ind w:right="99"/>
              <w:jc w:val="center"/>
              <w:rPr>
                <w:b/>
                <w:color w:val="FFFFFF"/>
                <w:sz w:val="18"/>
              </w:rPr>
            </w:pPr>
            <w:r w:rsidRPr="00A45EAB">
              <w:rPr>
                <w:b/>
                <w:color w:val="FFFFFF"/>
                <w:sz w:val="18"/>
              </w:rPr>
              <w:t>2021</w:t>
            </w:r>
          </w:p>
        </w:tc>
        <w:tc>
          <w:tcPr>
            <w:tcW w:w="1275" w:type="dxa"/>
            <w:tcBorders>
              <w:top w:val="nil"/>
              <w:left w:val="nil"/>
              <w:right w:val="nil"/>
            </w:tcBorders>
            <w:shd w:val="clear" w:color="auto" w:fill="718390"/>
            <w:vAlign w:val="center"/>
          </w:tcPr>
          <w:p w14:paraId="21280973" w14:textId="77777777" w:rsidR="0038049D" w:rsidRPr="00A45EAB" w:rsidRDefault="0038049D" w:rsidP="005A1628">
            <w:pPr>
              <w:pStyle w:val="TableParagraph"/>
              <w:spacing w:before="139" w:line="203" w:lineRule="exact"/>
              <w:ind w:right="99"/>
              <w:jc w:val="center"/>
              <w:rPr>
                <w:b/>
                <w:color w:val="FFFFFF"/>
                <w:sz w:val="18"/>
              </w:rPr>
            </w:pPr>
            <w:r w:rsidRPr="00A45EAB">
              <w:rPr>
                <w:b/>
                <w:color w:val="FFFFFF"/>
                <w:sz w:val="18"/>
              </w:rPr>
              <w:t>2022</w:t>
            </w:r>
          </w:p>
        </w:tc>
        <w:tc>
          <w:tcPr>
            <w:tcW w:w="1276" w:type="dxa"/>
            <w:tcBorders>
              <w:top w:val="nil"/>
              <w:left w:val="nil"/>
              <w:right w:val="nil"/>
            </w:tcBorders>
            <w:shd w:val="clear" w:color="auto" w:fill="718390"/>
            <w:vAlign w:val="center"/>
          </w:tcPr>
          <w:p w14:paraId="17FF49D6" w14:textId="77777777" w:rsidR="0038049D" w:rsidRPr="00A45EAB" w:rsidRDefault="0038049D" w:rsidP="005A1628">
            <w:pPr>
              <w:pStyle w:val="TableParagraph"/>
              <w:spacing w:before="139" w:line="203" w:lineRule="exact"/>
              <w:ind w:right="99"/>
              <w:jc w:val="center"/>
              <w:rPr>
                <w:b/>
                <w:color w:val="FFFFFF"/>
                <w:sz w:val="18"/>
              </w:rPr>
            </w:pPr>
            <w:r w:rsidRPr="00A45EAB">
              <w:rPr>
                <w:b/>
                <w:color w:val="FFFFFF"/>
                <w:sz w:val="18"/>
              </w:rPr>
              <w:t>2023</w:t>
            </w:r>
          </w:p>
        </w:tc>
        <w:tc>
          <w:tcPr>
            <w:tcW w:w="1276" w:type="dxa"/>
            <w:tcBorders>
              <w:top w:val="nil"/>
              <w:left w:val="nil"/>
              <w:right w:val="nil"/>
            </w:tcBorders>
            <w:shd w:val="clear" w:color="auto" w:fill="718390"/>
            <w:vAlign w:val="center"/>
          </w:tcPr>
          <w:p w14:paraId="37C04E0A" w14:textId="77777777" w:rsidR="0038049D" w:rsidRPr="00A45EAB" w:rsidRDefault="0038049D" w:rsidP="005A1628">
            <w:pPr>
              <w:pStyle w:val="TableParagraph"/>
              <w:spacing w:before="139" w:line="203" w:lineRule="exact"/>
              <w:ind w:right="99"/>
              <w:jc w:val="center"/>
              <w:rPr>
                <w:b/>
                <w:color w:val="FFFFFF"/>
                <w:sz w:val="18"/>
              </w:rPr>
            </w:pPr>
            <w:r w:rsidRPr="00A45EAB">
              <w:rPr>
                <w:b/>
                <w:color w:val="FFFFFF"/>
                <w:sz w:val="18"/>
              </w:rPr>
              <w:t>2024 Anticipated Level</w:t>
            </w:r>
          </w:p>
        </w:tc>
        <w:tc>
          <w:tcPr>
            <w:tcW w:w="1276" w:type="dxa"/>
            <w:tcBorders>
              <w:top w:val="nil"/>
              <w:left w:val="nil"/>
              <w:right w:val="nil"/>
            </w:tcBorders>
            <w:shd w:val="clear" w:color="auto" w:fill="718390"/>
            <w:vAlign w:val="center"/>
          </w:tcPr>
          <w:p w14:paraId="677EB16B" w14:textId="77777777" w:rsidR="0038049D" w:rsidRPr="00A45EAB" w:rsidRDefault="0038049D" w:rsidP="005A1628">
            <w:pPr>
              <w:pStyle w:val="TableParagraph"/>
              <w:spacing w:before="139" w:line="203" w:lineRule="exact"/>
              <w:ind w:right="99"/>
              <w:jc w:val="center"/>
              <w:rPr>
                <w:b/>
                <w:color w:val="FFFFFF"/>
                <w:sz w:val="18"/>
              </w:rPr>
            </w:pPr>
            <w:r w:rsidRPr="00A45EAB">
              <w:rPr>
                <w:b/>
                <w:color w:val="FFFFFF"/>
                <w:sz w:val="18"/>
              </w:rPr>
              <w:t xml:space="preserve">2024 </w:t>
            </w:r>
          </w:p>
        </w:tc>
      </w:tr>
      <w:tr w:rsidR="0038049D" w:rsidRPr="00487D35" w14:paraId="185FE029" w14:textId="77777777" w:rsidTr="005A1628">
        <w:trPr>
          <w:trHeight w:val="233"/>
          <w:jc w:val="center"/>
        </w:trPr>
        <w:tc>
          <w:tcPr>
            <w:tcW w:w="2127" w:type="dxa"/>
            <w:vMerge w:val="restart"/>
            <w:tcBorders>
              <w:left w:val="nil"/>
            </w:tcBorders>
            <w:shd w:val="clear" w:color="auto" w:fill="9DA9B4"/>
            <w:vAlign w:val="center"/>
          </w:tcPr>
          <w:p w14:paraId="1B46690A" w14:textId="77777777" w:rsidR="0038049D" w:rsidRDefault="0038049D" w:rsidP="005A1628">
            <w:pPr>
              <w:pStyle w:val="TableParagraph"/>
              <w:spacing w:before="0" w:line="189" w:lineRule="auto"/>
              <w:ind w:left="180" w:right="690"/>
              <w:rPr>
                <w:rFonts w:ascii="Arial Black"/>
                <w:sz w:val="18"/>
              </w:rPr>
            </w:pPr>
            <w:r>
              <w:rPr>
                <w:rFonts w:ascii="Arial Black"/>
                <w:color w:val="FFFFFF"/>
                <w:spacing w:val="-2"/>
                <w:sz w:val="18"/>
              </w:rPr>
              <w:t>Economic, enterprise and</w:t>
            </w:r>
            <w:r>
              <w:rPr>
                <w:rFonts w:ascii="Arial Black"/>
                <w:color w:val="FFFFFF"/>
                <w:spacing w:val="-14"/>
                <w:sz w:val="18"/>
              </w:rPr>
              <w:t xml:space="preserve"> </w:t>
            </w:r>
            <w:r>
              <w:rPr>
                <w:rFonts w:ascii="Arial Black"/>
                <w:color w:val="FFFFFF"/>
                <w:spacing w:val="-2"/>
                <w:sz w:val="18"/>
              </w:rPr>
              <w:t xml:space="preserve">tourism </w:t>
            </w:r>
            <w:r>
              <w:rPr>
                <w:rFonts w:ascii="Arial Black"/>
                <w:color w:val="FFFFFF"/>
                <w:spacing w:val="-2"/>
                <w:w w:val="90"/>
                <w:sz w:val="18"/>
              </w:rPr>
              <w:t>development</w:t>
            </w:r>
          </w:p>
        </w:tc>
        <w:tc>
          <w:tcPr>
            <w:tcW w:w="3969" w:type="dxa"/>
            <w:shd w:val="clear" w:color="auto" w:fill="F0F2F4"/>
            <w:vAlign w:val="center"/>
          </w:tcPr>
          <w:p w14:paraId="7738563C" w14:textId="77777777" w:rsidR="0038049D" w:rsidRDefault="0038049D" w:rsidP="005A1628">
            <w:pPr>
              <w:pStyle w:val="TableParagraph"/>
              <w:spacing w:before="13"/>
              <w:ind w:left="170"/>
              <w:rPr>
                <w:sz w:val="16"/>
              </w:rPr>
            </w:pPr>
            <w:r>
              <w:rPr>
                <w:color w:val="231F20"/>
                <w:w w:val="105"/>
                <w:sz w:val="16"/>
              </w:rPr>
              <w:t>Business</w:t>
            </w:r>
            <w:r>
              <w:rPr>
                <w:color w:val="231F20"/>
                <w:spacing w:val="-2"/>
                <w:w w:val="105"/>
                <w:sz w:val="16"/>
              </w:rPr>
              <w:t xml:space="preserve"> </w:t>
            </w:r>
            <w:r>
              <w:rPr>
                <w:color w:val="231F20"/>
                <w:w w:val="105"/>
                <w:sz w:val="16"/>
              </w:rPr>
              <w:t>support</w:t>
            </w:r>
            <w:r>
              <w:rPr>
                <w:color w:val="231F20"/>
                <w:spacing w:val="-1"/>
                <w:w w:val="105"/>
                <w:sz w:val="16"/>
              </w:rPr>
              <w:t xml:space="preserve"> </w:t>
            </w:r>
            <w:r>
              <w:rPr>
                <w:color w:val="231F20"/>
                <w:w w:val="105"/>
                <w:sz w:val="16"/>
              </w:rPr>
              <w:t>initiatives</w:t>
            </w:r>
            <w:r>
              <w:rPr>
                <w:color w:val="231F20"/>
                <w:spacing w:val="-1"/>
                <w:w w:val="105"/>
                <w:sz w:val="16"/>
              </w:rPr>
              <w:t xml:space="preserve"> </w:t>
            </w:r>
            <w:r>
              <w:rPr>
                <w:color w:val="231F20"/>
                <w:w w:val="105"/>
                <w:sz w:val="16"/>
              </w:rPr>
              <w:t>and</w:t>
            </w:r>
            <w:r>
              <w:rPr>
                <w:color w:val="231F20"/>
                <w:spacing w:val="-1"/>
                <w:w w:val="105"/>
                <w:sz w:val="16"/>
              </w:rPr>
              <w:t xml:space="preserve"> </w:t>
            </w:r>
            <w:r>
              <w:rPr>
                <w:color w:val="231F20"/>
                <w:spacing w:val="-2"/>
                <w:w w:val="105"/>
                <w:sz w:val="16"/>
              </w:rPr>
              <w:t>expenditure</w:t>
            </w:r>
          </w:p>
        </w:tc>
        <w:tc>
          <w:tcPr>
            <w:tcW w:w="1417" w:type="dxa"/>
            <w:shd w:val="clear" w:color="auto" w:fill="F0F2F4"/>
            <w:vAlign w:val="center"/>
          </w:tcPr>
          <w:p w14:paraId="47513614" w14:textId="77777777" w:rsidR="0038049D" w:rsidRPr="00487D35" w:rsidRDefault="0038049D" w:rsidP="005A1628">
            <w:pPr>
              <w:pStyle w:val="TableParagraph"/>
              <w:spacing w:before="13"/>
              <w:ind w:right="89"/>
              <w:jc w:val="right"/>
              <w:rPr>
                <w:sz w:val="18"/>
                <w:szCs w:val="18"/>
              </w:rPr>
            </w:pPr>
            <w:r w:rsidRPr="00487D35">
              <w:rPr>
                <w:color w:val="231F20"/>
                <w:sz w:val="18"/>
                <w:szCs w:val="18"/>
              </w:rPr>
              <w:t>35</w:t>
            </w:r>
            <w:r w:rsidRPr="00487D35">
              <w:rPr>
                <w:color w:val="231F20"/>
                <w:spacing w:val="2"/>
                <w:sz w:val="18"/>
                <w:szCs w:val="18"/>
              </w:rPr>
              <w:t xml:space="preserve"> </w:t>
            </w:r>
            <w:r w:rsidRPr="00487D35">
              <w:rPr>
                <w:color w:val="231F20"/>
                <w:sz w:val="18"/>
                <w:szCs w:val="18"/>
              </w:rPr>
              <w:t>(€300,000</w:t>
            </w:r>
            <w:r w:rsidRPr="00487D35">
              <w:rPr>
                <w:color w:val="231F20"/>
                <w:spacing w:val="2"/>
                <w:sz w:val="18"/>
                <w:szCs w:val="18"/>
              </w:rPr>
              <w:t xml:space="preserve"> </w:t>
            </w:r>
            <w:r w:rsidRPr="00487D35">
              <w:rPr>
                <w:color w:val="231F20"/>
                <w:spacing w:val="-2"/>
                <w:sz w:val="18"/>
                <w:szCs w:val="18"/>
              </w:rPr>
              <w:t>expenditure)</w:t>
            </w:r>
          </w:p>
        </w:tc>
        <w:tc>
          <w:tcPr>
            <w:tcW w:w="1134" w:type="dxa"/>
            <w:shd w:val="clear" w:color="auto" w:fill="F0F2F4"/>
            <w:vAlign w:val="center"/>
          </w:tcPr>
          <w:p w14:paraId="119487E4" w14:textId="77777777" w:rsidR="0038049D" w:rsidRPr="00487D35" w:rsidRDefault="0038049D" w:rsidP="005A1628">
            <w:pPr>
              <w:pStyle w:val="TableParagraph"/>
              <w:spacing w:before="13"/>
              <w:ind w:right="89"/>
              <w:jc w:val="right"/>
              <w:rPr>
                <w:color w:val="231F20"/>
                <w:sz w:val="18"/>
                <w:szCs w:val="18"/>
              </w:rPr>
            </w:pPr>
            <w:r w:rsidRPr="00487D35">
              <w:rPr>
                <w:color w:val="231F20"/>
                <w:sz w:val="18"/>
                <w:szCs w:val="18"/>
              </w:rPr>
              <w:t>28 (€260,000)</w:t>
            </w:r>
          </w:p>
        </w:tc>
        <w:tc>
          <w:tcPr>
            <w:tcW w:w="1418" w:type="dxa"/>
            <w:shd w:val="clear" w:color="auto" w:fill="F0F2F4"/>
            <w:vAlign w:val="center"/>
          </w:tcPr>
          <w:p w14:paraId="0A2DFB84" w14:textId="77777777" w:rsidR="0038049D" w:rsidRPr="00487D35" w:rsidRDefault="0038049D" w:rsidP="005A1628">
            <w:pPr>
              <w:pStyle w:val="TableParagraph"/>
              <w:spacing w:before="13"/>
              <w:ind w:right="89"/>
              <w:jc w:val="right"/>
              <w:rPr>
                <w:color w:val="231F20"/>
                <w:sz w:val="18"/>
                <w:szCs w:val="18"/>
              </w:rPr>
            </w:pPr>
            <w:r w:rsidRPr="00487D35">
              <w:rPr>
                <w:color w:val="231F20"/>
                <w:sz w:val="18"/>
                <w:szCs w:val="18"/>
              </w:rPr>
              <w:t>22 (€17,116)</w:t>
            </w:r>
          </w:p>
        </w:tc>
        <w:tc>
          <w:tcPr>
            <w:tcW w:w="1275" w:type="dxa"/>
            <w:shd w:val="clear" w:color="auto" w:fill="F0F2F4"/>
            <w:vAlign w:val="center"/>
          </w:tcPr>
          <w:p w14:paraId="2116A795" w14:textId="77777777" w:rsidR="0038049D" w:rsidRPr="00487D35" w:rsidRDefault="0038049D" w:rsidP="005A1628">
            <w:pPr>
              <w:pStyle w:val="TableParagraph"/>
              <w:spacing w:before="13"/>
              <w:ind w:right="89"/>
              <w:jc w:val="right"/>
              <w:rPr>
                <w:color w:val="231F20"/>
                <w:sz w:val="18"/>
                <w:szCs w:val="18"/>
              </w:rPr>
            </w:pPr>
            <w:r w:rsidRPr="00487D35">
              <w:rPr>
                <w:color w:val="231F20"/>
                <w:sz w:val="18"/>
                <w:szCs w:val="18"/>
              </w:rPr>
              <w:t>22 (€286,888)</w:t>
            </w:r>
          </w:p>
        </w:tc>
        <w:tc>
          <w:tcPr>
            <w:tcW w:w="1276" w:type="dxa"/>
            <w:shd w:val="clear" w:color="auto" w:fill="F0F2F4"/>
            <w:vAlign w:val="center"/>
          </w:tcPr>
          <w:p w14:paraId="7D27D48B" w14:textId="77777777" w:rsidR="0038049D" w:rsidRPr="00487D35" w:rsidRDefault="0038049D" w:rsidP="005A1628">
            <w:pPr>
              <w:pStyle w:val="TableParagraph"/>
              <w:spacing w:before="13"/>
              <w:ind w:right="89"/>
              <w:jc w:val="right"/>
              <w:rPr>
                <w:color w:val="231F20"/>
                <w:sz w:val="18"/>
                <w:szCs w:val="18"/>
              </w:rPr>
            </w:pPr>
            <w:r w:rsidRPr="00487D35">
              <w:rPr>
                <w:color w:val="231F20"/>
                <w:sz w:val="18"/>
                <w:szCs w:val="18"/>
              </w:rPr>
              <w:t>20 (€135,351)</w:t>
            </w:r>
          </w:p>
        </w:tc>
        <w:tc>
          <w:tcPr>
            <w:tcW w:w="1276" w:type="dxa"/>
            <w:shd w:val="clear" w:color="auto" w:fill="F0F2F4"/>
            <w:vAlign w:val="center"/>
          </w:tcPr>
          <w:p w14:paraId="7C11DB64" w14:textId="77777777" w:rsidR="0038049D" w:rsidRPr="00487D35" w:rsidRDefault="0038049D" w:rsidP="005A1628">
            <w:pPr>
              <w:pStyle w:val="BasicParagraph"/>
              <w:suppressAutoHyphens/>
              <w:jc w:val="right"/>
              <w:rPr>
                <w:rStyle w:val="BoldSubheads"/>
                <w:rFonts w:ascii="Calibri" w:hAnsi="Calibri" w:cs="Calibri"/>
                <w:b w:val="0"/>
                <w:bCs w:val="0"/>
                <w:sz w:val="18"/>
                <w:szCs w:val="18"/>
                <w:lang w:val="en-US"/>
              </w:rPr>
            </w:pPr>
            <w:r w:rsidRPr="00487D35">
              <w:rPr>
                <w:rStyle w:val="BoldSubheads"/>
                <w:rFonts w:ascii="Calibri" w:hAnsi="Calibri" w:cs="Calibri"/>
                <w:b w:val="0"/>
                <w:bCs w:val="0"/>
                <w:sz w:val="18"/>
                <w:szCs w:val="18"/>
                <w:lang w:val="en-US"/>
              </w:rPr>
              <w:t xml:space="preserve">22 </w:t>
            </w:r>
            <w:proofErr w:type="gramStart"/>
            <w:r w:rsidRPr="00487D35">
              <w:rPr>
                <w:rStyle w:val="BoldSubheads"/>
                <w:rFonts w:ascii="Calibri" w:hAnsi="Calibri" w:cs="Calibri"/>
                <w:b w:val="0"/>
                <w:bCs w:val="0"/>
                <w:sz w:val="18"/>
                <w:szCs w:val="18"/>
                <w:lang w:val="en-US"/>
              </w:rPr>
              <w:t>/  €</w:t>
            </w:r>
            <w:proofErr w:type="gramEnd"/>
            <w:r w:rsidRPr="00487D35">
              <w:rPr>
                <w:rStyle w:val="BoldSubheads"/>
                <w:rFonts w:ascii="Calibri" w:hAnsi="Calibri" w:cs="Calibri"/>
                <w:b w:val="0"/>
                <w:bCs w:val="0"/>
                <w:sz w:val="18"/>
                <w:szCs w:val="18"/>
                <w:lang w:val="en-US"/>
              </w:rPr>
              <w:t>150,000</w:t>
            </w:r>
          </w:p>
          <w:p w14:paraId="541A981E" w14:textId="77777777" w:rsidR="0038049D" w:rsidRPr="00487D35" w:rsidRDefault="0038049D" w:rsidP="005A1628">
            <w:pPr>
              <w:pStyle w:val="TableParagraph"/>
              <w:spacing w:before="13"/>
              <w:ind w:right="89"/>
              <w:jc w:val="right"/>
              <w:rPr>
                <w:color w:val="231F20"/>
                <w:sz w:val="18"/>
                <w:szCs w:val="18"/>
              </w:rPr>
            </w:pPr>
          </w:p>
        </w:tc>
        <w:tc>
          <w:tcPr>
            <w:tcW w:w="1276" w:type="dxa"/>
            <w:shd w:val="clear" w:color="auto" w:fill="F0F2F4"/>
            <w:vAlign w:val="center"/>
          </w:tcPr>
          <w:p w14:paraId="1B4A9C6E" w14:textId="77777777" w:rsidR="0038049D" w:rsidRPr="00487D35" w:rsidRDefault="0038049D" w:rsidP="005A1628">
            <w:pPr>
              <w:pStyle w:val="TableParagraph"/>
              <w:spacing w:before="13"/>
              <w:ind w:right="89"/>
              <w:jc w:val="right"/>
              <w:rPr>
                <w:color w:val="231F20"/>
                <w:sz w:val="18"/>
                <w:szCs w:val="18"/>
              </w:rPr>
            </w:pPr>
            <w:r w:rsidRPr="00487D35">
              <w:rPr>
                <w:color w:val="000000" w:themeColor="text1"/>
                <w:sz w:val="18"/>
                <w:szCs w:val="18"/>
              </w:rPr>
              <w:t>28</w:t>
            </w:r>
            <w:r w:rsidRPr="00487D35">
              <w:rPr>
                <w:sz w:val="18"/>
                <w:szCs w:val="18"/>
              </w:rPr>
              <w:t>/€280,528</w:t>
            </w:r>
          </w:p>
        </w:tc>
      </w:tr>
      <w:tr w:rsidR="0038049D" w:rsidRPr="00487D35" w14:paraId="36A0AD79" w14:textId="77777777" w:rsidTr="005A1628">
        <w:trPr>
          <w:trHeight w:val="466"/>
          <w:jc w:val="center"/>
        </w:trPr>
        <w:tc>
          <w:tcPr>
            <w:tcW w:w="2127" w:type="dxa"/>
            <w:vMerge/>
            <w:tcBorders>
              <w:top w:val="nil"/>
              <w:left w:val="nil"/>
            </w:tcBorders>
            <w:shd w:val="clear" w:color="auto" w:fill="9DA9B4"/>
            <w:vAlign w:val="center"/>
          </w:tcPr>
          <w:p w14:paraId="31274137" w14:textId="77777777" w:rsidR="0038049D" w:rsidRDefault="0038049D" w:rsidP="005A1628">
            <w:pPr>
              <w:rPr>
                <w:sz w:val="2"/>
                <w:szCs w:val="2"/>
              </w:rPr>
            </w:pPr>
          </w:p>
        </w:tc>
        <w:tc>
          <w:tcPr>
            <w:tcW w:w="3969" w:type="dxa"/>
            <w:shd w:val="clear" w:color="auto" w:fill="F0F2F4"/>
            <w:vAlign w:val="center"/>
          </w:tcPr>
          <w:p w14:paraId="49FD96EC" w14:textId="77777777" w:rsidR="0038049D" w:rsidRDefault="0038049D" w:rsidP="005A1628">
            <w:pPr>
              <w:pStyle w:val="TableParagraph"/>
              <w:spacing w:before="144"/>
              <w:ind w:left="170"/>
              <w:rPr>
                <w:sz w:val="16"/>
              </w:rPr>
            </w:pPr>
            <w:r>
              <w:rPr>
                <w:color w:val="231F20"/>
                <w:sz w:val="16"/>
              </w:rPr>
              <w:t>Jobs</w:t>
            </w:r>
            <w:r>
              <w:rPr>
                <w:color w:val="231F20"/>
                <w:spacing w:val="14"/>
                <w:sz w:val="16"/>
              </w:rPr>
              <w:t xml:space="preserve"> </w:t>
            </w:r>
            <w:r>
              <w:rPr>
                <w:color w:val="231F20"/>
                <w:sz w:val="16"/>
              </w:rPr>
              <w:t>created</w:t>
            </w:r>
            <w:r>
              <w:rPr>
                <w:color w:val="231F20"/>
                <w:spacing w:val="14"/>
                <w:sz w:val="16"/>
              </w:rPr>
              <w:t xml:space="preserve"> </w:t>
            </w:r>
            <w:r>
              <w:rPr>
                <w:color w:val="231F20"/>
                <w:sz w:val="16"/>
              </w:rPr>
              <w:t>or</w:t>
            </w:r>
            <w:r>
              <w:rPr>
                <w:color w:val="231F20"/>
                <w:spacing w:val="14"/>
                <w:sz w:val="16"/>
              </w:rPr>
              <w:t xml:space="preserve"> </w:t>
            </w:r>
            <w:r>
              <w:rPr>
                <w:color w:val="231F20"/>
                <w:sz w:val="16"/>
              </w:rPr>
              <w:t>supported</w:t>
            </w:r>
            <w:r>
              <w:rPr>
                <w:color w:val="231F20"/>
                <w:spacing w:val="14"/>
                <w:sz w:val="16"/>
              </w:rPr>
              <w:t xml:space="preserve"> </w:t>
            </w:r>
            <w:r>
              <w:rPr>
                <w:color w:val="231F20"/>
                <w:sz w:val="16"/>
              </w:rPr>
              <w:t>in</w:t>
            </w:r>
            <w:r>
              <w:rPr>
                <w:color w:val="231F20"/>
                <w:spacing w:val="15"/>
                <w:sz w:val="16"/>
              </w:rPr>
              <w:t xml:space="preserve"> </w:t>
            </w:r>
            <w:proofErr w:type="spellStart"/>
            <w:r>
              <w:rPr>
                <w:color w:val="231F20"/>
                <w:sz w:val="16"/>
              </w:rPr>
              <w:t>Grangecastle</w:t>
            </w:r>
            <w:proofErr w:type="spellEnd"/>
            <w:r>
              <w:rPr>
                <w:color w:val="231F20"/>
                <w:spacing w:val="14"/>
                <w:sz w:val="16"/>
              </w:rPr>
              <w:t xml:space="preserve"> </w:t>
            </w:r>
            <w:proofErr w:type="gramStart"/>
            <w:r>
              <w:rPr>
                <w:color w:val="231F20"/>
                <w:sz w:val="16"/>
              </w:rPr>
              <w:t>Business</w:t>
            </w:r>
            <w:r>
              <w:rPr>
                <w:color w:val="231F20"/>
                <w:spacing w:val="14"/>
                <w:sz w:val="16"/>
              </w:rPr>
              <w:t xml:space="preserve"> </w:t>
            </w:r>
            <w:r>
              <w:rPr>
                <w:color w:val="231F20"/>
                <w:spacing w:val="-4"/>
                <w:sz w:val="16"/>
              </w:rPr>
              <w:t>park</w:t>
            </w:r>
            <w:proofErr w:type="gramEnd"/>
          </w:p>
        </w:tc>
        <w:tc>
          <w:tcPr>
            <w:tcW w:w="1417" w:type="dxa"/>
            <w:shd w:val="clear" w:color="auto" w:fill="F0F2F4"/>
            <w:vAlign w:val="center"/>
          </w:tcPr>
          <w:p w14:paraId="2093C190" w14:textId="77777777" w:rsidR="0038049D" w:rsidRPr="00487D35" w:rsidRDefault="0038049D" w:rsidP="005A1628">
            <w:pPr>
              <w:pStyle w:val="TableParagraph"/>
              <w:spacing w:before="54" w:line="182" w:lineRule="exact"/>
              <w:ind w:right="90"/>
              <w:jc w:val="right"/>
              <w:rPr>
                <w:sz w:val="18"/>
                <w:szCs w:val="18"/>
              </w:rPr>
            </w:pPr>
            <w:r w:rsidRPr="00487D35">
              <w:rPr>
                <w:color w:val="231F20"/>
                <w:sz w:val="18"/>
                <w:szCs w:val="18"/>
              </w:rPr>
              <w:t>6,000</w:t>
            </w:r>
            <w:r w:rsidRPr="00487D35">
              <w:rPr>
                <w:color w:val="231F20"/>
                <w:spacing w:val="-1"/>
                <w:sz w:val="18"/>
                <w:szCs w:val="18"/>
              </w:rPr>
              <w:t xml:space="preserve"> </w:t>
            </w:r>
            <w:r w:rsidRPr="00487D35">
              <w:rPr>
                <w:color w:val="231F20"/>
                <w:sz w:val="18"/>
                <w:szCs w:val="18"/>
              </w:rPr>
              <w:t xml:space="preserve">(incl. </w:t>
            </w:r>
            <w:r w:rsidRPr="00487D35">
              <w:rPr>
                <w:color w:val="231F20"/>
                <w:spacing w:val="-2"/>
                <w:sz w:val="18"/>
                <w:szCs w:val="18"/>
              </w:rPr>
              <w:t>construction),</w:t>
            </w:r>
          </w:p>
          <w:p w14:paraId="5F758561" w14:textId="77777777" w:rsidR="0038049D" w:rsidRPr="00487D35" w:rsidRDefault="0038049D" w:rsidP="005A1628">
            <w:pPr>
              <w:pStyle w:val="TableParagraph"/>
              <w:spacing w:before="0" w:line="182" w:lineRule="exact"/>
              <w:ind w:right="89"/>
              <w:jc w:val="right"/>
              <w:rPr>
                <w:sz w:val="18"/>
                <w:szCs w:val="18"/>
              </w:rPr>
            </w:pPr>
            <w:r w:rsidRPr="00487D35">
              <w:rPr>
                <w:color w:val="231F20"/>
                <w:sz w:val="18"/>
                <w:szCs w:val="18"/>
              </w:rPr>
              <w:t>5,400</w:t>
            </w:r>
            <w:r w:rsidRPr="00487D35">
              <w:rPr>
                <w:color w:val="231F20"/>
                <w:spacing w:val="1"/>
                <w:sz w:val="18"/>
                <w:szCs w:val="18"/>
              </w:rPr>
              <w:t xml:space="preserve"> </w:t>
            </w:r>
            <w:r w:rsidRPr="00487D35">
              <w:rPr>
                <w:color w:val="231F20"/>
                <w:spacing w:val="-2"/>
                <w:sz w:val="18"/>
                <w:szCs w:val="18"/>
              </w:rPr>
              <w:t>supported</w:t>
            </w:r>
          </w:p>
        </w:tc>
        <w:tc>
          <w:tcPr>
            <w:tcW w:w="1134" w:type="dxa"/>
            <w:shd w:val="clear" w:color="auto" w:fill="F0F2F4"/>
            <w:vAlign w:val="center"/>
          </w:tcPr>
          <w:p w14:paraId="3A8AD2CC" w14:textId="77777777" w:rsidR="0038049D" w:rsidRPr="00487D35" w:rsidRDefault="0038049D" w:rsidP="005A1628">
            <w:pPr>
              <w:pStyle w:val="TableParagraph"/>
              <w:spacing w:before="54" w:line="182" w:lineRule="exact"/>
              <w:ind w:right="90"/>
              <w:jc w:val="right"/>
              <w:rPr>
                <w:color w:val="231F20"/>
                <w:sz w:val="18"/>
                <w:szCs w:val="18"/>
              </w:rPr>
            </w:pPr>
            <w:r w:rsidRPr="00487D35">
              <w:rPr>
                <w:color w:val="231F20"/>
                <w:sz w:val="18"/>
                <w:szCs w:val="18"/>
              </w:rPr>
              <w:t>6150</w:t>
            </w:r>
          </w:p>
        </w:tc>
        <w:tc>
          <w:tcPr>
            <w:tcW w:w="1418" w:type="dxa"/>
            <w:shd w:val="clear" w:color="auto" w:fill="F0F2F4"/>
            <w:vAlign w:val="center"/>
          </w:tcPr>
          <w:p w14:paraId="7AC5BFE9" w14:textId="77777777" w:rsidR="0038049D" w:rsidRPr="00487D35" w:rsidRDefault="0038049D" w:rsidP="005A1628">
            <w:pPr>
              <w:pStyle w:val="TableParagraph"/>
              <w:spacing w:before="54" w:line="182" w:lineRule="exact"/>
              <w:ind w:right="90"/>
              <w:jc w:val="right"/>
              <w:rPr>
                <w:color w:val="231F20"/>
                <w:sz w:val="18"/>
                <w:szCs w:val="18"/>
              </w:rPr>
            </w:pPr>
            <w:r w:rsidRPr="00487D35">
              <w:rPr>
                <w:color w:val="231F20"/>
                <w:sz w:val="18"/>
                <w:szCs w:val="18"/>
              </w:rPr>
              <w:t>5328</w:t>
            </w:r>
          </w:p>
        </w:tc>
        <w:tc>
          <w:tcPr>
            <w:tcW w:w="1275" w:type="dxa"/>
            <w:shd w:val="clear" w:color="auto" w:fill="F0F2F4"/>
            <w:vAlign w:val="center"/>
          </w:tcPr>
          <w:p w14:paraId="0F604BC1" w14:textId="77777777" w:rsidR="0038049D" w:rsidRPr="00487D35" w:rsidRDefault="0038049D" w:rsidP="005A1628">
            <w:pPr>
              <w:pStyle w:val="TableParagraph"/>
              <w:spacing w:before="54" w:line="182" w:lineRule="exact"/>
              <w:ind w:right="90"/>
              <w:jc w:val="right"/>
              <w:rPr>
                <w:color w:val="231F20"/>
                <w:sz w:val="18"/>
                <w:szCs w:val="18"/>
              </w:rPr>
            </w:pPr>
            <w:r w:rsidRPr="00487D35">
              <w:rPr>
                <w:color w:val="231F20"/>
                <w:sz w:val="18"/>
                <w:szCs w:val="18"/>
              </w:rPr>
              <w:t>7,750 (including construction)</w:t>
            </w:r>
          </w:p>
        </w:tc>
        <w:tc>
          <w:tcPr>
            <w:tcW w:w="1276" w:type="dxa"/>
            <w:shd w:val="clear" w:color="auto" w:fill="F0F2F4"/>
            <w:vAlign w:val="center"/>
          </w:tcPr>
          <w:p w14:paraId="7C46D332" w14:textId="77777777" w:rsidR="0038049D" w:rsidRPr="00487D35" w:rsidRDefault="0038049D" w:rsidP="005A1628">
            <w:pPr>
              <w:pStyle w:val="TableParagraph"/>
              <w:spacing w:before="54" w:line="182" w:lineRule="exact"/>
              <w:ind w:right="90"/>
              <w:jc w:val="right"/>
              <w:rPr>
                <w:color w:val="231F20"/>
                <w:sz w:val="18"/>
                <w:szCs w:val="18"/>
              </w:rPr>
            </w:pPr>
            <w:r w:rsidRPr="00487D35">
              <w:rPr>
                <w:color w:val="231F20"/>
                <w:sz w:val="18"/>
                <w:szCs w:val="18"/>
              </w:rPr>
              <w:t>5328</w:t>
            </w:r>
          </w:p>
        </w:tc>
        <w:tc>
          <w:tcPr>
            <w:tcW w:w="1276" w:type="dxa"/>
            <w:shd w:val="clear" w:color="auto" w:fill="F0F2F4"/>
            <w:vAlign w:val="center"/>
          </w:tcPr>
          <w:p w14:paraId="44212C2F" w14:textId="77777777" w:rsidR="0038049D" w:rsidRPr="00487D35" w:rsidRDefault="0038049D" w:rsidP="005A1628">
            <w:pPr>
              <w:pStyle w:val="TableParagraph"/>
              <w:spacing w:before="54" w:line="182" w:lineRule="exact"/>
              <w:ind w:right="90"/>
              <w:jc w:val="right"/>
              <w:rPr>
                <w:color w:val="231F20"/>
                <w:sz w:val="18"/>
                <w:szCs w:val="18"/>
              </w:rPr>
            </w:pPr>
            <w:r w:rsidRPr="00487D35">
              <w:rPr>
                <w:color w:val="231F20"/>
                <w:sz w:val="18"/>
                <w:szCs w:val="18"/>
              </w:rPr>
              <w:t>8,000 (including construction)</w:t>
            </w:r>
          </w:p>
        </w:tc>
        <w:tc>
          <w:tcPr>
            <w:tcW w:w="1276" w:type="dxa"/>
            <w:shd w:val="clear" w:color="auto" w:fill="F0F2F4"/>
            <w:vAlign w:val="center"/>
          </w:tcPr>
          <w:p w14:paraId="47A8ED34" w14:textId="77777777" w:rsidR="0038049D" w:rsidRPr="00487D35" w:rsidRDefault="0038049D" w:rsidP="005A1628">
            <w:pPr>
              <w:pStyle w:val="TableParagraph"/>
              <w:spacing w:before="54" w:line="182" w:lineRule="exact"/>
              <w:ind w:right="138"/>
              <w:jc w:val="right"/>
              <w:rPr>
                <w:color w:val="FF0000"/>
                <w:sz w:val="18"/>
                <w:szCs w:val="18"/>
              </w:rPr>
            </w:pPr>
            <w:r w:rsidRPr="00487D35">
              <w:rPr>
                <w:color w:val="000000" w:themeColor="text1"/>
                <w:sz w:val="18"/>
                <w:szCs w:val="18"/>
              </w:rPr>
              <w:t>8,000 (including construction)</w:t>
            </w:r>
          </w:p>
        </w:tc>
      </w:tr>
      <w:tr w:rsidR="0038049D" w:rsidRPr="00487D35" w14:paraId="722B2B33" w14:textId="77777777" w:rsidTr="005A1628">
        <w:trPr>
          <w:trHeight w:val="263"/>
          <w:jc w:val="center"/>
        </w:trPr>
        <w:tc>
          <w:tcPr>
            <w:tcW w:w="2127" w:type="dxa"/>
            <w:vMerge/>
            <w:tcBorders>
              <w:top w:val="nil"/>
              <w:left w:val="nil"/>
            </w:tcBorders>
            <w:shd w:val="clear" w:color="auto" w:fill="9DA9B4"/>
            <w:vAlign w:val="center"/>
          </w:tcPr>
          <w:p w14:paraId="4D2BBCAB" w14:textId="77777777" w:rsidR="0038049D" w:rsidRDefault="0038049D" w:rsidP="005A1628">
            <w:pPr>
              <w:rPr>
                <w:sz w:val="2"/>
                <w:szCs w:val="2"/>
              </w:rPr>
            </w:pPr>
          </w:p>
        </w:tc>
        <w:tc>
          <w:tcPr>
            <w:tcW w:w="3969" w:type="dxa"/>
            <w:shd w:val="clear" w:color="auto" w:fill="F0F2F4"/>
            <w:vAlign w:val="center"/>
          </w:tcPr>
          <w:p w14:paraId="21F1D16D" w14:textId="77777777" w:rsidR="0038049D" w:rsidRDefault="0038049D" w:rsidP="005A1628">
            <w:pPr>
              <w:pStyle w:val="TableParagraph"/>
              <w:ind w:left="170"/>
              <w:rPr>
                <w:sz w:val="16"/>
              </w:rPr>
            </w:pPr>
            <w:r>
              <w:rPr>
                <w:color w:val="231F20"/>
                <w:w w:val="105"/>
                <w:sz w:val="16"/>
              </w:rPr>
              <w:t>Economic</w:t>
            </w:r>
            <w:r>
              <w:rPr>
                <w:color w:val="231F20"/>
                <w:spacing w:val="-7"/>
                <w:w w:val="105"/>
                <w:sz w:val="16"/>
              </w:rPr>
              <w:t xml:space="preserve"> </w:t>
            </w:r>
            <w:r>
              <w:rPr>
                <w:color w:val="231F20"/>
                <w:w w:val="105"/>
                <w:sz w:val="16"/>
              </w:rPr>
              <w:t>development</w:t>
            </w:r>
            <w:r>
              <w:rPr>
                <w:color w:val="231F20"/>
                <w:spacing w:val="-6"/>
                <w:w w:val="105"/>
                <w:sz w:val="16"/>
              </w:rPr>
              <w:t xml:space="preserve"> </w:t>
            </w:r>
            <w:r>
              <w:rPr>
                <w:color w:val="231F20"/>
                <w:w w:val="105"/>
                <w:sz w:val="16"/>
              </w:rPr>
              <w:t>land</w:t>
            </w:r>
            <w:r>
              <w:rPr>
                <w:color w:val="231F20"/>
                <w:spacing w:val="-7"/>
                <w:w w:val="105"/>
                <w:sz w:val="16"/>
              </w:rPr>
              <w:t xml:space="preserve"> </w:t>
            </w:r>
            <w:r>
              <w:rPr>
                <w:color w:val="231F20"/>
                <w:spacing w:val="-2"/>
                <w:w w:val="105"/>
                <w:sz w:val="16"/>
              </w:rPr>
              <w:t>disposals</w:t>
            </w:r>
          </w:p>
        </w:tc>
        <w:tc>
          <w:tcPr>
            <w:tcW w:w="1417" w:type="dxa"/>
            <w:shd w:val="clear" w:color="auto" w:fill="F0F2F4"/>
            <w:vAlign w:val="center"/>
          </w:tcPr>
          <w:p w14:paraId="54FC0C40" w14:textId="77777777" w:rsidR="0038049D" w:rsidRPr="00487D35" w:rsidRDefault="0038049D" w:rsidP="005A1628">
            <w:pPr>
              <w:pStyle w:val="TableParagraph"/>
              <w:ind w:right="90"/>
              <w:jc w:val="right"/>
              <w:rPr>
                <w:sz w:val="18"/>
                <w:szCs w:val="18"/>
              </w:rPr>
            </w:pPr>
            <w:r w:rsidRPr="00487D35">
              <w:rPr>
                <w:color w:val="231F20"/>
                <w:spacing w:val="-5"/>
                <w:sz w:val="18"/>
                <w:szCs w:val="18"/>
              </w:rPr>
              <w:t>20</w:t>
            </w:r>
          </w:p>
        </w:tc>
        <w:tc>
          <w:tcPr>
            <w:tcW w:w="1134" w:type="dxa"/>
            <w:shd w:val="clear" w:color="auto" w:fill="F0F2F4"/>
            <w:vAlign w:val="center"/>
          </w:tcPr>
          <w:p w14:paraId="646EE24B" w14:textId="77777777" w:rsidR="0038049D" w:rsidRPr="00487D35" w:rsidRDefault="0038049D" w:rsidP="005A1628">
            <w:pPr>
              <w:pStyle w:val="TableParagraph"/>
              <w:ind w:right="90"/>
              <w:jc w:val="right"/>
              <w:rPr>
                <w:color w:val="231F20"/>
                <w:spacing w:val="-5"/>
                <w:sz w:val="18"/>
                <w:szCs w:val="18"/>
              </w:rPr>
            </w:pPr>
            <w:r w:rsidRPr="00487D35">
              <w:rPr>
                <w:color w:val="231F20"/>
                <w:spacing w:val="-5"/>
                <w:sz w:val="18"/>
                <w:szCs w:val="18"/>
              </w:rPr>
              <w:t>20</w:t>
            </w:r>
          </w:p>
        </w:tc>
        <w:tc>
          <w:tcPr>
            <w:tcW w:w="1418" w:type="dxa"/>
            <w:shd w:val="clear" w:color="auto" w:fill="F0F2F4"/>
            <w:vAlign w:val="center"/>
          </w:tcPr>
          <w:p w14:paraId="0CEC386E" w14:textId="77777777" w:rsidR="0038049D" w:rsidRPr="00487D35" w:rsidRDefault="0038049D" w:rsidP="005A1628">
            <w:pPr>
              <w:pStyle w:val="TableParagraph"/>
              <w:ind w:right="90"/>
              <w:jc w:val="right"/>
              <w:rPr>
                <w:color w:val="231F20"/>
                <w:spacing w:val="-5"/>
                <w:sz w:val="18"/>
                <w:szCs w:val="18"/>
              </w:rPr>
            </w:pPr>
            <w:r w:rsidRPr="00487D35">
              <w:rPr>
                <w:color w:val="231F20"/>
                <w:spacing w:val="-5"/>
                <w:sz w:val="18"/>
                <w:szCs w:val="18"/>
              </w:rPr>
              <w:t>Not listed in KPIs</w:t>
            </w:r>
          </w:p>
        </w:tc>
        <w:tc>
          <w:tcPr>
            <w:tcW w:w="1275" w:type="dxa"/>
            <w:shd w:val="clear" w:color="auto" w:fill="F0F2F4"/>
            <w:vAlign w:val="center"/>
          </w:tcPr>
          <w:p w14:paraId="5D3D9DFD" w14:textId="77777777" w:rsidR="0038049D" w:rsidRPr="00487D35" w:rsidRDefault="0038049D" w:rsidP="005A1628">
            <w:pPr>
              <w:pStyle w:val="TableParagraph"/>
              <w:ind w:right="90"/>
              <w:jc w:val="right"/>
              <w:rPr>
                <w:color w:val="231F20"/>
                <w:spacing w:val="-5"/>
                <w:sz w:val="18"/>
                <w:szCs w:val="18"/>
              </w:rPr>
            </w:pPr>
            <w:r w:rsidRPr="00487D35">
              <w:rPr>
                <w:color w:val="231F20"/>
                <w:spacing w:val="-5"/>
                <w:sz w:val="18"/>
                <w:szCs w:val="18"/>
              </w:rPr>
              <w:t>2</w:t>
            </w:r>
          </w:p>
        </w:tc>
        <w:tc>
          <w:tcPr>
            <w:tcW w:w="1276" w:type="dxa"/>
            <w:shd w:val="clear" w:color="auto" w:fill="F0F2F4"/>
            <w:vAlign w:val="center"/>
          </w:tcPr>
          <w:p w14:paraId="1FE2DE6F" w14:textId="77777777" w:rsidR="0038049D" w:rsidRPr="00487D35" w:rsidRDefault="0038049D" w:rsidP="005A1628">
            <w:pPr>
              <w:pStyle w:val="TableParagraph"/>
              <w:ind w:right="90"/>
              <w:jc w:val="right"/>
              <w:rPr>
                <w:color w:val="231F20"/>
                <w:spacing w:val="-5"/>
                <w:sz w:val="18"/>
                <w:szCs w:val="18"/>
              </w:rPr>
            </w:pPr>
            <w:r w:rsidRPr="00487D35">
              <w:rPr>
                <w:color w:val="231F20"/>
                <w:spacing w:val="-5"/>
                <w:sz w:val="18"/>
                <w:szCs w:val="18"/>
              </w:rPr>
              <w:t>1</w:t>
            </w:r>
          </w:p>
        </w:tc>
        <w:tc>
          <w:tcPr>
            <w:tcW w:w="1276" w:type="dxa"/>
            <w:shd w:val="clear" w:color="auto" w:fill="F0F2F4"/>
            <w:vAlign w:val="center"/>
          </w:tcPr>
          <w:p w14:paraId="5D7C14E6" w14:textId="77777777" w:rsidR="0038049D" w:rsidRPr="00487D35" w:rsidRDefault="0038049D" w:rsidP="005A1628">
            <w:pPr>
              <w:pStyle w:val="TableParagraph"/>
              <w:ind w:right="90"/>
              <w:jc w:val="right"/>
              <w:rPr>
                <w:color w:val="000000" w:themeColor="text1"/>
                <w:spacing w:val="-5"/>
                <w:sz w:val="18"/>
                <w:szCs w:val="18"/>
              </w:rPr>
            </w:pPr>
            <w:r w:rsidRPr="00487D35">
              <w:rPr>
                <w:color w:val="000000" w:themeColor="text1"/>
                <w:spacing w:val="-5"/>
                <w:sz w:val="18"/>
                <w:szCs w:val="18"/>
              </w:rPr>
              <w:t>2</w:t>
            </w:r>
          </w:p>
        </w:tc>
        <w:tc>
          <w:tcPr>
            <w:tcW w:w="1276" w:type="dxa"/>
            <w:shd w:val="clear" w:color="auto" w:fill="F0F2F4"/>
            <w:vAlign w:val="center"/>
          </w:tcPr>
          <w:p w14:paraId="7C3AADD1" w14:textId="77777777" w:rsidR="0038049D" w:rsidRPr="00487D35" w:rsidRDefault="0038049D" w:rsidP="005A1628">
            <w:pPr>
              <w:pStyle w:val="TableParagraph"/>
              <w:ind w:right="90"/>
              <w:jc w:val="right"/>
              <w:rPr>
                <w:color w:val="000000" w:themeColor="text1"/>
                <w:spacing w:val="-5"/>
                <w:sz w:val="18"/>
                <w:szCs w:val="18"/>
              </w:rPr>
            </w:pPr>
            <w:r w:rsidRPr="00487D35">
              <w:rPr>
                <w:color w:val="000000" w:themeColor="text1"/>
                <w:spacing w:val="-5"/>
                <w:sz w:val="18"/>
                <w:szCs w:val="18"/>
              </w:rPr>
              <w:t>0</w:t>
            </w:r>
          </w:p>
        </w:tc>
      </w:tr>
      <w:tr w:rsidR="0038049D" w:rsidRPr="00487D35" w14:paraId="6785F9D7" w14:textId="77777777" w:rsidTr="005A1628">
        <w:trPr>
          <w:trHeight w:val="263"/>
          <w:jc w:val="center"/>
        </w:trPr>
        <w:tc>
          <w:tcPr>
            <w:tcW w:w="2127" w:type="dxa"/>
            <w:vMerge/>
            <w:tcBorders>
              <w:top w:val="nil"/>
              <w:left w:val="nil"/>
            </w:tcBorders>
            <w:shd w:val="clear" w:color="auto" w:fill="9DA9B4"/>
            <w:vAlign w:val="center"/>
          </w:tcPr>
          <w:p w14:paraId="7D254287" w14:textId="77777777" w:rsidR="0038049D" w:rsidRDefault="0038049D" w:rsidP="005A1628">
            <w:pPr>
              <w:rPr>
                <w:sz w:val="2"/>
                <w:szCs w:val="2"/>
              </w:rPr>
            </w:pPr>
          </w:p>
        </w:tc>
        <w:tc>
          <w:tcPr>
            <w:tcW w:w="3969" w:type="dxa"/>
            <w:shd w:val="clear" w:color="auto" w:fill="F0F2F4"/>
            <w:vAlign w:val="center"/>
          </w:tcPr>
          <w:p w14:paraId="197630C1" w14:textId="77777777" w:rsidR="0038049D" w:rsidRDefault="0038049D" w:rsidP="005A1628">
            <w:pPr>
              <w:pStyle w:val="TableParagraph"/>
              <w:ind w:left="170"/>
              <w:rPr>
                <w:sz w:val="16"/>
              </w:rPr>
            </w:pPr>
            <w:r>
              <w:rPr>
                <w:color w:val="231F20"/>
                <w:w w:val="105"/>
                <w:sz w:val="16"/>
              </w:rPr>
              <w:t>Active</w:t>
            </w:r>
            <w:r>
              <w:rPr>
                <w:color w:val="231F20"/>
                <w:spacing w:val="-4"/>
                <w:w w:val="105"/>
                <w:sz w:val="16"/>
              </w:rPr>
              <w:t xml:space="preserve"> </w:t>
            </w:r>
            <w:r>
              <w:rPr>
                <w:color w:val="231F20"/>
                <w:w w:val="105"/>
                <w:sz w:val="16"/>
              </w:rPr>
              <w:t>library</w:t>
            </w:r>
            <w:r>
              <w:rPr>
                <w:color w:val="231F20"/>
                <w:spacing w:val="-3"/>
                <w:w w:val="105"/>
                <w:sz w:val="16"/>
              </w:rPr>
              <w:t xml:space="preserve"> </w:t>
            </w:r>
            <w:r>
              <w:rPr>
                <w:color w:val="231F20"/>
                <w:spacing w:val="-2"/>
                <w:w w:val="105"/>
                <w:sz w:val="16"/>
              </w:rPr>
              <w:t>members</w:t>
            </w:r>
          </w:p>
        </w:tc>
        <w:tc>
          <w:tcPr>
            <w:tcW w:w="1417" w:type="dxa"/>
            <w:shd w:val="clear" w:color="auto" w:fill="F0F2F4"/>
            <w:vAlign w:val="center"/>
          </w:tcPr>
          <w:p w14:paraId="66390B64" w14:textId="77777777" w:rsidR="0038049D" w:rsidRPr="00487D35" w:rsidRDefault="0038049D" w:rsidP="005A1628">
            <w:pPr>
              <w:pStyle w:val="TableParagraph"/>
              <w:ind w:right="89"/>
              <w:jc w:val="right"/>
              <w:rPr>
                <w:sz w:val="18"/>
                <w:szCs w:val="18"/>
              </w:rPr>
            </w:pPr>
            <w:r w:rsidRPr="00487D35">
              <w:rPr>
                <w:color w:val="231F20"/>
                <w:spacing w:val="-2"/>
                <w:sz w:val="18"/>
                <w:szCs w:val="18"/>
              </w:rPr>
              <w:t>47,462</w:t>
            </w:r>
          </w:p>
        </w:tc>
        <w:tc>
          <w:tcPr>
            <w:tcW w:w="1134" w:type="dxa"/>
            <w:shd w:val="clear" w:color="auto" w:fill="F0F2F4"/>
            <w:vAlign w:val="center"/>
          </w:tcPr>
          <w:p w14:paraId="3576ECC5" w14:textId="77777777" w:rsidR="0038049D" w:rsidRPr="00487D35" w:rsidRDefault="0038049D" w:rsidP="005A1628">
            <w:pPr>
              <w:pStyle w:val="TableParagraph"/>
              <w:ind w:right="89"/>
              <w:jc w:val="right"/>
              <w:rPr>
                <w:color w:val="231F20"/>
                <w:spacing w:val="-2"/>
                <w:sz w:val="18"/>
                <w:szCs w:val="18"/>
              </w:rPr>
            </w:pPr>
            <w:r w:rsidRPr="00487D35">
              <w:rPr>
                <w:color w:val="231F20"/>
                <w:spacing w:val="-2"/>
                <w:sz w:val="18"/>
                <w:szCs w:val="18"/>
              </w:rPr>
              <w:t>49,835</w:t>
            </w:r>
          </w:p>
        </w:tc>
        <w:tc>
          <w:tcPr>
            <w:tcW w:w="1418" w:type="dxa"/>
            <w:shd w:val="clear" w:color="auto" w:fill="F0F2F4"/>
            <w:vAlign w:val="center"/>
          </w:tcPr>
          <w:p w14:paraId="2E661B8F" w14:textId="77777777" w:rsidR="0038049D" w:rsidRPr="00487D35" w:rsidRDefault="0038049D" w:rsidP="005A1628">
            <w:pPr>
              <w:pStyle w:val="TableParagraph"/>
              <w:ind w:right="89"/>
              <w:jc w:val="right"/>
              <w:rPr>
                <w:color w:val="231F20"/>
                <w:spacing w:val="-2"/>
                <w:sz w:val="18"/>
                <w:szCs w:val="18"/>
              </w:rPr>
            </w:pPr>
            <w:r w:rsidRPr="00487D35">
              <w:rPr>
                <w:color w:val="231F20"/>
                <w:spacing w:val="-2"/>
                <w:sz w:val="18"/>
                <w:szCs w:val="18"/>
              </w:rPr>
              <w:t>29,045</w:t>
            </w:r>
          </w:p>
        </w:tc>
        <w:tc>
          <w:tcPr>
            <w:tcW w:w="1275" w:type="dxa"/>
            <w:shd w:val="clear" w:color="auto" w:fill="F0F2F4"/>
            <w:vAlign w:val="center"/>
          </w:tcPr>
          <w:p w14:paraId="1E3BF632" w14:textId="77777777" w:rsidR="0038049D" w:rsidRPr="00487D35" w:rsidRDefault="0038049D" w:rsidP="005A1628">
            <w:pPr>
              <w:pStyle w:val="TableParagraph"/>
              <w:ind w:right="89"/>
              <w:jc w:val="right"/>
              <w:rPr>
                <w:color w:val="231F20"/>
                <w:spacing w:val="-2"/>
                <w:sz w:val="18"/>
                <w:szCs w:val="18"/>
              </w:rPr>
            </w:pPr>
            <w:r w:rsidRPr="00487D35">
              <w:rPr>
                <w:color w:val="231F20"/>
                <w:spacing w:val="-2"/>
                <w:sz w:val="18"/>
                <w:szCs w:val="18"/>
              </w:rPr>
              <w:t>57,000</w:t>
            </w:r>
          </w:p>
        </w:tc>
        <w:tc>
          <w:tcPr>
            <w:tcW w:w="1276" w:type="dxa"/>
            <w:shd w:val="clear" w:color="auto" w:fill="F0F2F4"/>
            <w:vAlign w:val="center"/>
          </w:tcPr>
          <w:p w14:paraId="7D60AD4F" w14:textId="77777777" w:rsidR="0038049D" w:rsidRPr="00487D35" w:rsidRDefault="0038049D" w:rsidP="005A1628">
            <w:pPr>
              <w:pStyle w:val="TableParagraph"/>
              <w:ind w:right="89"/>
              <w:jc w:val="right"/>
              <w:rPr>
                <w:color w:val="231F20"/>
                <w:spacing w:val="-2"/>
                <w:sz w:val="18"/>
                <w:szCs w:val="18"/>
              </w:rPr>
            </w:pPr>
            <w:r w:rsidRPr="00487D35">
              <w:rPr>
                <w:color w:val="231F20"/>
                <w:spacing w:val="-2"/>
                <w:sz w:val="18"/>
                <w:szCs w:val="18"/>
              </w:rPr>
              <w:t>60,268</w:t>
            </w:r>
          </w:p>
        </w:tc>
        <w:tc>
          <w:tcPr>
            <w:tcW w:w="1276" w:type="dxa"/>
            <w:shd w:val="clear" w:color="auto" w:fill="F0F2F4"/>
            <w:vAlign w:val="center"/>
          </w:tcPr>
          <w:p w14:paraId="00E5A50B" w14:textId="77777777" w:rsidR="0038049D" w:rsidRPr="00487D35" w:rsidRDefault="0038049D" w:rsidP="005A1628">
            <w:pPr>
              <w:pStyle w:val="TableParagraph"/>
              <w:ind w:right="89"/>
              <w:jc w:val="right"/>
              <w:rPr>
                <w:color w:val="231F20"/>
                <w:spacing w:val="-2"/>
                <w:sz w:val="18"/>
                <w:szCs w:val="18"/>
              </w:rPr>
            </w:pPr>
            <w:r w:rsidRPr="00487D35">
              <w:rPr>
                <w:color w:val="231F20"/>
                <w:spacing w:val="-2"/>
                <w:sz w:val="18"/>
                <w:szCs w:val="18"/>
              </w:rPr>
              <w:t>60,000</w:t>
            </w:r>
          </w:p>
        </w:tc>
        <w:tc>
          <w:tcPr>
            <w:tcW w:w="1276" w:type="dxa"/>
            <w:shd w:val="clear" w:color="auto" w:fill="F0F2F4"/>
            <w:vAlign w:val="center"/>
          </w:tcPr>
          <w:p w14:paraId="04F9357F" w14:textId="77777777" w:rsidR="0038049D" w:rsidRPr="00487D35" w:rsidRDefault="0038049D" w:rsidP="005A1628">
            <w:pPr>
              <w:pStyle w:val="TableParagraph"/>
              <w:ind w:right="89"/>
              <w:jc w:val="right"/>
              <w:rPr>
                <w:color w:val="231F20"/>
                <w:spacing w:val="-2"/>
                <w:sz w:val="18"/>
                <w:szCs w:val="18"/>
              </w:rPr>
            </w:pPr>
            <w:r w:rsidRPr="00487D35">
              <w:rPr>
                <w:color w:val="000000" w:themeColor="text1"/>
                <w:spacing w:val="-2"/>
                <w:sz w:val="18"/>
                <w:szCs w:val="18"/>
              </w:rPr>
              <w:t>60,741</w:t>
            </w:r>
          </w:p>
        </w:tc>
      </w:tr>
      <w:tr w:rsidR="0038049D" w:rsidRPr="00487D35" w14:paraId="6CD77702" w14:textId="77777777" w:rsidTr="005A1628">
        <w:trPr>
          <w:trHeight w:val="263"/>
          <w:jc w:val="center"/>
        </w:trPr>
        <w:tc>
          <w:tcPr>
            <w:tcW w:w="2127" w:type="dxa"/>
            <w:vMerge/>
            <w:tcBorders>
              <w:top w:val="nil"/>
              <w:left w:val="nil"/>
            </w:tcBorders>
            <w:shd w:val="clear" w:color="auto" w:fill="9DA9B4"/>
            <w:vAlign w:val="center"/>
          </w:tcPr>
          <w:p w14:paraId="19CE94FE" w14:textId="77777777" w:rsidR="0038049D" w:rsidRDefault="0038049D" w:rsidP="005A1628">
            <w:pPr>
              <w:rPr>
                <w:sz w:val="2"/>
                <w:szCs w:val="2"/>
              </w:rPr>
            </w:pPr>
          </w:p>
        </w:tc>
        <w:tc>
          <w:tcPr>
            <w:tcW w:w="3969" w:type="dxa"/>
            <w:shd w:val="clear" w:color="auto" w:fill="F0F2F4"/>
            <w:vAlign w:val="center"/>
          </w:tcPr>
          <w:p w14:paraId="25368D5F" w14:textId="77777777" w:rsidR="0038049D" w:rsidRDefault="0038049D" w:rsidP="005A1628">
            <w:pPr>
              <w:pStyle w:val="TableParagraph"/>
              <w:ind w:left="170"/>
              <w:rPr>
                <w:sz w:val="16"/>
              </w:rPr>
            </w:pPr>
            <w:r>
              <w:rPr>
                <w:color w:val="231F20"/>
                <w:w w:val="105"/>
                <w:sz w:val="16"/>
              </w:rPr>
              <w:t>Library</w:t>
            </w:r>
            <w:r>
              <w:rPr>
                <w:color w:val="231F20"/>
                <w:spacing w:val="-4"/>
                <w:w w:val="105"/>
                <w:sz w:val="16"/>
              </w:rPr>
              <w:t xml:space="preserve"> </w:t>
            </w:r>
            <w:r>
              <w:rPr>
                <w:color w:val="231F20"/>
                <w:w w:val="105"/>
                <w:sz w:val="16"/>
              </w:rPr>
              <w:t>space</w:t>
            </w:r>
            <w:r>
              <w:rPr>
                <w:color w:val="231F20"/>
                <w:spacing w:val="-4"/>
                <w:w w:val="105"/>
                <w:sz w:val="16"/>
              </w:rPr>
              <w:t xml:space="preserve"> </w:t>
            </w:r>
            <w:r>
              <w:rPr>
                <w:color w:val="231F20"/>
                <w:w w:val="105"/>
                <w:sz w:val="16"/>
              </w:rPr>
              <w:t>in</w:t>
            </w:r>
            <w:r>
              <w:rPr>
                <w:color w:val="231F20"/>
                <w:spacing w:val="-4"/>
                <w:w w:val="105"/>
                <w:sz w:val="16"/>
              </w:rPr>
              <w:t xml:space="preserve"> </w:t>
            </w:r>
            <w:proofErr w:type="spellStart"/>
            <w:r>
              <w:rPr>
                <w:color w:val="231F20"/>
                <w:w w:val="105"/>
                <w:sz w:val="16"/>
              </w:rPr>
              <w:t>metres</w:t>
            </w:r>
            <w:proofErr w:type="spellEnd"/>
            <w:r>
              <w:rPr>
                <w:color w:val="231F20"/>
                <w:spacing w:val="-4"/>
                <w:w w:val="105"/>
                <w:sz w:val="16"/>
              </w:rPr>
              <w:t xml:space="preserve"> </w:t>
            </w:r>
            <w:r>
              <w:rPr>
                <w:color w:val="231F20"/>
                <w:w w:val="105"/>
                <w:sz w:val="16"/>
              </w:rPr>
              <w:t>squared</w:t>
            </w:r>
            <w:r>
              <w:rPr>
                <w:color w:val="231F20"/>
                <w:spacing w:val="-4"/>
                <w:w w:val="105"/>
                <w:sz w:val="16"/>
              </w:rPr>
              <w:t xml:space="preserve"> (m2)</w:t>
            </w:r>
          </w:p>
        </w:tc>
        <w:tc>
          <w:tcPr>
            <w:tcW w:w="1417" w:type="dxa"/>
            <w:shd w:val="clear" w:color="auto" w:fill="F0F2F4"/>
            <w:vAlign w:val="center"/>
          </w:tcPr>
          <w:p w14:paraId="38DA38B9" w14:textId="77777777" w:rsidR="0038049D" w:rsidRPr="00487D35" w:rsidRDefault="0038049D" w:rsidP="005A1628">
            <w:pPr>
              <w:pStyle w:val="TableParagraph"/>
              <w:ind w:right="90"/>
              <w:jc w:val="right"/>
              <w:rPr>
                <w:sz w:val="18"/>
                <w:szCs w:val="18"/>
              </w:rPr>
            </w:pPr>
            <w:r w:rsidRPr="00487D35">
              <w:rPr>
                <w:color w:val="231F20"/>
                <w:spacing w:val="-2"/>
                <w:sz w:val="18"/>
                <w:szCs w:val="18"/>
              </w:rPr>
              <w:t>5,798</w:t>
            </w:r>
          </w:p>
        </w:tc>
        <w:tc>
          <w:tcPr>
            <w:tcW w:w="1134" w:type="dxa"/>
            <w:shd w:val="clear" w:color="auto" w:fill="F0F2F4"/>
            <w:vAlign w:val="center"/>
          </w:tcPr>
          <w:p w14:paraId="26BEE86D" w14:textId="77777777" w:rsidR="0038049D" w:rsidRPr="00487D35" w:rsidRDefault="0038049D" w:rsidP="005A1628">
            <w:pPr>
              <w:pStyle w:val="TableParagraph"/>
              <w:ind w:right="90"/>
              <w:jc w:val="right"/>
              <w:rPr>
                <w:color w:val="231F20"/>
                <w:spacing w:val="-2"/>
                <w:sz w:val="18"/>
                <w:szCs w:val="18"/>
              </w:rPr>
            </w:pPr>
            <w:r w:rsidRPr="00487D35">
              <w:rPr>
                <w:color w:val="231F20"/>
                <w:spacing w:val="-2"/>
                <w:sz w:val="18"/>
                <w:szCs w:val="18"/>
              </w:rPr>
              <w:t>7,712</w:t>
            </w:r>
          </w:p>
        </w:tc>
        <w:tc>
          <w:tcPr>
            <w:tcW w:w="1418" w:type="dxa"/>
            <w:shd w:val="clear" w:color="auto" w:fill="F0F2F4"/>
            <w:vAlign w:val="center"/>
          </w:tcPr>
          <w:p w14:paraId="04E76190" w14:textId="77777777" w:rsidR="0038049D" w:rsidRPr="00487D35" w:rsidRDefault="0038049D" w:rsidP="005A1628">
            <w:pPr>
              <w:pStyle w:val="TableParagraph"/>
              <w:ind w:right="90"/>
              <w:jc w:val="right"/>
              <w:rPr>
                <w:color w:val="231F20"/>
                <w:spacing w:val="-2"/>
                <w:sz w:val="18"/>
                <w:szCs w:val="18"/>
              </w:rPr>
            </w:pPr>
            <w:r w:rsidRPr="00487D35">
              <w:rPr>
                <w:color w:val="231F20"/>
                <w:spacing w:val="-2"/>
                <w:sz w:val="18"/>
                <w:szCs w:val="18"/>
              </w:rPr>
              <w:t>7,791</w:t>
            </w:r>
          </w:p>
        </w:tc>
        <w:tc>
          <w:tcPr>
            <w:tcW w:w="1275" w:type="dxa"/>
            <w:shd w:val="clear" w:color="auto" w:fill="F0F2F4"/>
            <w:vAlign w:val="center"/>
          </w:tcPr>
          <w:p w14:paraId="3B967B20" w14:textId="77777777" w:rsidR="0038049D" w:rsidRPr="00487D35" w:rsidRDefault="0038049D" w:rsidP="005A1628">
            <w:pPr>
              <w:pStyle w:val="TableParagraph"/>
              <w:ind w:right="90"/>
              <w:jc w:val="right"/>
              <w:rPr>
                <w:color w:val="231F20"/>
                <w:spacing w:val="-2"/>
                <w:sz w:val="18"/>
                <w:szCs w:val="18"/>
              </w:rPr>
            </w:pPr>
            <w:r w:rsidRPr="00487D35">
              <w:rPr>
                <w:color w:val="231F20"/>
                <w:spacing w:val="-2"/>
                <w:sz w:val="18"/>
                <w:szCs w:val="18"/>
              </w:rPr>
              <w:t>7,872</w:t>
            </w:r>
          </w:p>
        </w:tc>
        <w:tc>
          <w:tcPr>
            <w:tcW w:w="1276" w:type="dxa"/>
            <w:shd w:val="clear" w:color="auto" w:fill="F0F2F4"/>
            <w:vAlign w:val="center"/>
          </w:tcPr>
          <w:p w14:paraId="16FE3BBE" w14:textId="77777777" w:rsidR="0038049D" w:rsidRPr="00487D35" w:rsidRDefault="0038049D" w:rsidP="005A1628">
            <w:pPr>
              <w:pStyle w:val="TableParagraph"/>
              <w:ind w:right="90"/>
              <w:jc w:val="right"/>
              <w:rPr>
                <w:color w:val="231F20"/>
                <w:spacing w:val="-2"/>
                <w:sz w:val="18"/>
                <w:szCs w:val="18"/>
              </w:rPr>
            </w:pPr>
            <w:r w:rsidRPr="00487D35">
              <w:rPr>
                <w:color w:val="231F20"/>
                <w:spacing w:val="-2"/>
                <w:sz w:val="18"/>
                <w:szCs w:val="18"/>
              </w:rPr>
              <w:t>7,872</w:t>
            </w:r>
          </w:p>
        </w:tc>
        <w:tc>
          <w:tcPr>
            <w:tcW w:w="1276" w:type="dxa"/>
            <w:shd w:val="clear" w:color="auto" w:fill="F0F2F4"/>
            <w:vAlign w:val="center"/>
          </w:tcPr>
          <w:p w14:paraId="32469595" w14:textId="77777777" w:rsidR="0038049D" w:rsidRPr="00487D35" w:rsidRDefault="0038049D" w:rsidP="005A1628">
            <w:pPr>
              <w:pStyle w:val="TableParagraph"/>
              <w:ind w:right="90"/>
              <w:jc w:val="right"/>
              <w:rPr>
                <w:color w:val="231F20"/>
                <w:spacing w:val="-2"/>
                <w:sz w:val="18"/>
                <w:szCs w:val="18"/>
              </w:rPr>
            </w:pPr>
            <w:r w:rsidRPr="00487D35">
              <w:rPr>
                <w:color w:val="231F20"/>
                <w:spacing w:val="-2"/>
                <w:sz w:val="18"/>
                <w:szCs w:val="18"/>
              </w:rPr>
              <w:t>7,872</w:t>
            </w:r>
          </w:p>
        </w:tc>
        <w:tc>
          <w:tcPr>
            <w:tcW w:w="1276" w:type="dxa"/>
            <w:shd w:val="clear" w:color="auto" w:fill="F0F2F4"/>
            <w:vAlign w:val="center"/>
          </w:tcPr>
          <w:p w14:paraId="58E53963" w14:textId="77777777" w:rsidR="0038049D" w:rsidRPr="00487D35" w:rsidRDefault="0038049D" w:rsidP="005A1628">
            <w:pPr>
              <w:pStyle w:val="TableParagraph"/>
              <w:ind w:right="90"/>
              <w:jc w:val="right"/>
              <w:rPr>
                <w:color w:val="231F20"/>
                <w:spacing w:val="-2"/>
                <w:sz w:val="18"/>
                <w:szCs w:val="18"/>
              </w:rPr>
            </w:pPr>
            <w:r w:rsidRPr="00487D35">
              <w:rPr>
                <w:color w:val="000000" w:themeColor="text1"/>
                <w:spacing w:val="-2"/>
                <w:sz w:val="18"/>
                <w:szCs w:val="18"/>
              </w:rPr>
              <w:t>7,872</w:t>
            </w:r>
          </w:p>
        </w:tc>
      </w:tr>
      <w:tr w:rsidR="0038049D" w:rsidRPr="00487D35" w14:paraId="60158F9E" w14:textId="77777777" w:rsidTr="005A1628">
        <w:trPr>
          <w:trHeight w:val="263"/>
          <w:jc w:val="center"/>
        </w:trPr>
        <w:tc>
          <w:tcPr>
            <w:tcW w:w="2127" w:type="dxa"/>
            <w:vMerge/>
            <w:tcBorders>
              <w:top w:val="nil"/>
              <w:left w:val="nil"/>
            </w:tcBorders>
            <w:shd w:val="clear" w:color="auto" w:fill="9DA9B4"/>
            <w:vAlign w:val="center"/>
          </w:tcPr>
          <w:p w14:paraId="20FD8515" w14:textId="77777777" w:rsidR="0038049D" w:rsidRDefault="0038049D" w:rsidP="005A1628">
            <w:pPr>
              <w:rPr>
                <w:sz w:val="2"/>
                <w:szCs w:val="2"/>
              </w:rPr>
            </w:pPr>
          </w:p>
        </w:tc>
        <w:tc>
          <w:tcPr>
            <w:tcW w:w="3969" w:type="dxa"/>
            <w:tcBorders>
              <w:bottom w:val="single" w:sz="8" w:space="0" w:color="206CAC"/>
            </w:tcBorders>
            <w:shd w:val="clear" w:color="auto" w:fill="F0F2F4"/>
            <w:vAlign w:val="center"/>
          </w:tcPr>
          <w:p w14:paraId="38E74C1F" w14:textId="77777777" w:rsidR="0038049D" w:rsidRDefault="0038049D" w:rsidP="005A1628">
            <w:pPr>
              <w:pStyle w:val="TableParagraph"/>
              <w:ind w:left="170"/>
              <w:rPr>
                <w:sz w:val="16"/>
              </w:rPr>
            </w:pPr>
            <w:r>
              <w:rPr>
                <w:color w:val="231F20"/>
                <w:sz w:val="16"/>
              </w:rPr>
              <w:t>Festivals</w:t>
            </w:r>
            <w:r>
              <w:rPr>
                <w:color w:val="231F20"/>
                <w:spacing w:val="18"/>
                <w:sz w:val="16"/>
              </w:rPr>
              <w:t xml:space="preserve"> </w:t>
            </w:r>
            <w:r>
              <w:rPr>
                <w:color w:val="231F20"/>
                <w:sz w:val="16"/>
              </w:rPr>
              <w:t>/</w:t>
            </w:r>
            <w:r>
              <w:rPr>
                <w:color w:val="231F20"/>
                <w:spacing w:val="19"/>
                <w:sz w:val="16"/>
              </w:rPr>
              <w:t xml:space="preserve"> </w:t>
            </w:r>
            <w:r>
              <w:rPr>
                <w:color w:val="231F20"/>
                <w:sz w:val="16"/>
              </w:rPr>
              <w:t>tourism</w:t>
            </w:r>
            <w:r>
              <w:rPr>
                <w:color w:val="231F20"/>
                <w:spacing w:val="19"/>
                <w:sz w:val="16"/>
              </w:rPr>
              <w:t xml:space="preserve"> </w:t>
            </w:r>
            <w:r>
              <w:rPr>
                <w:color w:val="231F20"/>
                <w:spacing w:val="-2"/>
                <w:sz w:val="16"/>
              </w:rPr>
              <w:t>events</w:t>
            </w:r>
          </w:p>
        </w:tc>
        <w:tc>
          <w:tcPr>
            <w:tcW w:w="1417" w:type="dxa"/>
            <w:tcBorders>
              <w:bottom w:val="single" w:sz="8" w:space="0" w:color="206CAC"/>
            </w:tcBorders>
            <w:shd w:val="clear" w:color="auto" w:fill="F0F2F4"/>
            <w:vAlign w:val="center"/>
          </w:tcPr>
          <w:p w14:paraId="1C6024C5" w14:textId="77777777" w:rsidR="0038049D" w:rsidRPr="00487D35" w:rsidRDefault="0038049D" w:rsidP="005A1628">
            <w:pPr>
              <w:pStyle w:val="TableParagraph"/>
              <w:ind w:right="90"/>
              <w:jc w:val="right"/>
              <w:rPr>
                <w:sz w:val="18"/>
                <w:szCs w:val="18"/>
              </w:rPr>
            </w:pPr>
            <w:r w:rsidRPr="00487D35">
              <w:rPr>
                <w:color w:val="231F20"/>
                <w:spacing w:val="-5"/>
                <w:sz w:val="18"/>
                <w:szCs w:val="18"/>
              </w:rPr>
              <w:t>11</w:t>
            </w:r>
          </w:p>
        </w:tc>
        <w:tc>
          <w:tcPr>
            <w:tcW w:w="1134" w:type="dxa"/>
            <w:tcBorders>
              <w:bottom w:val="single" w:sz="8" w:space="0" w:color="206CAC"/>
            </w:tcBorders>
            <w:shd w:val="clear" w:color="auto" w:fill="F0F2F4"/>
            <w:vAlign w:val="center"/>
          </w:tcPr>
          <w:p w14:paraId="2F6F556F" w14:textId="77777777" w:rsidR="0038049D" w:rsidRPr="00487D35" w:rsidRDefault="0038049D" w:rsidP="005A1628">
            <w:pPr>
              <w:pStyle w:val="TableParagraph"/>
              <w:ind w:right="90"/>
              <w:jc w:val="right"/>
              <w:rPr>
                <w:color w:val="231F20"/>
                <w:spacing w:val="-5"/>
                <w:sz w:val="18"/>
                <w:szCs w:val="18"/>
              </w:rPr>
            </w:pPr>
            <w:r w:rsidRPr="00487D35">
              <w:rPr>
                <w:color w:val="231F20"/>
                <w:spacing w:val="-5"/>
                <w:sz w:val="18"/>
                <w:szCs w:val="18"/>
              </w:rPr>
              <w:t>2</w:t>
            </w:r>
          </w:p>
        </w:tc>
        <w:tc>
          <w:tcPr>
            <w:tcW w:w="1418" w:type="dxa"/>
            <w:tcBorders>
              <w:bottom w:val="single" w:sz="8" w:space="0" w:color="206CAC"/>
            </w:tcBorders>
            <w:shd w:val="clear" w:color="auto" w:fill="F0F2F4"/>
            <w:vAlign w:val="center"/>
          </w:tcPr>
          <w:p w14:paraId="5D2D622F" w14:textId="77777777" w:rsidR="0038049D" w:rsidRPr="00487D35" w:rsidRDefault="0038049D" w:rsidP="005A1628">
            <w:pPr>
              <w:pStyle w:val="TableParagraph"/>
              <w:ind w:right="90"/>
              <w:jc w:val="right"/>
              <w:rPr>
                <w:color w:val="231F20"/>
                <w:spacing w:val="-5"/>
                <w:sz w:val="18"/>
                <w:szCs w:val="18"/>
              </w:rPr>
            </w:pPr>
            <w:r w:rsidRPr="00487D35">
              <w:rPr>
                <w:color w:val="231F20"/>
                <w:spacing w:val="-5"/>
                <w:sz w:val="18"/>
                <w:szCs w:val="18"/>
              </w:rPr>
              <w:t>2</w:t>
            </w:r>
          </w:p>
        </w:tc>
        <w:tc>
          <w:tcPr>
            <w:tcW w:w="1275" w:type="dxa"/>
            <w:tcBorders>
              <w:bottom w:val="single" w:sz="8" w:space="0" w:color="206CAC"/>
            </w:tcBorders>
            <w:shd w:val="clear" w:color="auto" w:fill="F0F2F4"/>
            <w:vAlign w:val="center"/>
          </w:tcPr>
          <w:p w14:paraId="311C7D44" w14:textId="77777777" w:rsidR="0038049D" w:rsidRPr="00487D35" w:rsidRDefault="0038049D" w:rsidP="005A1628">
            <w:pPr>
              <w:pStyle w:val="TableParagraph"/>
              <w:ind w:right="90"/>
              <w:jc w:val="right"/>
              <w:rPr>
                <w:color w:val="231F20"/>
                <w:spacing w:val="-5"/>
                <w:sz w:val="18"/>
                <w:szCs w:val="18"/>
              </w:rPr>
            </w:pPr>
            <w:r w:rsidRPr="00487D35">
              <w:rPr>
                <w:color w:val="231F20"/>
                <w:spacing w:val="-5"/>
                <w:sz w:val="18"/>
                <w:szCs w:val="18"/>
              </w:rPr>
              <w:t>7</w:t>
            </w:r>
          </w:p>
        </w:tc>
        <w:tc>
          <w:tcPr>
            <w:tcW w:w="1276" w:type="dxa"/>
            <w:tcBorders>
              <w:bottom w:val="single" w:sz="8" w:space="0" w:color="206CAC"/>
            </w:tcBorders>
            <w:shd w:val="clear" w:color="auto" w:fill="F0F2F4"/>
            <w:vAlign w:val="center"/>
          </w:tcPr>
          <w:p w14:paraId="2CFE6B87" w14:textId="77777777" w:rsidR="0038049D" w:rsidRPr="00487D35" w:rsidRDefault="0038049D" w:rsidP="005A1628">
            <w:pPr>
              <w:pStyle w:val="TableParagraph"/>
              <w:ind w:right="90"/>
              <w:jc w:val="right"/>
              <w:rPr>
                <w:color w:val="231F20"/>
                <w:spacing w:val="-5"/>
                <w:sz w:val="18"/>
                <w:szCs w:val="18"/>
              </w:rPr>
            </w:pPr>
            <w:r w:rsidRPr="00487D35">
              <w:rPr>
                <w:color w:val="231F20"/>
                <w:spacing w:val="-5"/>
                <w:sz w:val="18"/>
                <w:szCs w:val="18"/>
              </w:rPr>
              <w:t>7</w:t>
            </w:r>
          </w:p>
        </w:tc>
        <w:tc>
          <w:tcPr>
            <w:tcW w:w="1276" w:type="dxa"/>
            <w:tcBorders>
              <w:bottom w:val="single" w:sz="8" w:space="0" w:color="206CAC"/>
            </w:tcBorders>
            <w:shd w:val="clear" w:color="auto" w:fill="F0F2F4"/>
            <w:vAlign w:val="center"/>
          </w:tcPr>
          <w:p w14:paraId="376FDB02" w14:textId="77777777" w:rsidR="0038049D" w:rsidRPr="00487D35" w:rsidRDefault="0038049D" w:rsidP="005A1628">
            <w:pPr>
              <w:pStyle w:val="TableParagraph"/>
              <w:ind w:right="90"/>
              <w:jc w:val="right"/>
              <w:rPr>
                <w:color w:val="231F20"/>
                <w:spacing w:val="-5"/>
                <w:sz w:val="18"/>
                <w:szCs w:val="18"/>
              </w:rPr>
            </w:pPr>
            <w:r w:rsidRPr="00487D35">
              <w:rPr>
                <w:color w:val="231F20"/>
                <w:spacing w:val="-5"/>
                <w:sz w:val="18"/>
                <w:szCs w:val="18"/>
              </w:rPr>
              <w:t>8</w:t>
            </w:r>
          </w:p>
        </w:tc>
        <w:tc>
          <w:tcPr>
            <w:tcW w:w="1276" w:type="dxa"/>
            <w:tcBorders>
              <w:bottom w:val="single" w:sz="8" w:space="0" w:color="206CAC"/>
            </w:tcBorders>
            <w:shd w:val="clear" w:color="auto" w:fill="F0F2F4"/>
            <w:vAlign w:val="center"/>
          </w:tcPr>
          <w:p w14:paraId="5931A1B5" w14:textId="77777777" w:rsidR="0038049D" w:rsidRPr="00487D35" w:rsidRDefault="0038049D" w:rsidP="005A1628">
            <w:pPr>
              <w:pStyle w:val="TableParagraph"/>
              <w:ind w:right="90"/>
              <w:jc w:val="right"/>
              <w:rPr>
                <w:color w:val="231F20"/>
                <w:spacing w:val="-5"/>
                <w:sz w:val="18"/>
                <w:szCs w:val="18"/>
              </w:rPr>
            </w:pPr>
            <w:r w:rsidRPr="00487D35">
              <w:rPr>
                <w:color w:val="231F20"/>
                <w:spacing w:val="-5"/>
                <w:sz w:val="18"/>
                <w:szCs w:val="18"/>
              </w:rPr>
              <w:t>13</w:t>
            </w:r>
          </w:p>
        </w:tc>
      </w:tr>
      <w:tr w:rsidR="0038049D" w:rsidRPr="00487D35" w14:paraId="526DB77C" w14:textId="77777777" w:rsidTr="005A1628">
        <w:trPr>
          <w:trHeight w:val="263"/>
          <w:jc w:val="center"/>
        </w:trPr>
        <w:tc>
          <w:tcPr>
            <w:tcW w:w="2127" w:type="dxa"/>
            <w:vMerge w:val="restart"/>
            <w:tcBorders>
              <w:left w:val="nil"/>
            </w:tcBorders>
            <w:shd w:val="clear" w:color="auto" w:fill="5790C0"/>
            <w:vAlign w:val="center"/>
          </w:tcPr>
          <w:p w14:paraId="36338BB2" w14:textId="77777777" w:rsidR="0038049D" w:rsidRDefault="0038049D" w:rsidP="005A1628">
            <w:pPr>
              <w:pStyle w:val="TableParagraph"/>
              <w:spacing w:before="1" w:line="189" w:lineRule="auto"/>
              <w:ind w:left="180"/>
              <w:rPr>
                <w:rFonts w:ascii="Arial Black"/>
                <w:sz w:val="18"/>
              </w:rPr>
            </w:pPr>
            <w:r>
              <w:rPr>
                <w:rFonts w:ascii="Arial Black"/>
                <w:color w:val="FFFFFF"/>
                <w:spacing w:val="-2"/>
                <w:w w:val="90"/>
                <w:sz w:val="18"/>
              </w:rPr>
              <w:t>Land</w:t>
            </w:r>
            <w:r>
              <w:rPr>
                <w:rFonts w:ascii="Arial Black"/>
                <w:color w:val="FFFFFF"/>
                <w:spacing w:val="-8"/>
                <w:w w:val="90"/>
                <w:sz w:val="18"/>
              </w:rPr>
              <w:t xml:space="preserve"> </w:t>
            </w:r>
            <w:r>
              <w:rPr>
                <w:rFonts w:ascii="Arial Black"/>
                <w:color w:val="FFFFFF"/>
                <w:spacing w:val="-2"/>
                <w:w w:val="90"/>
                <w:sz w:val="18"/>
              </w:rPr>
              <w:t>use,</w:t>
            </w:r>
            <w:r>
              <w:rPr>
                <w:rFonts w:ascii="Arial Black"/>
                <w:color w:val="FFFFFF"/>
                <w:spacing w:val="-8"/>
                <w:w w:val="90"/>
                <w:sz w:val="18"/>
              </w:rPr>
              <w:t xml:space="preserve"> </w:t>
            </w:r>
            <w:r>
              <w:rPr>
                <w:rFonts w:ascii="Arial Black"/>
                <w:color w:val="FFFFFF"/>
                <w:spacing w:val="-2"/>
                <w:w w:val="90"/>
                <w:sz w:val="18"/>
              </w:rPr>
              <w:t xml:space="preserve">planning </w:t>
            </w:r>
            <w:r>
              <w:rPr>
                <w:rFonts w:ascii="Arial Black"/>
                <w:color w:val="FFFFFF"/>
                <w:w w:val="90"/>
                <w:sz w:val="18"/>
              </w:rPr>
              <w:t>and</w:t>
            </w:r>
            <w:r>
              <w:rPr>
                <w:rFonts w:ascii="Arial Black"/>
                <w:color w:val="FFFFFF"/>
                <w:spacing w:val="-5"/>
                <w:w w:val="90"/>
                <w:sz w:val="18"/>
              </w:rPr>
              <w:t xml:space="preserve"> </w:t>
            </w:r>
            <w:r>
              <w:rPr>
                <w:rFonts w:ascii="Arial Black"/>
                <w:color w:val="FFFFFF"/>
                <w:spacing w:val="-2"/>
                <w:w w:val="90"/>
                <w:sz w:val="18"/>
              </w:rPr>
              <w:t>transportation</w:t>
            </w:r>
          </w:p>
        </w:tc>
        <w:tc>
          <w:tcPr>
            <w:tcW w:w="3969" w:type="dxa"/>
            <w:tcBorders>
              <w:top w:val="single" w:sz="8" w:space="0" w:color="206CAC"/>
            </w:tcBorders>
            <w:shd w:val="clear" w:color="auto" w:fill="F3F4F9"/>
            <w:vAlign w:val="center"/>
          </w:tcPr>
          <w:p w14:paraId="728309B2" w14:textId="77777777" w:rsidR="0038049D" w:rsidRDefault="0038049D" w:rsidP="005A1628">
            <w:pPr>
              <w:pStyle w:val="TableParagraph"/>
              <w:ind w:left="170"/>
              <w:rPr>
                <w:sz w:val="16"/>
              </w:rPr>
            </w:pPr>
            <w:r>
              <w:rPr>
                <w:color w:val="231F20"/>
                <w:w w:val="105"/>
                <w:sz w:val="16"/>
              </w:rPr>
              <w:t>Private</w:t>
            </w:r>
            <w:r>
              <w:rPr>
                <w:color w:val="231F20"/>
                <w:spacing w:val="-8"/>
                <w:w w:val="105"/>
                <w:sz w:val="16"/>
              </w:rPr>
              <w:t xml:space="preserve"> </w:t>
            </w:r>
            <w:r>
              <w:rPr>
                <w:color w:val="231F20"/>
                <w:w w:val="105"/>
                <w:sz w:val="16"/>
              </w:rPr>
              <w:t>homes</w:t>
            </w:r>
            <w:r>
              <w:rPr>
                <w:color w:val="231F20"/>
                <w:spacing w:val="-8"/>
                <w:w w:val="105"/>
                <w:sz w:val="16"/>
              </w:rPr>
              <w:t xml:space="preserve"> </w:t>
            </w:r>
            <w:r>
              <w:rPr>
                <w:color w:val="231F20"/>
                <w:w w:val="105"/>
                <w:sz w:val="16"/>
              </w:rPr>
              <w:t>completed</w:t>
            </w:r>
          </w:p>
        </w:tc>
        <w:tc>
          <w:tcPr>
            <w:tcW w:w="1417" w:type="dxa"/>
            <w:tcBorders>
              <w:top w:val="single" w:sz="8" w:space="0" w:color="206CAC"/>
            </w:tcBorders>
            <w:shd w:val="clear" w:color="auto" w:fill="F3F4F9"/>
            <w:vAlign w:val="center"/>
          </w:tcPr>
          <w:p w14:paraId="2817F04B" w14:textId="77777777" w:rsidR="0038049D" w:rsidRPr="00487D35" w:rsidRDefault="0038049D" w:rsidP="005A1628">
            <w:pPr>
              <w:pStyle w:val="TableParagraph"/>
              <w:ind w:right="90"/>
              <w:jc w:val="right"/>
              <w:rPr>
                <w:sz w:val="18"/>
                <w:szCs w:val="18"/>
              </w:rPr>
            </w:pPr>
            <w:r w:rsidRPr="00487D35">
              <w:rPr>
                <w:color w:val="231F20"/>
                <w:spacing w:val="-2"/>
                <w:sz w:val="18"/>
                <w:szCs w:val="18"/>
              </w:rPr>
              <w:t>1,107</w:t>
            </w:r>
          </w:p>
        </w:tc>
        <w:tc>
          <w:tcPr>
            <w:tcW w:w="1134" w:type="dxa"/>
            <w:tcBorders>
              <w:top w:val="single" w:sz="8" w:space="0" w:color="206CAC"/>
            </w:tcBorders>
            <w:shd w:val="clear" w:color="auto" w:fill="F3F4F9"/>
            <w:vAlign w:val="center"/>
          </w:tcPr>
          <w:p w14:paraId="396A4630" w14:textId="77777777" w:rsidR="0038049D" w:rsidRPr="00487D35" w:rsidRDefault="0038049D" w:rsidP="005A1628">
            <w:pPr>
              <w:pStyle w:val="TableParagraph"/>
              <w:ind w:right="90"/>
              <w:jc w:val="right"/>
              <w:rPr>
                <w:color w:val="231F20"/>
                <w:spacing w:val="-2"/>
                <w:sz w:val="18"/>
                <w:szCs w:val="18"/>
              </w:rPr>
            </w:pPr>
            <w:r w:rsidRPr="00487D35">
              <w:rPr>
                <w:color w:val="231F20"/>
                <w:spacing w:val="-2"/>
                <w:sz w:val="18"/>
                <w:szCs w:val="18"/>
              </w:rPr>
              <w:t>949</w:t>
            </w:r>
          </w:p>
        </w:tc>
        <w:tc>
          <w:tcPr>
            <w:tcW w:w="1418" w:type="dxa"/>
            <w:tcBorders>
              <w:top w:val="single" w:sz="8" w:space="0" w:color="206CAC"/>
            </w:tcBorders>
            <w:shd w:val="clear" w:color="auto" w:fill="F3F4F9"/>
            <w:vAlign w:val="center"/>
          </w:tcPr>
          <w:p w14:paraId="3D136A37" w14:textId="77777777" w:rsidR="0038049D" w:rsidRPr="00487D35" w:rsidRDefault="0038049D" w:rsidP="005A1628">
            <w:pPr>
              <w:pStyle w:val="TableParagraph"/>
              <w:ind w:right="90"/>
              <w:jc w:val="right"/>
              <w:rPr>
                <w:color w:val="231F20"/>
                <w:spacing w:val="-2"/>
                <w:sz w:val="18"/>
                <w:szCs w:val="18"/>
              </w:rPr>
            </w:pPr>
            <w:r w:rsidRPr="00487D35">
              <w:rPr>
                <w:color w:val="231F20"/>
                <w:spacing w:val="-2"/>
                <w:sz w:val="18"/>
                <w:szCs w:val="18"/>
              </w:rPr>
              <w:t>696</w:t>
            </w:r>
          </w:p>
        </w:tc>
        <w:tc>
          <w:tcPr>
            <w:tcW w:w="1275" w:type="dxa"/>
            <w:tcBorders>
              <w:top w:val="single" w:sz="8" w:space="0" w:color="206CAC"/>
            </w:tcBorders>
            <w:shd w:val="clear" w:color="auto" w:fill="F3F4F9"/>
            <w:vAlign w:val="center"/>
          </w:tcPr>
          <w:p w14:paraId="2CDEA476" w14:textId="77777777" w:rsidR="0038049D" w:rsidRPr="00487D35" w:rsidRDefault="0038049D" w:rsidP="005A1628">
            <w:pPr>
              <w:pStyle w:val="TableParagraph"/>
              <w:ind w:right="90"/>
              <w:jc w:val="right"/>
              <w:rPr>
                <w:color w:val="231F20"/>
                <w:spacing w:val="-2"/>
                <w:sz w:val="18"/>
                <w:szCs w:val="18"/>
              </w:rPr>
            </w:pPr>
            <w:r w:rsidRPr="00487D35">
              <w:rPr>
                <w:color w:val="231F20"/>
                <w:spacing w:val="-2"/>
                <w:sz w:val="18"/>
                <w:szCs w:val="18"/>
              </w:rPr>
              <w:t>1,659</w:t>
            </w:r>
          </w:p>
        </w:tc>
        <w:tc>
          <w:tcPr>
            <w:tcW w:w="1276" w:type="dxa"/>
            <w:tcBorders>
              <w:top w:val="single" w:sz="8" w:space="0" w:color="206CAC"/>
            </w:tcBorders>
            <w:shd w:val="clear" w:color="auto" w:fill="F3F4F9"/>
            <w:vAlign w:val="center"/>
          </w:tcPr>
          <w:p w14:paraId="74580C98" w14:textId="77777777" w:rsidR="0038049D" w:rsidRPr="00487D35" w:rsidRDefault="0038049D" w:rsidP="005A1628">
            <w:pPr>
              <w:pStyle w:val="TableParagraph"/>
              <w:ind w:right="90"/>
              <w:jc w:val="right"/>
              <w:rPr>
                <w:color w:val="231F20"/>
                <w:spacing w:val="-2"/>
                <w:sz w:val="18"/>
                <w:szCs w:val="18"/>
              </w:rPr>
            </w:pPr>
            <w:r w:rsidRPr="00487D35">
              <w:rPr>
                <w:color w:val="231F20"/>
                <w:spacing w:val="-2"/>
                <w:sz w:val="18"/>
                <w:szCs w:val="18"/>
              </w:rPr>
              <w:t>2,029</w:t>
            </w:r>
          </w:p>
        </w:tc>
        <w:tc>
          <w:tcPr>
            <w:tcW w:w="1276" w:type="dxa"/>
            <w:tcBorders>
              <w:top w:val="single" w:sz="8" w:space="0" w:color="206CAC"/>
            </w:tcBorders>
            <w:shd w:val="clear" w:color="auto" w:fill="F3F4F9"/>
            <w:vAlign w:val="center"/>
          </w:tcPr>
          <w:p w14:paraId="70E8193A" w14:textId="77777777" w:rsidR="0038049D" w:rsidRPr="00487D35" w:rsidRDefault="0038049D" w:rsidP="005A1628">
            <w:pPr>
              <w:pStyle w:val="TableParagraph"/>
              <w:ind w:right="90"/>
              <w:jc w:val="right"/>
              <w:rPr>
                <w:color w:val="231F20"/>
                <w:spacing w:val="-2"/>
                <w:sz w:val="18"/>
                <w:szCs w:val="18"/>
              </w:rPr>
            </w:pPr>
            <w:r w:rsidRPr="00487D35">
              <w:rPr>
                <w:color w:val="231F20"/>
                <w:spacing w:val="-2"/>
                <w:sz w:val="18"/>
                <w:szCs w:val="18"/>
              </w:rPr>
              <w:t>2,800</w:t>
            </w:r>
          </w:p>
        </w:tc>
        <w:tc>
          <w:tcPr>
            <w:tcW w:w="1276" w:type="dxa"/>
            <w:tcBorders>
              <w:top w:val="single" w:sz="8" w:space="0" w:color="206CAC"/>
            </w:tcBorders>
            <w:shd w:val="clear" w:color="auto" w:fill="F3F4F9"/>
            <w:vAlign w:val="center"/>
          </w:tcPr>
          <w:p w14:paraId="131CC993" w14:textId="77777777" w:rsidR="0038049D" w:rsidRPr="00487D35" w:rsidRDefault="0038049D" w:rsidP="005A1628">
            <w:pPr>
              <w:pStyle w:val="TableParagraph"/>
              <w:ind w:right="90"/>
              <w:jc w:val="right"/>
              <w:rPr>
                <w:color w:val="231F20"/>
                <w:spacing w:val="-2"/>
                <w:sz w:val="18"/>
                <w:szCs w:val="18"/>
              </w:rPr>
            </w:pPr>
            <w:r w:rsidRPr="00487D35">
              <w:rPr>
                <w:color w:val="000000" w:themeColor="text1"/>
                <w:spacing w:val="-2"/>
                <w:sz w:val="18"/>
                <w:szCs w:val="18"/>
              </w:rPr>
              <w:t xml:space="preserve">2,579 </w:t>
            </w:r>
          </w:p>
        </w:tc>
      </w:tr>
      <w:tr w:rsidR="0038049D" w:rsidRPr="00487D35" w14:paraId="3F50E357" w14:textId="77777777" w:rsidTr="005A1628">
        <w:trPr>
          <w:trHeight w:val="263"/>
          <w:jc w:val="center"/>
        </w:trPr>
        <w:tc>
          <w:tcPr>
            <w:tcW w:w="2127" w:type="dxa"/>
            <w:vMerge/>
            <w:tcBorders>
              <w:top w:val="nil"/>
              <w:left w:val="nil"/>
            </w:tcBorders>
            <w:shd w:val="clear" w:color="auto" w:fill="5790C0"/>
            <w:vAlign w:val="center"/>
          </w:tcPr>
          <w:p w14:paraId="5624FAE5" w14:textId="77777777" w:rsidR="0038049D" w:rsidRDefault="0038049D" w:rsidP="005A1628">
            <w:pPr>
              <w:rPr>
                <w:sz w:val="2"/>
                <w:szCs w:val="2"/>
              </w:rPr>
            </w:pPr>
          </w:p>
        </w:tc>
        <w:tc>
          <w:tcPr>
            <w:tcW w:w="3969" w:type="dxa"/>
            <w:shd w:val="clear" w:color="auto" w:fill="F3F4F9"/>
            <w:vAlign w:val="center"/>
          </w:tcPr>
          <w:p w14:paraId="63B9FDC7" w14:textId="77777777" w:rsidR="0038049D" w:rsidRDefault="0038049D" w:rsidP="005A1628">
            <w:pPr>
              <w:pStyle w:val="TableParagraph"/>
              <w:ind w:left="170"/>
              <w:rPr>
                <w:sz w:val="16"/>
              </w:rPr>
            </w:pPr>
            <w:r>
              <w:rPr>
                <w:color w:val="231F20"/>
                <w:sz w:val="16"/>
              </w:rPr>
              <w:t>New</w:t>
            </w:r>
            <w:r>
              <w:rPr>
                <w:color w:val="231F20"/>
                <w:spacing w:val="23"/>
                <w:sz w:val="16"/>
              </w:rPr>
              <w:t xml:space="preserve"> </w:t>
            </w:r>
            <w:r>
              <w:rPr>
                <w:color w:val="231F20"/>
                <w:sz w:val="16"/>
              </w:rPr>
              <w:t>and</w:t>
            </w:r>
            <w:r>
              <w:rPr>
                <w:color w:val="231F20"/>
                <w:spacing w:val="24"/>
                <w:sz w:val="16"/>
              </w:rPr>
              <w:t xml:space="preserve"> </w:t>
            </w:r>
            <w:r>
              <w:rPr>
                <w:color w:val="231F20"/>
                <w:sz w:val="16"/>
              </w:rPr>
              <w:t>upgraded</w:t>
            </w:r>
            <w:r>
              <w:rPr>
                <w:color w:val="231F20"/>
                <w:spacing w:val="24"/>
                <w:sz w:val="16"/>
              </w:rPr>
              <w:t xml:space="preserve"> </w:t>
            </w:r>
            <w:r>
              <w:rPr>
                <w:color w:val="231F20"/>
                <w:sz w:val="16"/>
              </w:rPr>
              <w:t>footpaths</w:t>
            </w:r>
            <w:r>
              <w:rPr>
                <w:color w:val="231F20"/>
                <w:spacing w:val="24"/>
                <w:sz w:val="16"/>
              </w:rPr>
              <w:t xml:space="preserve"> </w:t>
            </w:r>
            <w:r>
              <w:rPr>
                <w:color w:val="231F20"/>
                <w:sz w:val="16"/>
              </w:rPr>
              <w:t>-</w:t>
            </w:r>
            <w:r>
              <w:rPr>
                <w:color w:val="231F20"/>
                <w:spacing w:val="24"/>
                <w:sz w:val="16"/>
              </w:rPr>
              <w:t xml:space="preserve"> </w:t>
            </w:r>
            <w:r>
              <w:rPr>
                <w:color w:val="231F20"/>
                <w:sz w:val="16"/>
              </w:rPr>
              <w:t>in</w:t>
            </w:r>
            <w:r>
              <w:rPr>
                <w:color w:val="231F20"/>
                <w:spacing w:val="24"/>
                <w:sz w:val="16"/>
              </w:rPr>
              <w:t xml:space="preserve"> </w:t>
            </w:r>
            <w:proofErr w:type="spellStart"/>
            <w:r>
              <w:rPr>
                <w:color w:val="231F20"/>
                <w:sz w:val="16"/>
              </w:rPr>
              <w:t>metres</w:t>
            </w:r>
            <w:proofErr w:type="spellEnd"/>
            <w:r>
              <w:rPr>
                <w:color w:val="231F20"/>
                <w:spacing w:val="24"/>
                <w:sz w:val="16"/>
              </w:rPr>
              <w:t xml:space="preserve"> </w:t>
            </w:r>
            <w:r>
              <w:rPr>
                <w:color w:val="231F20"/>
                <w:sz w:val="16"/>
              </w:rPr>
              <w:t>squared</w:t>
            </w:r>
            <w:r>
              <w:rPr>
                <w:color w:val="231F20"/>
                <w:spacing w:val="24"/>
                <w:sz w:val="16"/>
              </w:rPr>
              <w:t xml:space="preserve"> </w:t>
            </w:r>
            <w:r>
              <w:rPr>
                <w:color w:val="231F20"/>
                <w:spacing w:val="-4"/>
                <w:sz w:val="16"/>
              </w:rPr>
              <w:t>(m2)</w:t>
            </w:r>
          </w:p>
        </w:tc>
        <w:tc>
          <w:tcPr>
            <w:tcW w:w="1417" w:type="dxa"/>
            <w:shd w:val="clear" w:color="auto" w:fill="F3F4F9"/>
            <w:vAlign w:val="center"/>
          </w:tcPr>
          <w:p w14:paraId="7149AC48" w14:textId="77777777" w:rsidR="0038049D" w:rsidRPr="00487D35" w:rsidRDefault="0038049D" w:rsidP="005A1628">
            <w:pPr>
              <w:pStyle w:val="TableParagraph"/>
              <w:ind w:right="89"/>
              <w:jc w:val="right"/>
              <w:rPr>
                <w:sz w:val="18"/>
                <w:szCs w:val="18"/>
              </w:rPr>
            </w:pPr>
            <w:r w:rsidRPr="00487D35">
              <w:rPr>
                <w:color w:val="231F20"/>
                <w:spacing w:val="-2"/>
                <w:sz w:val="18"/>
                <w:szCs w:val="18"/>
              </w:rPr>
              <w:t>74,644</w:t>
            </w:r>
          </w:p>
        </w:tc>
        <w:tc>
          <w:tcPr>
            <w:tcW w:w="1134" w:type="dxa"/>
            <w:shd w:val="clear" w:color="auto" w:fill="F3F4F9"/>
            <w:vAlign w:val="center"/>
          </w:tcPr>
          <w:p w14:paraId="32634310" w14:textId="77777777" w:rsidR="0038049D" w:rsidRPr="00487D35" w:rsidRDefault="0038049D" w:rsidP="005A1628">
            <w:pPr>
              <w:pStyle w:val="TableParagraph"/>
              <w:ind w:right="89"/>
              <w:jc w:val="right"/>
              <w:rPr>
                <w:color w:val="231F20"/>
                <w:spacing w:val="-2"/>
                <w:sz w:val="18"/>
                <w:szCs w:val="18"/>
              </w:rPr>
            </w:pPr>
            <w:r w:rsidRPr="00487D35">
              <w:rPr>
                <w:color w:val="231F20"/>
                <w:spacing w:val="-2"/>
                <w:sz w:val="18"/>
                <w:szCs w:val="18"/>
              </w:rPr>
              <w:t>60,903</w:t>
            </w:r>
          </w:p>
        </w:tc>
        <w:tc>
          <w:tcPr>
            <w:tcW w:w="1418" w:type="dxa"/>
            <w:shd w:val="clear" w:color="auto" w:fill="F3F4F9"/>
            <w:vAlign w:val="center"/>
          </w:tcPr>
          <w:p w14:paraId="25108EDC" w14:textId="77777777" w:rsidR="0038049D" w:rsidRPr="00487D35" w:rsidRDefault="0038049D" w:rsidP="005A1628">
            <w:pPr>
              <w:pStyle w:val="TableParagraph"/>
              <w:ind w:right="89"/>
              <w:jc w:val="right"/>
              <w:rPr>
                <w:color w:val="231F20"/>
                <w:spacing w:val="-2"/>
                <w:sz w:val="18"/>
                <w:szCs w:val="18"/>
              </w:rPr>
            </w:pPr>
            <w:r w:rsidRPr="00487D35">
              <w:rPr>
                <w:color w:val="231F20"/>
                <w:spacing w:val="-2"/>
                <w:sz w:val="18"/>
                <w:szCs w:val="18"/>
              </w:rPr>
              <w:t>1,100</w:t>
            </w:r>
          </w:p>
        </w:tc>
        <w:tc>
          <w:tcPr>
            <w:tcW w:w="1275" w:type="dxa"/>
            <w:shd w:val="clear" w:color="auto" w:fill="F3F4F9"/>
            <w:vAlign w:val="center"/>
          </w:tcPr>
          <w:p w14:paraId="074563CB" w14:textId="77777777" w:rsidR="0038049D" w:rsidRPr="00487D35" w:rsidRDefault="0038049D" w:rsidP="005A1628">
            <w:pPr>
              <w:pStyle w:val="TableParagraph"/>
              <w:ind w:right="89"/>
              <w:jc w:val="right"/>
              <w:rPr>
                <w:color w:val="231F20"/>
                <w:spacing w:val="-2"/>
                <w:sz w:val="18"/>
                <w:szCs w:val="18"/>
              </w:rPr>
            </w:pPr>
            <w:r w:rsidRPr="00487D35">
              <w:rPr>
                <w:color w:val="231F20"/>
                <w:spacing w:val="-2"/>
                <w:sz w:val="18"/>
                <w:szCs w:val="18"/>
              </w:rPr>
              <w:t>71,500</w:t>
            </w:r>
          </w:p>
        </w:tc>
        <w:tc>
          <w:tcPr>
            <w:tcW w:w="1276" w:type="dxa"/>
            <w:shd w:val="clear" w:color="auto" w:fill="F3F4F9"/>
            <w:vAlign w:val="center"/>
          </w:tcPr>
          <w:p w14:paraId="0C121C5F" w14:textId="77777777" w:rsidR="0038049D" w:rsidRPr="00487D35" w:rsidRDefault="0038049D" w:rsidP="005A1628">
            <w:pPr>
              <w:pStyle w:val="TableParagraph"/>
              <w:ind w:right="89"/>
              <w:jc w:val="right"/>
              <w:rPr>
                <w:color w:val="231F20"/>
                <w:spacing w:val="-2"/>
                <w:sz w:val="18"/>
                <w:szCs w:val="18"/>
              </w:rPr>
            </w:pPr>
            <w:r w:rsidRPr="00487D35">
              <w:rPr>
                <w:color w:val="231F20"/>
                <w:spacing w:val="-2"/>
                <w:sz w:val="18"/>
                <w:szCs w:val="18"/>
              </w:rPr>
              <w:t>67,231</w:t>
            </w:r>
          </w:p>
        </w:tc>
        <w:tc>
          <w:tcPr>
            <w:tcW w:w="1276" w:type="dxa"/>
            <w:shd w:val="clear" w:color="auto" w:fill="F3F4F9"/>
            <w:vAlign w:val="center"/>
          </w:tcPr>
          <w:p w14:paraId="2DD70FC7" w14:textId="77777777" w:rsidR="0038049D" w:rsidRPr="00487D35" w:rsidRDefault="0038049D" w:rsidP="005A1628">
            <w:pPr>
              <w:pStyle w:val="TableParagraph"/>
              <w:ind w:right="89"/>
              <w:jc w:val="right"/>
              <w:rPr>
                <w:color w:val="231F20"/>
                <w:spacing w:val="-2"/>
                <w:sz w:val="18"/>
                <w:szCs w:val="18"/>
              </w:rPr>
            </w:pPr>
            <w:r w:rsidRPr="00487D35">
              <w:rPr>
                <w:color w:val="231F20"/>
                <w:spacing w:val="-2"/>
                <w:sz w:val="18"/>
                <w:szCs w:val="18"/>
              </w:rPr>
              <w:t>67,000</w:t>
            </w:r>
          </w:p>
        </w:tc>
        <w:tc>
          <w:tcPr>
            <w:tcW w:w="1276" w:type="dxa"/>
            <w:shd w:val="clear" w:color="auto" w:fill="F3F4F9"/>
            <w:vAlign w:val="center"/>
          </w:tcPr>
          <w:p w14:paraId="2E84FFAA" w14:textId="77777777" w:rsidR="0038049D" w:rsidRPr="00487D35" w:rsidRDefault="0038049D" w:rsidP="005A1628">
            <w:pPr>
              <w:pStyle w:val="TableParagraph"/>
              <w:ind w:right="89"/>
              <w:jc w:val="right"/>
              <w:rPr>
                <w:color w:val="231F20"/>
                <w:spacing w:val="-2"/>
                <w:sz w:val="18"/>
                <w:szCs w:val="18"/>
              </w:rPr>
            </w:pPr>
            <w:r w:rsidRPr="00487D35">
              <w:rPr>
                <w:color w:val="231F20"/>
                <w:spacing w:val="-2"/>
                <w:sz w:val="18"/>
                <w:szCs w:val="18"/>
              </w:rPr>
              <w:t>61,483</w:t>
            </w:r>
          </w:p>
        </w:tc>
      </w:tr>
      <w:tr w:rsidR="0038049D" w:rsidRPr="00487D35" w14:paraId="2F03D5D4" w14:textId="77777777" w:rsidTr="005A1628">
        <w:trPr>
          <w:trHeight w:val="263"/>
          <w:jc w:val="center"/>
        </w:trPr>
        <w:tc>
          <w:tcPr>
            <w:tcW w:w="2127" w:type="dxa"/>
            <w:vMerge/>
            <w:tcBorders>
              <w:top w:val="nil"/>
              <w:left w:val="nil"/>
            </w:tcBorders>
            <w:shd w:val="clear" w:color="auto" w:fill="5790C0"/>
            <w:vAlign w:val="center"/>
          </w:tcPr>
          <w:p w14:paraId="1D2E5E7E" w14:textId="77777777" w:rsidR="0038049D" w:rsidRDefault="0038049D" w:rsidP="005A1628">
            <w:pPr>
              <w:rPr>
                <w:sz w:val="2"/>
                <w:szCs w:val="2"/>
              </w:rPr>
            </w:pPr>
          </w:p>
        </w:tc>
        <w:tc>
          <w:tcPr>
            <w:tcW w:w="3969" w:type="dxa"/>
            <w:shd w:val="clear" w:color="auto" w:fill="F3F4F9"/>
            <w:vAlign w:val="center"/>
          </w:tcPr>
          <w:p w14:paraId="16EBD21B" w14:textId="77777777" w:rsidR="0038049D" w:rsidRDefault="0038049D" w:rsidP="005A1628">
            <w:pPr>
              <w:pStyle w:val="TableParagraph"/>
              <w:ind w:left="170"/>
              <w:rPr>
                <w:sz w:val="16"/>
              </w:rPr>
            </w:pPr>
            <w:r>
              <w:rPr>
                <w:color w:val="231F20"/>
                <w:w w:val="105"/>
                <w:sz w:val="16"/>
              </w:rPr>
              <w:t>New</w:t>
            </w:r>
            <w:r>
              <w:rPr>
                <w:color w:val="231F20"/>
                <w:spacing w:val="-4"/>
                <w:w w:val="105"/>
                <w:sz w:val="16"/>
              </w:rPr>
              <w:t xml:space="preserve"> </w:t>
            </w:r>
            <w:r>
              <w:rPr>
                <w:color w:val="231F20"/>
                <w:w w:val="105"/>
                <w:sz w:val="16"/>
              </w:rPr>
              <w:t>and</w:t>
            </w:r>
            <w:r>
              <w:rPr>
                <w:color w:val="231F20"/>
                <w:spacing w:val="-4"/>
                <w:w w:val="105"/>
                <w:sz w:val="16"/>
              </w:rPr>
              <w:t xml:space="preserve"> </w:t>
            </w:r>
            <w:r>
              <w:rPr>
                <w:color w:val="231F20"/>
                <w:w w:val="105"/>
                <w:sz w:val="16"/>
              </w:rPr>
              <w:t>upgraded</w:t>
            </w:r>
            <w:r>
              <w:rPr>
                <w:color w:val="231F20"/>
                <w:spacing w:val="-4"/>
                <w:w w:val="105"/>
                <w:sz w:val="16"/>
              </w:rPr>
              <w:t xml:space="preserve"> </w:t>
            </w:r>
            <w:r>
              <w:rPr>
                <w:color w:val="231F20"/>
                <w:w w:val="105"/>
                <w:sz w:val="16"/>
              </w:rPr>
              <w:t>cycle</w:t>
            </w:r>
            <w:r>
              <w:rPr>
                <w:color w:val="231F20"/>
                <w:spacing w:val="-3"/>
                <w:w w:val="105"/>
                <w:sz w:val="16"/>
              </w:rPr>
              <w:t xml:space="preserve"> </w:t>
            </w:r>
            <w:r>
              <w:rPr>
                <w:color w:val="231F20"/>
                <w:w w:val="105"/>
                <w:sz w:val="16"/>
              </w:rPr>
              <w:t>paths</w:t>
            </w:r>
            <w:r>
              <w:rPr>
                <w:color w:val="231F20"/>
                <w:spacing w:val="-4"/>
                <w:w w:val="105"/>
                <w:sz w:val="16"/>
              </w:rPr>
              <w:t xml:space="preserve"> </w:t>
            </w:r>
            <w:proofErr w:type="gramStart"/>
            <w:r>
              <w:rPr>
                <w:color w:val="231F20"/>
                <w:w w:val="105"/>
                <w:sz w:val="16"/>
              </w:rPr>
              <w:t>-</w:t>
            </w:r>
            <w:r>
              <w:rPr>
                <w:color w:val="231F20"/>
                <w:spacing w:val="-4"/>
                <w:w w:val="105"/>
                <w:sz w:val="16"/>
              </w:rPr>
              <w:t xml:space="preserve"> </w:t>
            </w:r>
            <w:r>
              <w:rPr>
                <w:color w:val="231F20"/>
                <w:w w:val="105"/>
                <w:sz w:val="16"/>
              </w:rPr>
              <w:t>in</w:t>
            </w:r>
            <w:proofErr w:type="gramEnd"/>
            <w:r>
              <w:rPr>
                <w:color w:val="231F20"/>
                <w:spacing w:val="-4"/>
                <w:w w:val="105"/>
                <w:sz w:val="16"/>
              </w:rPr>
              <w:t xml:space="preserve"> </w:t>
            </w:r>
            <w:proofErr w:type="spellStart"/>
            <w:r>
              <w:rPr>
                <w:color w:val="231F20"/>
                <w:w w:val="105"/>
                <w:sz w:val="16"/>
              </w:rPr>
              <w:t>metres</w:t>
            </w:r>
            <w:proofErr w:type="spellEnd"/>
            <w:r>
              <w:rPr>
                <w:color w:val="231F20"/>
                <w:spacing w:val="-3"/>
                <w:w w:val="105"/>
                <w:sz w:val="16"/>
              </w:rPr>
              <w:t xml:space="preserve"> </w:t>
            </w:r>
            <w:r>
              <w:rPr>
                <w:color w:val="231F20"/>
                <w:w w:val="105"/>
                <w:sz w:val="16"/>
              </w:rPr>
              <w:t>squared</w:t>
            </w:r>
            <w:r>
              <w:rPr>
                <w:color w:val="231F20"/>
                <w:spacing w:val="-4"/>
                <w:w w:val="105"/>
                <w:sz w:val="16"/>
              </w:rPr>
              <w:t xml:space="preserve"> (m2)</w:t>
            </w:r>
          </w:p>
        </w:tc>
        <w:tc>
          <w:tcPr>
            <w:tcW w:w="1417" w:type="dxa"/>
            <w:shd w:val="clear" w:color="auto" w:fill="F3F4F9"/>
            <w:vAlign w:val="center"/>
          </w:tcPr>
          <w:p w14:paraId="6FE8107A" w14:textId="77777777" w:rsidR="0038049D" w:rsidRPr="00487D35" w:rsidRDefault="0038049D" w:rsidP="005A1628">
            <w:pPr>
              <w:pStyle w:val="TableParagraph"/>
              <w:ind w:right="90"/>
              <w:jc w:val="right"/>
              <w:rPr>
                <w:sz w:val="18"/>
                <w:szCs w:val="18"/>
              </w:rPr>
            </w:pPr>
            <w:r w:rsidRPr="00487D35">
              <w:rPr>
                <w:color w:val="231F20"/>
                <w:spacing w:val="-2"/>
                <w:sz w:val="18"/>
                <w:szCs w:val="18"/>
              </w:rPr>
              <w:t>7,508</w:t>
            </w:r>
          </w:p>
        </w:tc>
        <w:tc>
          <w:tcPr>
            <w:tcW w:w="1134" w:type="dxa"/>
            <w:shd w:val="clear" w:color="auto" w:fill="F3F4F9"/>
            <w:vAlign w:val="center"/>
          </w:tcPr>
          <w:p w14:paraId="34CCFAC7" w14:textId="77777777" w:rsidR="0038049D" w:rsidRPr="00487D35" w:rsidRDefault="0038049D" w:rsidP="005A1628">
            <w:pPr>
              <w:pStyle w:val="TableParagraph"/>
              <w:ind w:right="90"/>
              <w:jc w:val="right"/>
              <w:rPr>
                <w:color w:val="231F20"/>
                <w:spacing w:val="-2"/>
                <w:sz w:val="18"/>
                <w:szCs w:val="18"/>
              </w:rPr>
            </w:pPr>
            <w:r w:rsidRPr="00487D35">
              <w:rPr>
                <w:color w:val="231F20"/>
                <w:spacing w:val="-2"/>
                <w:sz w:val="18"/>
                <w:szCs w:val="18"/>
              </w:rPr>
              <w:t>14,000</w:t>
            </w:r>
          </w:p>
        </w:tc>
        <w:tc>
          <w:tcPr>
            <w:tcW w:w="1418" w:type="dxa"/>
            <w:shd w:val="clear" w:color="auto" w:fill="F3F4F9"/>
            <w:vAlign w:val="center"/>
          </w:tcPr>
          <w:p w14:paraId="36BD71D8" w14:textId="77777777" w:rsidR="0038049D" w:rsidRPr="00487D35" w:rsidRDefault="0038049D" w:rsidP="005A1628">
            <w:pPr>
              <w:pStyle w:val="TableParagraph"/>
              <w:ind w:right="90"/>
              <w:jc w:val="right"/>
              <w:rPr>
                <w:color w:val="231F20"/>
                <w:spacing w:val="-2"/>
                <w:sz w:val="18"/>
                <w:szCs w:val="18"/>
              </w:rPr>
            </w:pPr>
            <w:r w:rsidRPr="00487D35">
              <w:rPr>
                <w:color w:val="231F20"/>
                <w:spacing w:val="-2"/>
                <w:sz w:val="18"/>
                <w:szCs w:val="18"/>
              </w:rPr>
              <w:t>14,124</w:t>
            </w:r>
          </w:p>
        </w:tc>
        <w:tc>
          <w:tcPr>
            <w:tcW w:w="1275" w:type="dxa"/>
            <w:shd w:val="clear" w:color="auto" w:fill="F3F4F9"/>
            <w:vAlign w:val="center"/>
          </w:tcPr>
          <w:p w14:paraId="1CC5453C" w14:textId="77777777" w:rsidR="0038049D" w:rsidRPr="00487D35" w:rsidRDefault="0038049D" w:rsidP="005A1628">
            <w:pPr>
              <w:pStyle w:val="TableParagraph"/>
              <w:ind w:right="90"/>
              <w:jc w:val="right"/>
              <w:rPr>
                <w:color w:val="231F20"/>
                <w:spacing w:val="-2"/>
                <w:sz w:val="18"/>
                <w:szCs w:val="18"/>
              </w:rPr>
            </w:pPr>
            <w:r w:rsidRPr="00487D35">
              <w:rPr>
                <w:color w:val="231F20"/>
                <w:spacing w:val="-2"/>
                <w:sz w:val="18"/>
                <w:szCs w:val="18"/>
              </w:rPr>
              <w:t>25,540</w:t>
            </w:r>
          </w:p>
        </w:tc>
        <w:tc>
          <w:tcPr>
            <w:tcW w:w="1276" w:type="dxa"/>
            <w:shd w:val="clear" w:color="auto" w:fill="F3F4F9"/>
            <w:vAlign w:val="center"/>
          </w:tcPr>
          <w:p w14:paraId="56FDD980" w14:textId="77777777" w:rsidR="0038049D" w:rsidRPr="00487D35" w:rsidRDefault="0038049D" w:rsidP="005A1628">
            <w:pPr>
              <w:pStyle w:val="TableParagraph"/>
              <w:ind w:right="90"/>
              <w:jc w:val="right"/>
              <w:rPr>
                <w:color w:val="231F20"/>
                <w:spacing w:val="-2"/>
                <w:sz w:val="18"/>
                <w:szCs w:val="18"/>
              </w:rPr>
            </w:pPr>
            <w:r w:rsidRPr="00487D35">
              <w:rPr>
                <w:color w:val="231F20"/>
                <w:spacing w:val="-2"/>
                <w:sz w:val="18"/>
                <w:szCs w:val="18"/>
              </w:rPr>
              <w:t>22,382</w:t>
            </w:r>
          </w:p>
        </w:tc>
        <w:tc>
          <w:tcPr>
            <w:tcW w:w="1276" w:type="dxa"/>
            <w:shd w:val="clear" w:color="auto" w:fill="F3F4F9"/>
            <w:vAlign w:val="center"/>
          </w:tcPr>
          <w:p w14:paraId="638DE102" w14:textId="77777777" w:rsidR="0038049D" w:rsidRPr="00487D35" w:rsidRDefault="0038049D" w:rsidP="005A1628">
            <w:pPr>
              <w:pStyle w:val="TableParagraph"/>
              <w:ind w:right="90"/>
              <w:jc w:val="right"/>
              <w:rPr>
                <w:color w:val="231F20"/>
                <w:spacing w:val="-2"/>
                <w:sz w:val="18"/>
                <w:szCs w:val="18"/>
              </w:rPr>
            </w:pPr>
            <w:r w:rsidRPr="00487D35">
              <w:rPr>
                <w:color w:val="231F20"/>
                <w:spacing w:val="-2"/>
                <w:sz w:val="18"/>
                <w:szCs w:val="18"/>
              </w:rPr>
              <w:t>13,500</w:t>
            </w:r>
          </w:p>
        </w:tc>
        <w:tc>
          <w:tcPr>
            <w:tcW w:w="1276" w:type="dxa"/>
            <w:shd w:val="clear" w:color="auto" w:fill="F3F4F9"/>
            <w:vAlign w:val="center"/>
          </w:tcPr>
          <w:p w14:paraId="54FDFDF0" w14:textId="77777777" w:rsidR="0038049D" w:rsidRPr="00487D35" w:rsidRDefault="0038049D" w:rsidP="005A1628">
            <w:pPr>
              <w:pStyle w:val="TableParagraph"/>
              <w:ind w:right="90"/>
              <w:jc w:val="right"/>
              <w:rPr>
                <w:color w:val="231F20"/>
                <w:spacing w:val="-2"/>
                <w:sz w:val="18"/>
                <w:szCs w:val="18"/>
              </w:rPr>
            </w:pPr>
            <w:r w:rsidRPr="00487D35">
              <w:rPr>
                <w:color w:val="231F20"/>
                <w:spacing w:val="-2"/>
                <w:sz w:val="18"/>
                <w:szCs w:val="18"/>
              </w:rPr>
              <w:t>22,535</w:t>
            </w:r>
          </w:p>
        </w:tc>
      </w:tr>
      <w:tr w:rsidR="0038049D" w:rsidRPr="00487D35" w14:paraId="73513A0F" w14:textId="77777777" w:rsidTr="005A1628">
        <w:trPr>
          <w:trHeight w:val="263"/>
          <w:jc w:val="center"/>
        </w:trPr>
        <w:tc>
          <w:tcPr>
            <w:tcW w:w="2127" w:type="dxa"/>
            <w:vMerge/>
            <w:tcBorders>
              <w:top w:val="nil"/>
              <w:left w:val="nil"/>
            </w:tcBorders>
            <w:shd w:val="clear" w:color="auto" w:fill="5790C0"/>
            <w:vAlign w:val="center"/>
          </w:tcPr>
          <w:p w14:paraId="412EE03C" w14:textId="77777777" w:rsidR="0038049D" w:rsidRDefault="0038049D" w:rsidP="005A1628">
            <w:pPr>
              <w:rPr>
                <w:sz w:val="2"/>
                <w:szCs w:val="2"/>
              </w:rPr>
            </w:pPr>
          </w:p>
        </w:tc>
        <w:tc>
          <w:tcPr>
            <w:tcW w:w="3969" w:type="dxa"/>
            <w:shd w:val="clear" w:color="auto" w:fill="F3F4F9"/>
            <w:vAlign w:val="center"/>
          </w:tcPr>
          <w:p w14:paraId="3E5D3CCE" w14:textId="77777777" w:rsidR="0038049D" w:rsidRDefault="0038049D" w:rsidP="005A1628">
            <w:pPr>
              <w:pStyle w:val="TableParagraph"/>
              <w:ind w:left="170"/>
              <w:rPr>
                <w:sz w:val="16"/>
              </w:rPr>
            </w:pPr>
            <w:r>
              <w:rPr>
                <w:color w:val="231F20"/>
                <w:w w:val="105"/>
                <w:sz w:val="16"/>
              </w:rPr>
              <w:t>Village</w:t>
            </w:r>
            <w:r>
              <w:rPr>
                <w:color w:val="231F20"/>
                <w:spacing w:val="-6"/>
                <w:w w:val="105"/>
                <w:sz w:val="16"/>
              </w:rPr>
              <w:t xml:space="preserve"> </w:t>
            </w:r>
            <w:r>
              <w:rPr>
                <w:color w:val="231F20"/>
                <w:w w:val="105"/>
                <w:sz w:val="16"/>
              </w:rPr>
              <w:t>and</w:t>
            </w:r>
            <w:r>
              <w:rPr>
                <w:color w:val="231F20"/>
                <w:spacing w:val="-6"/>
                <w:w w:val="105"/>
                <w:sz w:val="16"/>
              </w:rPr>
              <w:t xml:space="preserve"> </w:t>
            </w:r>
            <w:r>
              <w:rPr>
                <w:color w:val="231F20"/>
                <w:w w:val="105"/>
                <w:sz w:val="16"/>
              </w:rPr>
              <w:t>district</w:t>
            </w:r>
            <w:r>
              <w:rPr>
                <w:color w:val="231F20"/>
                <w:spacing w:val="-6"/>
                <w:w w:val="105"/>
                <w:sz w:val="16"/>
              </w:rPr>
              <w:t xml:space="preserve"> </w:t>
            </w:r>
            <w:proofErr w:type="spellStart"/>
            <w:r>
              <w:rPr>
                <w:color w:val="231F20"/>
                <w:w w:val="105"/>
                <w:sz w:val="16"/>
              </w:rPr>
              <w:t>centre</w:t>
            </w:r>
            <w:proofErr w:type="spellEnd"/>
            <w:r>
              <w:rPr>
                <w:color w:val="231F20"/>
                <w:spacing w:val="-6"/>
                <w:w w:val="105"/>
                <w:sz w:val="16"/>
              </w:rPr>
              <w:t xml:space="preserve"> </w:t>
            </w:r>
            <w:r>
              <w:rPr>
                <w:color w:val="231F20"/>
                <w:w w:val="105"/>
                <w:sz w:val="16"/>
              </w:rPr>
              <w:t>enhancement</w:t>
            </w:r>
            <w:r>
              <w:rPr>
                <w:color w:val="231F20"/>
                <w:spacing w:val="-5"/>
                <w:w w:val="105"/>
                <w:sz w:val="16"/>
              </w:rPr>
              <w:t xml:space="preserve"> </w:t>
            </w:r>
            <w:r>
              <w:rPr>
                <w:color w:val="231F20"/>
                <w:w w:val="105"/>
                <w:sz w:val="16"/>
              </w:rPr>
              <w:t>schemes</w:t>
            </w:r>
            <w:r>
              <w:rPr>
                <w:color w:val="231F20"/>
                <w:spacing w:val="-6"/>
                <w:w w:val="105"/>
                <w:sz w:val="16"/>
              </w:rPr>
              <w:t xml:space="preserve"> </w:t>
            </w:r>
            <w:r>
              <w:rPr>
                <w:color w:val="231F20"/>
                <w:spacing w:val="-2"/>
                <w:w w:val="105"/>
                <w:sz w:val="16"/>
              </w:rPr>
              <w:t>completed</w:t>
            </w:r>
          </w:p>
        </w:tc>
        <w:tc>
          <w:tcPr>
            <w:tcW w:w="1417" w:type="dxa"/>
            <w:shd w:val="clear" w:color="auto" w:fill="F3F4F9"/>
            <w:vAlign w:val="center"/>
          </w:tcPr>
          <w:p w14:paraId="19F290F7" w14:textId="77777777" w:rsidR="0038049D" w:rsidRPr="00487D35" w:rsidRDefault="0038049D" w:rsidP="005A1628">
            <w:pPr>
              <w:pStyle w:val="TableParagraph"/>
              <w:ind w:right="90"/>
              <w:jc w:val="right"/>
              <w:rPr>
                <w:sz w:val="18"/>
                <w:szCs w:val="18"/>
              </w:rPr>
            </w:pPr>
            <w:r w:rsidRPr="00487D35">
              <w:rPr>
                <w:color w:val="231F20"/>
                <w:spacing w:val="-10"/>
                <w:sz w:val="18"/>
                <w:szCs w:val="18"/>
              </w:rPr>
              <w:t>1</w:t>
            </w:r>
          </w:p>
        </w:tc>
        <w:tc>
          <w:tcPr>
            <w:tcW w:w="1134" w:type="dxa"/>
            <w:shd w:val="clear" w:color="auto" w:fill="F3F4F9"/>
            <w:vAlign w:val="center"/>
          </w:tcPr>
          <w:p w14:paraId="09B01D50" w14:textId="77777777" w:rsidR="0038049D" w:rsidRPr="00487D35" w:rsidRDefault="0038049D" w:rsidP="005A1628">
            <w:pPr>
              <w:pStyle w:val="TableParagraph"/>
              <w:ind w:right="90"/>
              <w:jc w:val="right"/>
              <w:rPr>
                <w:color w:val="231F20"/>
                <w:spacing w:val="-10"/>
                <w:sz w:val="18"/>
                <w:szCs w:val="18"/>
              </w:rPr>
            </w:pPr>
            <w:r w:rsidRPr="00487D35">
              <w:rPr>
                <w:color w:val="231F20"/>
                <w:spacing w:val="-10"/>
                <w:sz w:val="18"/>
                <w:szCs w:val="18"/>
              </w:rPr>
              <w:t>1</w:t>
            </w:r>
          </w:p>
        </w:tc>
        <w:tc>
          <w:tcPr>
            <w:tcW w:w="1418" w:type="dxa"/>
            <w:shd w:val="clear" w:color="auto" w:fill="F3F4F9"/>
            <w:vAlign w:val="center"/>
          </w:tcPr>
          <w:p w14:paraId="446147C6" w14:textId="77777777" w:rsidR="0038049D" w:rsidRPr="00487D35" w:rsidRDefault="0038049D" w:rsidP="005A1628">
            <w:pPr>
              <w:pStyle w:val="TableParagraph"/>
              <w:ind w:right="90"/>
              <w:jc w:val="right"/>
              <w:rPr>
                <w:color w:val="231F20"/>
                <w:spacing w:val="-10"/>
                <w:sz w:val="18"/>
                <w:szCs w:val="18"/>
              </w:rPr>
            </w:pPr>
            <w:r w:rsidRPr="00487D35">
              <w:rPr>
                <w:color w:val="231F20"/>
                <w:spacing w:val="-10"/>
                <w:sz w:val="18"/>
                <w:szCs w:val="18"/>
              </w:rPr>
              <w:t>0</w:t>
            </w:r>
          </w:p>
        </w:tc>
        <w:tc>
          <w:tcPr>
            <w:tcW w:w="1275" w:type="dxa"/>
            <w:shd w:val="clear" w:color="auto" w:fill="F3F4F9"/>
            <w:vAlign w:val="center"/>
          </w:tcPr>
          <w:p w14:paraId="630B5C3B" w14:textId="77777777" w:rsidR="0038049D" w:rsidRPr="00487D35" w:rsidRDefault="0038049D" w:rsidP="005A1628">
            <w:pPr>
              <w:pStyle w:val="TableParagraph"/>
              <w:ind w:right="90"/>
              <w:jc w:val="right"/>
              <w:rPr>
                <w:color w:val="231F20"/>
                <w:spacing w:val="-10"/>
                <w:sz w:val="18"/>
                <w:szCs w:val="18"/>
              </w:rPr>
            </w:pPr>
            <w:r w:rsidRPr="00487D35">
              <w:rPr>
                <w:color w:val="231F20"/>
                <w:spacing w:val="-10"/>
                <w:sz w:val="18"/>
                <w:szCs w:val="18"/>
              </w:rPr>
              <w:t>1</w:t>
            </w:r>
          </w:p>
        </w:tc>
        <w:tc>
          <w:tcPr>
            <w:tcW w:w="1276" w:type="dxa"/>
            <w:shd w:val="clear" w:color="auto" w:fill="F3F4F9"/>
            <w:vAlign w:val="center"/>
          </w:tcPr>
          <w:p w14:paraId="45DE3374" w14:textId="77777777" w:rsidR="0038049D" w:rsidRPr="00487D35" w:rsidRDefault="0038049D" w:rsidP="005A1628">
            <w:pPr>
              <w:pStyle w:val="TableParagraph"/>
              <w:ind w:right="90"/>
              <w:jc w:val="right"/>
              <w:rPr>
                <w:color w:val="231F20"/>
                <w:spacing w:val="-10"/>
                <w:sz w:val="18"/>
                <w:szCs w:val="18"/>
              </w:rPr>
            </w:pPr>
            <w:r w:rsidRPr="00487D35">
              <w:rPr>
                <w:color w:val="231F20"/>
                <w:spacing w:val="-10"/>
                <w:sz w:val="18"/>
                <w:szCs w:val="18"/>
              </w:rPr>
              <w:t>1</w:t>
            </w:r>
          </w:p>
        </w:tc>
        <w:tc>
          <w:tcPr>
            <w:tcW w:w="1276" w:type="dxa"/>
            <w:shd w:val="clear" w:color="auto" w:fill="F3F4F9"/>
            <w:vAlign w:val="center"/>
          </w:tcPr>
          <w:p w14:paraId="7868B1D1" w14:textId="77777777" w:rsidR="0038049D" w:rsidRPr="00487D35" w:rsidRDefault="0038049D" w:rsidP="005A1628">
            <w:pPr>
              <w:pStyle w:val="TableParagraph"/>
              <w:ind w:right="90"/>
              <w:jc w:val="right"/>
              <w:rPr>
                <w:color w:val="231F20"/>
                <w:spacing w:val="-10"/>
                <w:sz w:val="18"/>
                <w:szCs w:val="18"/>
              </w:rPr>
            </w:pPr>
            <w:r w:rsidRPr="00487D35">
              <w:rPr>
                <w:color w:val="231F20"/>
                <w:spacing w:val="-10"/>
                <w:sz w:val="18"/>
                <w:szCs w:val="18"/>
              </w:rPr>
              <w:t>2</w:t>
            </w:r>
          </w:p>
        </w:tc>
        <w:tc>
          <w:tcPr>
            <w:tcW w:w="1276" w:type="dxa"/>
            <w:shd w:val="clear" w:color="auto" w:fill="F3F4F9"/>
            <w:vAlign w:val="center"/>
          </w:tcPr>
          <w:p w14:paraId="637AA678" w14:textId="77777777" w:rsidR="0038049D" w:rsidRPr="00487D35" w:rsidRDefault="0038049D" w:rsidP="005A1628">
            <w:pPr>
              <w:pStyle w:val="TableParagraph"/>
              <w:ind w:right="90"/>
              <w:jc w:val="right"/>
              <w:rPr>
                <w:color w:val="231F20"/>
                <w:spacing w:val="-10"/>
                <w:sz w:val="18"/>
                <w:szCs w:val="18"/>
              </w:rPr>
            </w:pPr>
            <w:r w:rsidRPr="00487D35">
              <w:rPr>
                <w:color w:val="000000" w:themeColor="text1"/>
                <w:spacing w:val="-10"/>
                <w:sz w:val="18"/>
                <w:szCs w:val="18"/>
              </w:rPr>
              <w:t>2</w:t>
            </w:r>
          </w:p>
        </w:tc>
      </w:tr>
      <w:tr w:rsidR="0038049D" w:rsidRPr="00487D35" w14:paraId="45349079" w14:textId="77777777" w:rsidTr="005A1628">
        <w:trPr>
          <w:trHeight w:val="263"/>
          <w:jc w:val="center"/>
        </w:trPr>
        <w:tc>
          <w:tcPr>
            <w:tcW w:w="2127" w:type="dxa"/>
            <w:vMerge/>
            <w:tcBorders>
              <w:top w:val="nil"/>
              <w:left w:val="nil"/>
            </w:tcBorders>
            <w:shd w:val="clear" w:color="auto" w:fill="5790C0"/>
            <w:vAlign w:val="center"/>
          </w:tcPr>
          <w:p w14:paraId="0E2D43F1" w14:textId="77777777" w:rsidR="0038049D" w:rsidRDefault="0038049D" w:rsidP="005A1628">
            <w:pPr>
              <w:rPr>
                <w:sz w:val="2"/>
                <w:szCs w:val="2"/>
              </w:rPr>
            </w:pPr>
          </w:p>
        </w:tc>
        <w:tc>
          <w:tcPr>
            <w:tcW w:w="3969" w:type="dxa"/>
            <w:shd w:val="clear" w:color="auto" w:fill="F3F4F9"/>
            <w:vAlign w:val="center"/>
          </w:tcPr>
          <w:p w14:paraId="79943D01" w14:textId="77777777" w:rsidR="0038049D" w:rsidRDefault="0038049D" w:rsidP="005A1628">
            <w:pPr>
              <w:pStyle w:val="TableParagraph"/>
              <w:ind w:left="170"/>
              <w:rPr>
                <w:sz w:val="16"/>
              </w:rPr>
            </w:pPr>
            <w:r>
              <w:rPr>
                <w:color w:val="231F20"/>
                <w:sz w:val="16"/>
              </w:rPr>
              <w:t>Public</w:t>
            </w:r>
            <w:r>
              <w:rPr>
                <w:color w:val="231F20"/>
                <w:spacing w:val="11"/>
                <w:sz w:val="16"/>
              </w:rPr>
              <w:t xml:space="preserve"> </w:t>
            </w:r>
            <w:r>
              <w:rPr>
                <w:color w:val="231F20"/>
                <w:sz w:val="16"/>
              </w:rPr>
              <w:t>LED</w:t>
            </w:r>
            <w:r>
              <w:rPr>
                <w:color w:val="231F20"/>
                <w:spacing w:val="11"/>
                <w:sz w:val="16"/>
              </w:rPr>
              <w:t xml:space="preserve"> </w:t>
            </w:r>
            <w:r>
              <w:rPr>
                <w:color w:val="231F20"/>
                <w:sz w:val="16"/>
              </w:rPr>
              <w:t>lighting</w:t>
            </w:r>
            <w:r>
              <w:rPr>
                <w:color w:val="231F20"/>
                <w:spacing w:val="11"/>
                <w:sz w:val="16"/>
              </w:rPr>
              <w:t xml:space="preserve"> </w:t>
            </w:r>
            <w:r>
              <w:rPr>
                <w:color w:val="231F20"/>
                <w:sz w:val="16"/>
              </w:rPr>
              <w:t>upgrades</w:t>
            </w:r>
            <w:r>
              <w:rPr>
                <w:color w:val="231F20"/>
                <w:spacing w:val="12"/>
                <w:sz w:val="16"/>
              </w:rPr>
              <w:t xml:space="preserve"> </w:t>
            </w:r>
            <w:r>
              <w:rPr>
                <w:color w:val="231F20"/>
                <w:spacing w:val="-2"/>
                <w:sz w:val="16"/>
              </w:rPr>
              <w:t>completed</w:t>
            </w:r>
          </w:p>
        </w:tc>
        <w:tc>
          <w:tcPr>
            <w:tcW w:w="1417" w:type="dxa"/>
            <w:shd w:val="clear" w:color="auto" w:fill="F3F4F9"/>
            <w:vAlign w:val="center"/>
          </w:tcPr>
          <w:p w14:paraId="46F54201" w14:textId="77777777" w:rsidR="0038049D" w:rsidRPr="00487D35" w:rsidRDefault="0038049D" w:rsidP="005A1628">
            <w:pPr>
              <w:pStyle w:val="TableParagraph"/>
              <w:ind w:right="90"/>
              <w:jc w:val="right"/>
              <w:rPr>
                <w:sz w:val="18"/>
                <w:szCs w:val="18"/>
              </w:rPr>
            </w:pPr>
            <w:r w:rsidRPr="00487D35">
              <w:rPr>
                <w:color w:val="231F20"/>
                <w:spacing w:val="-2"/>
                <w:sz w:val="18"/>
                <w:szCs w:val="18"/>
              </w:rPr>
              <w:t>1,736</w:t>
            </w:r>
          </w:p>
        </w:tc>
        <w:tc>
          <w:tcPr>
            <w:tcW w:w="1134" w:type="dxa"/>
            <w:shd w:val="clear" w:color="auto" w:fill="F3F4F9"/>
            <w:vAlign w:val="center"/>
          </w:tcPr>
          <w:p w14:paraId="49F1F6E8" w14:textId="77777777" w:rsidR="0038049D" w:rsidRPr="00487D35" w:rsidRDefault="0038049D" w:rsidP="005A1628">
            <w:pPr>
              <w:pStyle w:val="TableParagraph"/>
              <w:ind w:right="90"/>
              <w:jc w:val="right"/>
              <w:rPr>
                <w:color w:val="231F20"/>
                <w:spacing w:val="-2"/>
                <w:sz w:val="18"/>
                <w:szCs w:val="18"/>
              </w:rPr>
            </w:pPr>
            <w:r w:rsidRPr="00487D35">
              <w:rPr>
                <w:color w:val="231F20"/>
                <w:spacing w:val="-2"/>
                <w:sz w:val="18"/>
                <w:szCs w:val="18"/>
              </w:rPr>
              <w:t>2,158</w:t>
            </w:r>
          </w:p>
        </w:tc>
        <w:tc>
          <w:tcPr>
            <w:tcW w:w="1418" w:type="dxa"/>
            <w:shd w:val="clear" w:color="auto" w:fill="F3F4F9"/>
            <w:vAlign w:val="center"/>
          </w:tcPr>
          <w:p w14:paraId="6299F440" w14:textId="77777777" w:rsidR="0038049D" w:rsidRPr="00487D35" w:rsidRDefault="0038049D" w:rsidP="005A1628">
            <w:pPr>
              <w:pStyle w:val="TableParagraph"/>
              <w:ind w:right="90"/>
              <w:jc w:val="right"/>
              <w:rPr>
                <w:color w:val="231F20"/>
                <w:spacing w:val="-2"/>
                <w:sz w:val="18"/>
                <w:szCs w:val="18"/>
              </w:rPr>
            </w:pPr>
            <w:r w:rsidRPr="00487D35">
              <w:rPr>
                <w:color w:val="231F20"/>
                <w:spacing w:val="-2"/>
                <w:sz w:val="18"/>
                <w:szCs w:val="18"/>
              </w:rPr>
              <w:t>1,561</w:t>
            </w:r>
          </w:p>
        </w:tc>
        <w:tc>
          <w:tcPr>
            <w:tcW w:w="1275" w:type="dxa"/>
            <w:shd w:val="clear" w:color="auto" w:fill="F3F4F9"/>
            <w:vAlign w:val="center"/>
          </w:tcPr>
          <w:p w14:paraId="473C3083" w14:textId="77777777" w:rsidR="0038049D" w:rsidRPr="00487D35" w:rsidRDefault="0038049D" w:rsidP="005A1628">
            <w:pPr>
              <w:pStyle w:val="TableParagraph"/>
              <w:ind w:right="90"/>
              <w:jc w:val="right"/>
              <w:rPr>
                <w:color w:val="231F20"/>
                <w:spacing w:val="-2"/>
                <w:sz w:val="18"/>
                <w:szCs w:val="18"/>
              </w:rPr>
            </w:pPr>
            <w:r w:rsidRPr="00487D35">
              <w:rPr>
                <w:color w:val="231F20"/>
                <w:spacing w:val="-2"/>
                <w:sz w:val="18"/>
                <w:szCs w:val="18"/>
              </w:rPr>
              <w:t>1,321</w:t>
            </w:r>
          </w:p>
        </w:tc>
        <w:tc>
          <w:tcPr>
            <w:tcW w:w="1276" w:type="dxa"/>
            <w:shd w:val="clear" w:color="auto" w:fill="F3F4F9"/>
            <w:vAlign w:val="center"/>
          </w:tcPr>
          <w:p w14:paraId="6B1DF5B1" w14:textId="77777777" w:rsidR="0038049D" w:rsidRPr="00487D35" w:rsidRDefault="0038049D" w:rsidP="005A1628">
            <w:pPr>
              <w:pStyle w:val="TableParagraph"/>
              <w:ind w:right="90"/>
              <w:jc w:val="right"/>
              <w:rPr>
                <w:color w:val="231F20"/>
                <w:spacing w:val="-2"/>
                <w:sz w:val="18"/>
                <w:szCs w:val="18"/>
              </w:rPr>
            </w:pPr>
            <w:r w:rsidRPr="00487D35">
              <w:rPr>
                <w:color w:val="231F20"/>
                <w:spacing w:val="-2"/>
                <w:sz w:val="18"/>
                <w:szCs w:val="18"/>
              </w:rPr>
              <w:t>2,012</w:t>
            </w:r>
          </w:p>
        </w:tc>
        <w:tc>
          <w:tcPr>
            <w:tcW w:w="1276" w:type="dxa"/>
            <w:shd w:val="clear" w:color="auto" w:fill="F3F4F9"/>
            <w:vAlign w:val="center"/>
          </w:tcPr>
          <w:p w14:paraId="77677AE9" w14:textId="77777777" w:rsidR="0038049D" w:rsidRPr="00487D35" w:rsidRDefault="0038049D" w:rsidP="005A1628">
            <w:pPr>
              <w:pStyle w:val="TableParagraph"/>
              <w:ind w:right="90"/>
              <w:jc w:val="right"/>
              <w:rPr>
                <w:color w:val="231F20"/>
                <w:spacing w:val="-2"/>
                <w:sz w:val="18"/>
                <w:szCs w:val="18"/>
              </w:rPr>
            </w:pPr>
            <w:r w:rsidRPr="00487D35">
              <w:rPr>
                <w:color w:val="231F20"/>
                <w:spacing w:val="-2"/>
                <w:sz w:val="18"/>
                <w:szCs w:val="18"/>
              </w:rPr>
              <w:t>1,600</w:t>
            </w:r>
          </w:p>
        </w:tc>
        <w:tc>
          <w:tcPr>
            <w:tcW w:w="1276" w:type="dxa"/>
            <w:shd w:val="clear" w:color="auto" w:fill="F3F4F9"/>
            <w:vAlign w:val="center"/>
          </w:tcPr>
          <w:p w14:paraId="57E34756" w14:textId="77777777" w:rsidR="0038049D" w:rsidRPr="00487D35" w:rsidRDefault="0038049D" w:rsidP="005A1628">
            <w:pPr>
              <w:pStyle w:val="TableParagraph"/>
              <w:ind w:right="90"/>
              <w:jc w:val="right"/>
              <w:rPr>
                <w:color w:val="231F20"/>
                <w:spacing w:val="-2"/>
                <w:sz w:val="18"/>
                <w:szCs w:val="18"/>
              </w:rPr>
            </w:pPr>
            <w:r w:rsidRPr="00487D35">
              <w:rPr>
                <w:color w:val="231F20"/>
                <w:spacing w:val="-2"/>
                <w:sz w:val="18"/>
                <w:szCs w:val="18"/>
              </w:rPr>
              <w:t>1,690</w:t>
            </w:r>
          </w:p>
        </w:tc>
      </w:tr>
      <w:tr w:rsidR="0038049D" w:rsidRPr="00487D35" w14:paraId="50C0B750" w14:textId="77777777" w:rsidTr="005A1628">
        <w:trPr>
          <w:trHeight w:val="331"/>
          <w:jc w:val="center"/>
        </w:trPr>
        <w:tc>
          <w:tcPr>
            <w:tcW w:w="2127" w:type="dxa"/>
            <w:vMerge/>
            <w:tcBorders>
              <w:top w:val="nil"/>
              <w:left w:val="nil"/>
            </w:tcBorders>
            <w:shd w:val="clear" w:color="auto" w:fill="5790C0"/>
            <w:vAlign w:val="center"/>
          </w:tcPr>
          <w:p w14:paraId="0C9750D2" w14:textId="77777777" w:rsidR="0038049D" w:rsidRDefault="0038049D" w:rsidP="005A1628">
            <w:pPr>
              <w:rPr>
                <w:sz w:val="2"/>
                <w:szCs w:val="2"/>
              </w:rPr>
            </w:pPr>
          </w:p>
        </w:tc>
        <w:tc>
          <w:tcPr>
            <w:tcW w:w="3969" w:type="dxa"/>
            <w:tcBorders>
              <w:bottom w:val="single" w:sz="8" w:space="0" w:color="5A3154"/>
            </w:tcBorders>
            <w:shd w:val="clear" w:color="auto" w:fill="F3F4F9"/>
            <w:vAlign w:val="center"/>
          </w:tcPr>
          <w:p w14:paraId="24043A1E" w14:textId="77777777" w:rsidR="0038049D" w:rsidRDefault="0038049D" w:rsidP="005A1628">
            <w:pPr>
              <w:pStyle w:val="TableParagraph"/>
              <w:ind w:left="170"/>
              <w:rPr>
                <w:sz w:val="16"/>
              </w:rPr>
            </w:pPr>
            <w:r>
              <w:rPr>
                <w:color w:val="231F20"/>
                <w:w w:val="105"/>
                <w:sz w:val="16"/>
              </w:rPr>
              <w:t>% of pre-planning meetings held within</w:t>
            </w:r>
            <w:r>
              <w:rPr>
                <w:color w:val="231F20"/>
                <w:spacing w:val="1"/>
                <w:w w:val="105"/>
                <w:sz w:val="16"/>
              </w:rPr>
              <w:t xml:space="preserve"> </w:t>
            </w:r>
            <w:r>
              <w:rPr>
                <w:color w:val="231F20"/>
                <w:w w:val="105"/>
                <w:sz w:val="16"/>
              </w:rPr>
              <w:t xml:space="preserve">eight weeks of </w:t>
            </w:r>
            <w:r>
              <w:rPr>
                <w:color w:val="231F20"/>
                <w:spacing w:val="-2"/>
                <w:w w:val="105"/>
                <w:sz w:val="16"/>
              </w:rPr>
              <w:t>request</w:t>
            </w:r>
          </w:p>
        </w:tc>
        <w:tc>
          <w:tcPr>
            <w:tcW w:w="1417" w:type="dxa"/>
            <w:tcBorders>
              <w:bottom w:val="single" w:sz="8" w:space="0" w:color="5A3154"/>
            </w:tcBorders>
            <w:shd w:val="clear" w:color="auto" w:fill="F3F4F9"/>
            <w:vAlign w:val="center"/>
          </w:tcPr>
          <w:p w14:paraId="513662B8" w14:textId="77777777" w:rsidR="0038049D" w:rsidRPr="00487D35" w:rsidRDefault="0038049D" w:rsidP="005A1628">
            <w:pPr>
              <w:pStyle w:val="TableParagraph"/>
              <w:ind w:right="90"/>
              <w:jc w:val="right"/>
              <w:rPr>
                <w:sz w:val="18"/>
                <w:szCs w:val="18"/>
              </w:rPr>
            </w:pPr>
            <w:r w:rsidRPr="00487D35">
              <w:rPr>
                <w:color w:val="231F20"/>
                <w:spacing w:val="-5"/>
                <w:sz w:val="18"/>
                <w:szCs w:val="18"/>
              </w:rPr>
              <w:t>54%</w:t>
            </w:r>
          </w:p>
        </w:tc>
        <w:tc>
          <w:tcPr>
            <w:tcW w:w="1134" w:type="dxa"/>
            <w:tcBorders>
              <w:bottom w:val="single" w:sz="8" w:space="0" w:color="5A3154"/>
            </w:tcBorders>
            <w:shd w:val="clear" w:color="auto" w:fill="F3F4F9"/>
            <w:vAlign w:val="center"/>
          </w:tcPr>
          <w:p w14:paraId="2E76142C" w14:textId="77777777" w:rsidR="0038049D" w:rsidRPr="00487D35" w:rsidRDefault="0038049D" w:rsidP="005A1628">
            <w:pPr>
              <w:pStyle w:val="TableParagraph"/>
              <w:ind w:right="90"/>
              <w:jc w:val="right"/>
              <w:rPr>
                <w:color w:val="231F20"/>
                <w:spacing w:val="-5"/>
                <w:sz w:val="18"/>
                <w:szCs w:val="18"/>
              </w:rPr>
            </w:pPr>
            <w:r w:rsidRPr="00487D35">
              <w:rPr>
                <w:color w:val="231F20"/>
                <w:spacing w:val="-5"/>
                <w:sz w:val="18"/>
                <w:szCs w:val="18"/>
              </w:rPr>
              <w:t>66%</w:t>
            </w:r>
          </w:p>
        </w:tc>
        <w:tc>
          <w:tcPr>
            <w:tcW w:w="1418" w:type="dxa"/>
            <w:tcBorders>
              <w:bottom w:val="single" w:sz="8" w:space="0" w:color="5A3154"/>
            </w:tcBorders>
            <w:shd w:val="clear" w:color="auto" w:fill="F3F4F9"/>
            <w:vAlign w:val="center"/>
          </w:tcPr>
          <w:p w14:paraId="02F0A1F9" w14:textId="77777777" w:rsidR="0038049D" w:rsidRPr="00487D35" w:rsidRDefault="0038049D" w:rsidP="005A1628">
            <w:pPr>
              <w:pStyle w:val="TableParagraph"/>
              <w:ind w:right="90"/>
              <w:jc w:val="right"/>
              <w:rPr>
                <w:color w:val="231F20"/>
                <w:spacing w:val="-5"/>
                <w:sz w:val="18"/>
                <w:szCs w:val="18"/>
              </w:rPr>
            </w:pPr>
            <w:r w:rsidRPr="00487D35">
              <w:rPr>
                <w:color w:val="231F20"/>
                <w:spacing w:val="-5"/>
                <w:sz w:val="18"/>
                <w:szCs w:val="18"/>
              </w:rPr>
              <w:t>65%</w:t>
            </w:r>
          </w:p>
        </w:tc>
        <w:tc>
          <w:tcPr>
            <w:tcW w:w="1275" w:type="dxa"/>
            <w:tcBorders>
              <w:bottom w:val="single" w:sz="8" w:space="0" w:color="5A3154"/>
            </w:tcBorders>
            <w:shd w:val="clear" w:color="auto" w:fill="F3F4F9"/>
            <w:vAlign w:val="center"/>
          </w:tcPr>
          <w:p w14:paraId="64827398" w14:textId="77777777" w:rsidR="0038049D" w:rsidRPr="00487D35" w:rsidRDefault="0038049D" w:rsidP="005A1628">
            <w:pPr>
              <w:pStyle w:val="TableParagraph"/>
              <w:ind w:right="90"/>
              <w:jc w:val="right"/>
              <w:rPr>
                <w:color w:val="231F20"/>
                <w:spacing w:val="-5"/>
                <w:sz w:val="18"/>
                <w:szCs w:val="18"/>
              </w:rPr>
            </w:pPr>
            <w:r w:rsidRPr="00487D35">
              <w:rPr>
                <w:color w:val="231F20"/>
                <w:spacing w:val="-5"/>
                <w:sz w:val="18"/>
                <w:szCs w:val="18"/>
              </w:rPr>
              <w:t>62%</w:t>
            </w:r>
          </w:p>
        </w:tc>
        <w:tc>
          <w:tcPr>
            <w:tcW w:w="1276" w:type="dxa"/>
            <w:tcBorders>
              <w:bottom w:val="single" w:sz="8" w:space="0" w:color="5A3154"/>
            </w:tcBorders>
            <w:shd w:val="clear" w:color="auto" w:fill="F3F4F9"/>
            <w:vAlign w:val="center"/>
          </w:tcPr>
          <w:p w14:paraId="7B997984" w14:textId="77777777" w:rsidR="0038049D" w:rsidRPr="00487D35" w:rsidRDefault="0038049D" w:rsidP="005A1628">
            <w:pPr>
              <w:pStyle w:val="TableParagraph"/>
              <w:ind w:right="90"/>
              <w:jc w:val="right"/>
              <w:rPr>
                <w:color w:val="231F20"/>
                <w:spacing w:val="-5"/>
                <w:sz w:val="18"/>
                <w:szCs w:val="18"/>
              </w:rPr>
            </w:pPr>
            <w:r w:rsidRPr="00487D35">
              <w:rPr>
                <w:color w:val="231F20"/>
                <w:spacing w:val="-5"/>
                <w:sz w:val="18"/>
                <w:szCs w:val="18"/>
              </w:rPr>
              <w:t>74.5%</w:t>
            </w:r>
          </w:p>
        </w:tc>
        <w:tc>
          <w:tcPr>
            <w:tcW w:w="1276" w:type="dxa"/>
            <w:tcBorders>
              <w:bottom w:val="single" w:sz="8" w:space="0" w:color="5A3154"/>
            </w:tcBorders>
            <w:shd w:val="clear" w:color="auto" w:fill="F3F4F9"/>
            <w:vAlign w:val="center"/>
          </w:tcPr>
          <w:p w14:paraId="49D7B1FE" w14:textId="77777777" w:rsidR="0038049D" w:rsidRPr="00487D35" w:rsidRDefault="0038049D" w:rsidP="005A1628">
            <w:pPr>
              <w:pStyle w:val="TableParagraph"/>
              <w:ind w:right="90"/>
              <w:jc w:val="right"/>
              <w:rPr>
                <w:color w:val="231F20"/>
                <w:spacing w:val="-5"/>
                <w:sz w:val="18"/>
                <w:szCs w:val="18"/>
              </w:rPr>
            </w:pPr>
            <w:r w:rsidRPr="00487D35">
              <w:rPr>
                <w:color w:val="231F20"/>
                <w:spacing w:val="-5"/>
                <w:sz w:val="18"/>
                <w:szCs w:val="18"/>
              </w:rPr>
              <w:t>75%</w:t>
            </w:r>
          </w:p>
        </w:tc>
        <w:tc>
          <w:tcPr>
            <w:tcW w:w="1276" w:type="dxa"/>
            <w:tcBorders>
              <w:bottom w:val="single" w:sz="8" w:space="0" w:color="5A3154"/>
            </w:tcBorders>
            <w:shd w:val="clear" w:color="auto" w:fill="F3F4F9"/>
            <w:vAlign w:val="center"/>
          </w:tcPr>
          <w:p w14:paraId="72D42C9F" w14:textId="77777777" w:rsidR="0038049D" w:rsidRPr="00487D35" w:rsidRDefault="0038049D" w:rsidP="005A1628">
            <w:pPr>
              <w:pStyle w:val="TableParagraph"/>
              <w:ind w:right="90"/>
              <w:jc w:val="right"/>
              <w:rPr>
                <w:color w:val="231F20"/>
                <w:spacing w:val="-5"/>
                <w:sz w:val="18"/>
                <w:szCs w:val="18"/>
              </w:rPr>
            </w:pPr>
            <w:r w:rsidRPr="00487D35">
              <w:rPr>
                <w:color w:val="000000" w:themeColor="text1"/>
                <w:spacing w:val="-5"/>
                <w:sz w:val="18"/>
                <w:szCs w:val="18"/>
              </w:rPr>
              <w:t>69%</w:t>
            </w:r>
          </w:p>
        </w:tc>
      </w:tr>
      <w:tr w:rsidR="0038049D" w:rsidRPr="00487D35" w14:paraId="61C8ABF7" w14:textId="77777777" w:rsidTr="005A1628">
        <w:trPr>
          <w:trHeight w:val="263"/>
          <w:jc w:val="center"/>
        </w:trPr>
        <w:tc>
          <w:tcPr>
            <w:tcW w:w="2127" w:type="dxa"/>
            <w:vMerge w:val="restart"/>
            <w:tcBorders>
              <w:left w:val="nil"/>
            </w:tcBorders>
            <w:shd w:val="clear" w:color="auto" w:fill="83647E"/>
            <w:vAlign w:val="center"/>
          </w:tcPr>
          <w:p w14:paraId="0C45531B" w14:textId="77777777" w:rsidR="0038049D" w:rsidRDefault="0038049D" w:rsidP="005A1628">
            <w:pPr>
              <w:pStyle w:val="TableParagraph"/>
              <w:spacing w:before="0" w:line="189" w:lineRule="auto"/>
              <w:ind w:left="180" w:right="477"/>
              <w:rPr>
                <w:rFonts w:ascii="Arial Black"/>
                <w:sz w:val="18"/>
              </w:rPr>
            </w:pPr>
            <w:r>
              <w:rPr>
                <w:rFonts w:ascii="Arial Black"/>
                <w:color w:val="FFFFFF"/>
                <w:w w:val="90"/>
                <w:sz w:val="18"/>
              </w:rPr>
              <w:t>Housing,</w:t>
            </w:r>
            <w:r>
              <w:rPr>
                <w:rFonts w:ascii="Arial Black"/>
                <w:color w:val="FFFFFF"/>
                <w:spacing w:val="-11"/>
                <w:w w:val="90"/>
                <w:sz w:val="18"/>
              </w:rPr>
              <w:t xml:space="preserve"> </w:t>
            </w:r>
            <w:r>
              <w:rPr>
                <w:rFonts w:ascii="Arial Black"/>
                <w:color w:val="FFFFFF"/>
                <w:w w:val="90"/>
                <w:sz w:val="18"/>
              </w:rPr>
              <w:t>social and</w:t>
            </w:r>
            <w:r>
              <w:rPr>
                <w:rFonts w:ascii="Arial Black"/>
                <w:color w:val="FFFFFF"/>
                <w:spacing w:val="-11"/>
                <w:w w:val="90"/>
                <w:sz w:val="18"/>
              </w:rPr>
              <w:t xml:space="preserve"> </w:t>
            </w:r>
            <w:r>
              <w:rPr>
                <w:rFonts w:ascii="Arial Black"/>
                <w:color w:val="FFFFFF"/>
                <w:w w:val="90"/>
                <w:sz w:val="18"/>
              </w:rPr>
              <w:t xml:space="preserve">community </w:t>
            </w:r>
            <w:r>
              <w:rPr>
                <w:rFonts w:ascii="Arial Black"/>
                <w:color w:val="FFFFFF"/>
                <w:spacing w:val="-2"/>
                <w:sz w:val="18"/>
              </w:rPr>
              <w:t>development</w:t>
            </w:r>
          </w:p>
        </w:tc>
        <w:tc>
          <w:tcPr>
            <w:tcW w:w="3969" w:type="dxa"/>
            <w:tcBorders>
              <w:top w:val="single" w:sz="8" w:space="0" w:color="5A3154"/>
            </w:tcBorders>
            <w:shd w:val="clear" w:color="auto" w:fill="F2EFF2"/>
            <w:vAlign w:val="center"/>
          </w:tcPr>
          <w:p w14:paraId="5A91DA85" w14:textId="77777777" w:rsidR="0038049D" w:rsidRDefault="0038049D" w:rsidP="005A1628">
            <w:pPr>
              <w:pStyle w:val="TableParagraph"/>
              <w:ind w:left="170"/>
              <w:rPr>
                <w:sz w:val="16"/>
              </w:rPr>
            </w:pPr>
            <w:r>
              <w:rPr>
                <w:color w:val="231F20"/>
                <w:w w:val="105"/>
                <w:sz w:val="16"/>
              </w:rPr>
              <w:t>New</w:t>
            </w:r>
            <w:r>
              <w:rPr>
                <w:color w:val="231F20"/>
                <w:spacing w:val="-5"/>
                <w:w w:val="105"/>
                <w:sz w:val="16"/>
              </w:rPr>
              <w:t xml:space="preserve"> </w:t>
            </w:r>
            <w:r>
              <w:rPr>
                <w:color w:val="231F20"/>
                <w:w w:val="105"/>
                <w:sz w:val="16"/>
              </w:rPr>
              <w:t>housing</w:t>
            </w:r>
            <w:r>
              <w:rPr>
                <w:color w:val="231F20"/>
                <w:spacing w:val="-4"/>
                <w:w w:val="105"/>
                <w:sz w:val="16"/>
              </w:rPr>
              <w:t xml:space="preserve"> </w:t>
            </w:r>
            <w:r>
              <w:rPr>
                <w:color w:val="231F20"/>
                <w:spacing w:val="-2"/>
                <w:w w:val="105"/>
                <w:sz w:val="16"/>
              </w:rPr>
              <w:t>allocations</w:t>
            </w:r>
          </w:p>
        </w:tc>
        <w:tc>
          <w:tcPr>
            <w:tcW w:w="1417" w:type="dxa"/>
            <w:tcBorders>
              <w:top w:val="single" w:sz="8" w:space="0" w:color="5A3154"/>
            </w:tcBorders>
            <w:shd w:val="clear" w:color="auto" w:fill="F2EFF2"/>
            <w:vAlign w:val="center"/>
          </w:tcPr>
          <w:p w14:paraId="2879047F" w14:textId="77777777" w:rsidR="0038049D" w:rsidRPr="00487D35" w:rsidRDefault="0038049D" w:rsidP="005A1628">
            <w:pPr>
              <w:pStyle w:val="TableParagraph"/>
              <w:ind w:right="90"/>
              <w:jc w:val="right"/>
              <w:rPr>
                <w:sz w:val="18"/>
                <w:szCs w:val="18"/>
              </w:rPr>
            </w:pPr>
            <w:r w:rsidRPr="00487D35">
              <w:rPr>
                <w:color w:val="231F20"/>
                <w:spacing w:val="-5"/>
                <w:sz w:val="18"/>
                <w:szCs w:val="18"/>
              </w:rPr>
              <w:t>618</w:t>
            </w:r>
          </w:p>
        </w:tc>
        <w:tc>
          <w:tcPr>
            <w:tcW w:w="1134" w:type="dxa"/>
            <w:tcBorders>
              <w:top w:val="single" w:sz="8" w:space="0" w:color="5A3154"/>
            </w:tcBorders>
            <w:shd w:val="clear" w:color="auto" w:fill="F2EFF2"/>
            <w:vAlign w:val="center"/>
          </w:tcPr>
          <w:p w14:paraId="45AE505B" w14:textId="77777777" w:rsidR="0038049D" w:rsidRPr="00487D35" w:rsidRDefault="0038049D" w:rsidP="005A1628">
            <w:pPr>
              <w:pStyle w:val="TableParagraph"/>
              <w:ind w:right="90"/>
              <w:jc w:val="right"/>
              <w:rPr>
                <w:color w:val="231F20"/>
                <w:spacing w:val="-5"/>
                <w:sz w:val="18"/>
                <w:szCs w:val="18"/>
              </w:rPr>
            </w:pPr>
            <w:r w:rsidRPr="00487D35">
              <w:rPr>
                <w:color w:val="231F20"/>
                <w:spacing w:val="-5"/>
                <w:sz w:val="18"/>
                <w:szCs w:val="18"/>
              </w:rPr>
              <w:t>580</w:t>
            </w:r>
          </w:p>
        </w:tc>
        <w:tc>
          <w:tcPr>
            <w:tcW w:w="1418" w:type="dxa"/>
            <w:tcBorders>
              <w:top w:val="single" w:sz="8" w:space="0" w:color="5A3154"/>
            </w:tcBorders>
            <w:shd w:val="clear" w:color="auto" w:fill="F2EFF2"/>
            <w:vAlign w:val="center"/>
          </w:tcPr>
          <w:p w14:paraId="4B4D9331" w14:textId="77777777" w:rsidR="0038049D" w:rsidRPr="00487D35" w:rsidRDefault="0038049D" w:rsidP="005A1628">
            <w:pPr>
              <w:pStyle w:val="TableParagraph"/>
              <w:ind w:right="90"/>
              <w:jc w:val="right"/>
              <w:rPr>
                <w:color w:val="231F20"/>
                <w:spacing w:val="-5"/>
                <w:sz w:val="18"/>
                <w:szCs w:val="18"/>
              </w:rPr>
            </w:pPr>
            <w:r w:rsidRPr="00487D35">
              <w:rPr>
                <w:color w:val="231F20"/>
                <w:spacing w:val="-5"/>
                <w:sz w:val="18"/>
                <w:szCs w:val="18"/>
              </w:rPr>
              <w:t>744</w:t>
            </w:r>
          </w:p>
        </w:tc>
        <w:tc>
          <w:tcPr>
            <w:tcW w:w="1275" w:type="dxa"/>
            <w:tcBorders>
              <w:top w:val="single" w:sz="8" w:space="0" w:color="5A3154"/>
            </w:tcBorders>
            <w:shd w:val="clear" w:color="auto" w:fill="F2EFF2"/>
            <w:vAlign w:val="center"/>
          </w:tcPr>
          <w:p w14:paraId="7A149A5C" w14:textId="77777777" w:rsidR="0038049D" w:rsidRPr="00487D35" w:rsidRDefault="0038049D" w:rsidP="005A1628">
            <w:pPr>
              <w:pStyle w:val="TableParagraph"/>
              <w:ind w:right="90"/>
              <w:jc w:val="right"/>
              <w:rPr>
                <w:color w:val="231F20"/>
                <w:spacing w:val="-5"/>
                <w:sz w:val="18"/>
                <w:szCs w:val="18"/>
              </w:rPr>
            </w:pPr>
            <w:r w:rsidRPr="00487D35">
              <w:rPr>
                <w:color w:val="231F20"/>
                <w:spacing w:val="-5"/>
                <w:sz w:val="18"/>
                <w:szCs w:val="18"/>
              </w:rPr>
              <w:t>442</w:t>
            </w:r>
          </w:p>
        </w:tc>
        <w:tc>
          <w:tcPr>
            <w:tcW w:w="1276" w:type="dxa"/>
            <w:tcBorders>
              <w:top w:val="single" w:sz="8" w:space="0" w:color="5A3154"/>
            </w:tcBorders>
            <w:shd w:val="clear" w:color="auto" w:fill="F2EFF2"/>
            <w:vAlign w:val="center"/>
          </w:tcPr>
          <w:p w14:paraId="0372BA48" w14:textId="77777777" w:rsidR="0038049D" w:rsidRPr="00487D35" w:rsidRDefault="0038049D" w:rsidP="005A1628">
            <w:pPr>
              <w:pStyle w:val="TableParagraph"/>
              <w:ind w:right="90"/>
              <w:jc w:val="right"/>
              <w:rPr>
                <w:color w:val="231F20"/>
                <w:spacing w:val="-5"/>
                <w:sz w:val="18"/>
                <w:szCs w:val="18"/>
              </w:rPr>
            </w:pPr>
            <w:r w:rsidRPr="00487D35">
              <w:rPr>
                <w:color w:val="231F20"/>
                <w:spacing w:val="-5"/>
                <w:sz w:val="18"/>
                <w:szCs w:val="18"/>
              </w:rPr>
              <w:t>535</w:t>
            </w:r>
          </w:p>
        </w:tc>
        <w:tc>
          <w:tcPr>
            <w:tcW w:w="1276" w:type="dxa"/>
            <w:tcBorders>
              <w:top w:val="single" w:sz="8" w:space="0" w:color="5A3154"/>
            </w:tcBorders>
            <w:shd w:val="clear" w:color="auto" w:fill="F2EFF2"/>
            <w:vAlign w:val="center"/>
          </w:tcPr>
          <w:p w14:paraId="6360FD33" w14:textId="77777777" w:rsidR="0038049D" w:rsidRPr="00487D35" w:rsidRDefault="0038049D" w:rsidP="005A1628">
            <w:pPr>
              <w:pStyle w:val="TableParagraph"/>
              <w:ind w:right="90"/>
              <w:jc w:val="right"/>
              <w:rPr>
                <w:color w:val="231F20"/>
                <w:spacing w:val="-5"/>
                <w:sz w:val="18"/>
                <w:szCs w:val="18"/>
              </w:rPr>
            </w:pPr>
            <w:r w:rsidRPr="00487D35">
              <w:rPr>
                <w:color w:val="231F20"/>
                <w:spacing w:val="-5"/>
                <w:sz w:val="18"/>
                <w:szCs w:val="18"/>
              </w:rPr>
              <w:t>700</w:t>
            </w:r>
          </w:p>
        </w:tc>
        <w:tc>
          <w:tcPr>
            <w:tcW w:w="1276" w:type="dxa"/>
            <w:tcBorders>
              <w:top w:val="single" w:sz="8" w:space="0" w:color="5A3154"/>
            </w:tcBorders>
            <w:shd w:val="clear" w:color="auto" w:fill="F2EFF2"/>
            <w:vAlign w:val="center"/>
          </w:tcPr>
          <w:p w14:paraId="1ADE6B57" w14:textId="77777777" w:rsidR="0038049D" w:rsidRPr="00487D35" w:rsidRDefault="0038049D" w:rsidP="005A1628">
            <w:pPr>
              <w:pStyle w:val="TableParagraph"/>
              <w:ind w:right="90"/>
              <w:jc w:val="right"/>
              <w:rPr>
                <w:color w:val="231F20"/>
                <w:spacing w:val="-5"/>
                <w:sz w:val="18"/>
                <w:szCs w:val="18"/>
              </w:rPr>
            </w:pPr>
            <w:r w:rsidRPr="00487D35">
              <w:rPr>
                <w:color w:val="231F20"/>
                <w:spacing w:val="-5"/>
                <w:sz w:val="18"/>
                <w:szCs w:val="18"/>
              </w:rPr>
              <w:t>1,043</w:t>
            </w:r>
          </w:p>
        </w:tc>
      </w:tr>
      <w:tr w:rsidR="0038049D" w:rsidRPr="00487D35" w14:paraId="0A10F3C1" w14:textId="77777777" w:rsidTr="005A1628">
        <w:trPr>
          <w:trHeight w:val="263"/>
          <w:jc w:val="center"/>
        </w:trPr>
        <w:tc>
          <w:tcPr>
            <w:tcW w:w="2127" w:type="dxa"/>
            <w:vMerge/>
            <w:tcBorders>
              <w:top w:val="nil"/>
              <w:left w:val="nil"/>
            </w:tcBorders>
            <w:shd w:val="clear" w:color="auto" w:fill="83647E"/>
            <w:vAlign w:val="center"/>
          </w:tcPr>
          <w:p w14:paraId="6A7A07E2" w14:textId="77777777" w:rsidR="0038049D" w:rsidRDefault="0038049D" w:rsidP="005A1628">
            <w:pPr>
              <w:rPr>
                <w:sz w:val="2"/>
                <w:szCs w:val="2"/>
              </w:rPr>
            </w:pPr>
          </w:p>
        </w:tc>
        <w:tc>
          <w:tcPr>
            <w:tcW w:w="3969" w:type="dxa"/>
            <w:shd w:val="clear" w:color="auto" w:fill="F2EFF2"/>
            <w:vAlign w:val="center"/>
          </w:tcPr>
          <w:p w14:paraId="668D4B2E" w14:textId="77777777" w:rsidR="0038049D" w:rsidRDefault="0038049D" w:rsidP="005A1628">
            <w:pPr>
              <w:pStyle w:val="TableParagraph"/>
              <w:ind w:left="170"/>
              <w:rPr>
                <w:sz w:val="16"/>
              </w:rPr>
            </w:pPr>
            <w:r>
              <w:rPr>
                <w:color w:val="231F20"/>
                <w:sz w:val="16"/>
              </w:rPr>
              <w:t>Homeless</w:t>
            </w:r>
            <w:r>
              <w:rPr>
                <w:color w:val="231F20"/>
                <w:spacing w:val="14"/>
                <w:sz w:val="16"/>
              </w:rPr>
              <w:t xml:space="preserve"> </w:t>
            </w:r>
            <w:r>
              <w:rPr>
                <w:color w:val="231F20"/>
                <w:sz w:val="16"/>
              </w:rPr>
              <w:t>exits</w:t>
            </w:r>
            <w:r>
              <w:rPr>
                <w:color w:val="231F20"/>
                <w:spacing w:val="14"/>
                <w:sz w:val="16"/>
              </w:rPr>
              <w:t xml:space="preserve"> </w:t>
            </w:r>
            <w:r>
              <w:rPr>
                <w:color w:val="231F20"/>
                <w:sz w:val="16"/>
              </w:rPr>
              <w:t>/</w:t>
            </w:r>
            <w:r>
              <w:rPr>
                <w:color w:val="231F20"/>
                <w:spacing w:val="15"/>
                <w:sz w:val="16"/>
              </w:rPr>
              <w:t xml:space="preserve"> </w:t>
            </w:r>
            <w:r>
              <w:rPr>
                <w:color w:val="231F20"/>
                <w:spacing w:val="-2"/>
                <w:sz w:val="16"/>
              </w:rPr>
              <w:t>preventions</w:t>
            </w:r>
          </w:p>
        </w:tc>
        <w:tc>
          <w:tcPr>
            <w:tcW w:w="1417" w:type="dxa"/>
            <w:shd w:val="clear" w:color="auto" w:fill="F2EFF2"/>
            <w:vAlign w:val="center"/>
          </w:tcPr>
          <w:p w14:paraId="558A1AFF" w14:textId="77777777" w:rsidR="0038049D" w:rsidRPr="00487D35" w:rsidRDefault="0038049D" w:rsidP="005A1628">
            <w:pPr>
              <w:pStyle w:val="TableParagraph"/>
              <w:ind w:right="90"/>
              <w:jc w:val="right"/>
              <w:rPr>
                <w:sz w:val="18"/>
                <w:szCs w:val="18"/>
              </w:rPr>
            </w:pPr>
            <w:r w:rsidRPr="00487D35">
              <w:rPr>
                <w:color w:val="231F20"/>
                <w:spacing w:val="-5"/>
                <w:sz w:val="18"/>
                <w:szCs w:val="18"/>
              </w:rPr>
              <w:t>738</w:t>
            </w:r>
          </w:p>
        </w:tc>
        <w:tc>
          <w:tcPr>
            <w:tcW w:w="1134" w:type="dxa"/>
            <w:shd w:val="clear" w:color="auto" w:fill="F2EFF2"/>
            <w:vAlign w:val="center"/>
          </w:tcPr>
          <w:p w14:paraId="2E3A8912" w14:textId="77777777" w:rsidR="0038049D" w:rsidRPr="00487D35" w:rsidRDefault="0038049D" w:rsidP="005A1628">
            <w:pPr>
              <w:pStyle w:val="TableParagraph"/>
              <w:ind w:right="90"/>
              <w:jc w:val="right"/>
              <w:rPr>
                <w:color w:val="231F20"/>
                <w:spacing w:val="-5"/>
                <w:sz w:val="18"/>
                <w:szCs w:val="18"/>
              </w:rPr>
            </w:pPr>
            <w:r w:rsidRPr="00487D35">
              <w:rPr>
                <w:color w:val="231F20"/>
                <w:spacing w:val="-5"/>
                <w:sz w:val="18"/>
                <w:szCs w:val="18"/>
              </w:rPr>
              <w:t>767</w:t>
            </w:r>
          </w:p>
        </w:tc>
        <w:tc>
          <w:tcPr>
            <w:tcW w:w="1418" w:type="dxa"/>
            <w:shd w:val="clear" w:color="auto" w:fill="F2EFF2"/>
            <w:vAlign w:val="center"/>
          </w:tcPr>
          <w:p w14:paraId="16A9489D" w14:textId="77777777" w:rsidR="0038049D" w:rsidRPr="00487D35" w:rsidRDefault="0038049D" w:rsidP="005A1628">
            <w:pPr>
              <w:pStyle w:val="TableParagraph"/>
              <w:ind w:right="90"/>
              <w:jc w:val="right"/>
              <w:rPr>
                <w:color w:val="231F20"/>
                <w:spacing w:val="-5"/>
                <w:sz w:val="18"/>
                <w:szCs w:val="18"/>
              </w:rPr>
            </w:pPr>
            <w:r w:rsidRPr="00487D35">
              <w:rPr>
                <w:color w:val="231F20"/>
                <w:spacing w:val="-5"/>
                <w:sz w:val="18"/>
                <w:szCs w:val="18"/>
              </w:rPr>
              <w:t>725</w:t>
            </w:r>
          </w:p>
        </w:tc>
        <w:tc>
          <w:tcPr>
            <w:tcW w:w="1275" w:type="dxa"/>
            <w:shd w:val="clear" w:color="auto" w:fill="F2EFF2"/>
            <w:vAlign w:val="center"/>
          </w:tcPr>
          <w:p w14:paraId="7753770A" w14:textId="77777777" w:rsidR="0038049D" w:rsidRPr="00487D35" w:rsidRDefault="0038049D" w:rsidP="005A1628">
            <w:pPr>
              <w:pStyle w:val="TableParagraph"/>
              <w:ind w:right="90"/>
              <w:jc w:val="right"/>
              <w:rPr>
                <w:color w:val="231F20"/>
                <w:spacing w:val="-5"/>
                <w:sz w:val="18"/>
                <w:szCs w:val="18"/>
              </w:rPr>
            </w:pPr>
            <w:r w:rsidRPr="00487D35">
              <w:rPr>
                <w:color w:val="231F20"/>
                <w:spacing w:val="-5"/>
                <w:sz w:val="18"/>
                <w:szCs w:val="18"/>
              </w:rPr>
              <w:t>365</w:t>
            </w:r>
          </w:p>
        </w:tc>
        <w:tc>
          <w:tcPr>
            <w:tcW w:w="1276" w:type="dxa"/>
            <w:shd w:val="clear" w:color="auto" w:fill="F2EFF2"/>
            <w:vAlign w:val="center"/>
          </w:tcPr>
          <w:p w14:paraId="580AA9D3" w14:textId="77777777" w:rsidR="0038049D" w:rsidRPr="00487D35" w:rsidRDefault="0038049D" w:rsidP="005A1628">
            <w:pPr>
              <w:pStyle w:val="TableParagraph"/>
              <w:ind w:right="90"/>
              <w:jc w:val="right"/>
              <w:rPr>
                <w:color w:val="231F20"/>
                <w:spacing w:val="-5"/>
                <w:sz w:val="18"/>
                <w:szCs w:val="18"/>
              </w:rPr>
            </w:pPr>
            <w:r w:rsidRPr="00487D35">
              <w:rPr>
                <w:color w:val="231F20"/>
                <w:spacing w:val="-5"/>
                <w:sz w:val="18"/>
                <w:szCs w:val="18"/>
              </w:rPr>
              <w:t>526</w:t>
            </w:r>
          </w:p>
        </w:tc>
        <w:tc>
          <w:tcPr>
            <w:tcW w:w="1276" w:type="dxa"/>
            <w:shd w:val="clear" w:color="auto" w:fill="F2EFF2"/>
            <w:vAlign w:val="center"/>
          </w:tcPr>
          <w:p w14:paraId="2C21F2C6" w14:textId="77777777" w:rsidR="0038049D" w:rsidRPr="00487D35" w:rsidRDefault="0038049D" w:rsidP="005A1628">
            <w:pPr>
              <w:pStyle w:val="TableParagraph"/>
              <w:ind w:right="90"/>
              <w:jc w:val="right"/>
              <w:rPr>
                <w:color w:val="231F20"/>
                <w:spacing w:val="-5"/>
                <w:sz w:val="18"/>
                <w:szCs w:val="18"/>
              </w:rPr>
            </w:pPr>
            <w:r w:rsidRPr="00487D35">
              <w:rPr>
                <w:color w:val="231F20"/>
                <w:spacing w:val="-5"/>
                <w:sz w:val="18"/>
                <w:szCs w:val="18"/>
              </w:rPr>
              <w:t>600</w:t>
            </w:r>
          </w:p>
        </w:tc>
        <w:tc>
          <w:tcPr>
            <w:tcW w:w="1276" w:type="dxa"/>
            <w:shd w:val="clear" w:color="auto" w:fill="F2EFF2"/>
            <w:vAlign w:val="center"/>
          </w:tcPr>
          <w:p w14:paraId="2D6B57B8" w14:textId="77777777" w:rsidR="0038049D" w:rsidRPr="00487D35" w:rsidRDefault="0038049D" w:rsidP="005A1628">
            <w:pPr>
              <w:pStyle w:val="TableParagraph"/>
              <w:ind w:right="90"/>
              <w:jc w:val="right"/>
              <w:rPr>
                <w:color w:val="231F20"/>
                <w:spacing w:val="-5"/>
                <w:sz w:val="18"/>
                <w:szCs w:val="18"/>
              </w:rPr>
            </w:pPr>
            <w:r w:rsidRPr="00487D35">
              <w:rPr>
                <w:color w:val="231F20"/>
                <w:spacing w:val="-5"/>
                <w:sz w:val="18"/>
                <w:szCs w:val="18"/>
              </w:rPr>
              <w:t>720</w:t>
            </w:r>
          </w:p>
        </w:tc>
      </w:tr>
      <w:tr w:rsidR="0038049D" w:rsidRPr="00487D35" w14:paraId="5DDE55E3" w14:textId="77777777" w:rsidTr="005A1628">
        <w:trPr>
          <w:trHeight w:val="318"/>
          <w:jc w:val="center"/>
        </w:trPr>
        <w:tc>
          <w:tcPr>
            <w:tcW w:w="2127" w:type="dxa"/>
            <w:vMerge/>
            <w:tcBorders>
              <w:top w:val="nil"/>
              <w:left w:val="nil"/>
            </w:tcBorders>
            <w:shd w:val="clear" w:color="auto" w:fill="83647E"/>
            <w:vAlign w:val="center"/>
          </w:tcPr>
          <w:p w14:paraId="4763F8A6" w14:textId="77777777" w:rsidR="0038049D" w:rsidRDefault="0038049D" w:rsidP="005A1628">
            <w:pPr>
              <w:rPr>
                <w:sz w:val="2"/>
                <w:szCs w:val="2"/>
              </w:rPr>
            </w:pPr>
          </w:p>
        </w:tc>
        <w:tc>
          <w:tcPr>
            <w:tcW w:w="3969" w:type="dxa"/>
            <w:shd w:val="clear" w:color="auto" w:fill="F2EFF2"/>
            <w:vAlign w:val="center"/>
          </w:tcPr>
          <w:p w14:paraId="6146C15C" w14:textId="77777777" w:rsidR="0038049D" w:rsidRDefault="0038049D" w:rsidP="005A1628">
            <w:pPr>
              <w:pStyle w:val="TableParagraph"/>
              <w:ind w:left="170"/>
              <w:rPr>
                <w:sz w:val="16"/>
              </w:rPr>
            </w:pPr>
            <w:r>
              <w:rPr>
                <w:color w:val="231F20"/>
                <w:sz w:val="16"/>
              </w:rPr>
              <w:t>Amount</w:t>
            </w:r>
            <w:r>
              <w:rPr>
                <w:color w:val="231F20"/>
                <w:spacing w:val="36"/>
                <w:sz w:val="16"/>
              </w:rPr>
              <w:t xml:space="preserve"> </w:t>
            </w:r>
            <w:r>
              <w:rPr>
                <w:color w:val="231F20"/>
                <w:sz w:val="16"/>
              </w:rPr>
              <w:t>of</w:t>
            </w:r>
            <w:r>
              <w:rPr>
                <w:color w:val="231F20"/>
                <w:spacing w:val="36"/>
                <w:sz w:val="16"/>
              </w:rPr>
              <w:t xml:space="preserve"> </w:t>
            </w:r>
            <w:r>
              <w:rPr>
                <w:color w:val="231F20"/>
                <w:sz w:val="16"/>
              </w:rPr>
              <w:t>planned</w:t>
            </w:r>
            <w:r>
              <w:rPr>
                <w:color w:val="231F20"/>
                <w:spacing w:val="36"/>
                <w:sz w:val="16"/>
              </w:rPr>
              <w:t xml:space="preserve"> </w:t>
            </w:r>
            <w:r>
              <w:rPr>
                <w:color w:val="231F20"/>
                <w:sz w:val="16"/>
              </w:rPr>
              <w:t>maintenance</w:t>
            </w:r>
            <w:r>
              <w:rPr>
                <w:color w:val="231F20"/>
                <w:spacing w:val="36"/>
                <w:sz w:val="16"/>
              </w:rPr>
              <w:t xml:space="preserve"> </w:t>
            </w:r>
            <w:r>
              <w:rPr>
                <w:color w:val="231F20"/>
                <w:spacing w:val="-2"/>
                <w:sz w:val="16"/>
              </w:rPr>
              <w:t>expenditure</w:t>
            </w:r>
          </w:p>
        </w:tc>
        <w:tc>
          <w:tcPr>
            <w:tcW w:w="1417" w:type="dxa"/>
            <w:shd w:val="clear" w:color="auto" w:fill="F2EFF2"/>
            <w:vAlign w:val="center"/>
          </w:tcPr>
          <w:p w14:paraId="7274C414" w14:textId="77777777" w:rsidR="0038049D" w:rsidRPr="00487D35" w:rsidRDefault="0038049D" w:rsidP="005A1628">
            <w:pPr>
              <w:pStyle w:val="TableParagraph"/>
              <w:ind w:right="90"/>
              <w:jc w:val="right"/>
              <w:rPr>
                <w:sz w:val="18"/>
                <w:szCs w:val="18"/>
              </w:rPr>
            </w:pPr>
            <w:r w:rsidRPr="00487D35">
              <w:rPr>
                <w:color w:val="231F20"/>
                <w:sz w:val="18"/>
                <w:szCs w:val="18"/>
              </w:rPr>
              <w:t>€1.7</w:t>
            </w:r>
            <w:r w:rsidRPr="00487D35">
              <w:rPr>
                <w:color w:val="231F20"/>
                <w:spacing w:val="3"/>
                <w:sz w:val="18"/>
                <w:szCs w:val="18"/>
              </w:rPr>
              <w:t xml:space="preserve"> </w:t>
            </w:r>
            <w:r w:rsidRPr="00487D35">
              <w:rPr>
                <w:color w:val="231F20"/>
                <w:spacing w:val="-10"/>
                <w:sz w:val="18"/>
                <w:szCs w:val="18"/>
              </w:rPr>
              <w:t>M</w:t>
            </w:r>
          </w:p>
        </w:tc>
        <w:tc>
          <w:tcPr>
            <w:tcW w:w="1134" w:type="dxa"/>
            <w:shd w:val="clear" w:color="auto" w:fill="F2EFF2"/>
            <w:vAlign w:val="center"/>
          </w:tcPr>
          <w:p w14:paraId="0493356C" w14:textId="77777777" w:rsidR="0038049D" w:rsidRPr="00487D35" w:rsidRDefault="0038049D" w:rsidP="005A1628">
            <w:pPr>
              <w:pStyle w:val="TableParagraph"/>
              <w:ind w:right="90"/>
              <w:jc w:val="right"/>
              <w:rPr>
                <w:color w:val="231F20"/>
                <w:sz w:val="18"/>
                <w:szCs w:val="18"/>
              </w:rPr>
            </w:pPr>
            <w:r w:rsidRPr="00487D35">
              <w:rPr>
                <w:color w:val="231F20"/>
                <w:sz w:val="18"/>
                <w:szCs w:val="18"/>
              </w:rPr>
              <w:t>€476,000</w:t>
            </w:r>
          </w:p>
        </w:tc>
        <w:tc>
          <w:tcPr>
            <w:tcW w:w="1418" w:type="dxa"/>
            <w:shd w:val="clear" w:color="auto" w:fill="F2EFF2"/>
            <w:vAlign w:val="center"/>
          </w:tcPr>
          <w:p w14:paraId="1E7510FB" w14:textId="77777777" w:rsidR="0038049D" w:rsidRPr="00487D35" w:rsidRDefault="0038049D" w:rsidP="005A1628">
            <w:pPr>
              <w:pStyle w:val="TableParagraph"/>
              <w:ind w:right="90"/>
              <w:jc w:val="right"/>
              <w:rPr>
                <w:color w:val="231F20"/>
                <w:sz w:val="18"/>
                <w:szCs w:val="18"/>
              </w:rPr>
            </w:pPr>
            <w:r w:rsidRPr="00487D35">
              <w:rPr>
                <w:color w:val="231F20"/>
                <w:sz w:val="18"/>
                <w:szCs w:val="18"/>
              </w:rPr>
              <w:t>€1.57million</w:t>
            </w:r>
          </w:p>
        </w:tc>
        <w:tc>
          <w:tcPr>
            <w:tcW w:w="1275" w:type="dxa"/>
            <w:shd w:val="clear" w:color="auto" w:fill="F2EFF2"/>
            <w:vAlign w:val="center"/>
          </w:tcPr>
          <w:p w14:paraId="0C192F20" w14:textId="77777777" w:rsidR="0038049D" w:rsidRPr="00487D35" w:rsidRDefault="0038049D" w:rsidP="005A1628">
            <w:pPr>
              <w:pStyle w:val="TableParagraph"/>
              <w:ind w:right="90"/>
              <w:jc w:val="right"/>
              <w:rPr>
                <w:color w:val="231F20"/>
                <w:sz w:val="18"/>
                <w:szCs w:val="18"/>
              </w:rPr>
            </w:pPr>
            <w:r w:rsidRPr="00487D35">
              <w:rPr>
                <w:color w:val="231F20"/>
                <w:sz w:val="18"/>
                <w:szCs w:val="18"/>
              </w:rPr>
              <w:t>€4.67million</w:t>
            </w:r>
          </w:p>
        </w:tc>
        <w:tc>
          <w:tcPr>
            <w:tcW w:w="1276" w:type="dxa"/>
            <w:shd w:val="clear" w:color="auto" w:fill="F2EFF2"/>
            <w:vAlign w:val="center"/>
          </w:tcPr>
          <w:p w14:paraId="3D318C1B" w14:textId="77777777" w:rsidR="0038049D" w:rsidRPr="00487D35" w:rsidRDefault="0038049D" w:rsidP="005A1628">
            <w:pPr>
              <w:pStyle w:val="BasicParagraph"/>
              <w:suppressAutoHyphens/>
              <w:jc w:val="right"/>
              <w:rPr>
                <w:rFonts w:ascii="Calibri" w:hAnsi="Calibri" w:cs="Calibri"/>
                <w:color w:val="231F20"/>
                <w:sz w:val="18"/>
                <w:szCs w:val="18"/>
              </w:rPr>
            </w:pPr>
            <w:r w:rsidRPr="00487D35">
              <w:rPr>
                <w:rStyle w:val="BoldSubheads"/>
                <w:rFonts w:ascii="Calibri" w:hAnsi="Calibri" w:cs="Calibri"/>
                <w:b w:val="0"/>
                <w:bCs w:val="0"/>
                <w:sz w:val="18"/>
                <w:szCs w:val="18"/>
                <w:lang w:val="en-US"/>
              </w:rPr>
              <w:t>€7,802,954.50</w:t>
            </w:r>
          </w:p>
        </w:tc>
        <w:tc>
          <w:tcPr>
            <w:tcW w:w="1276" w:type="dxa"/>
            <w:shd w:val="clear" w:color="auto" w:fill="F2EFF2"/>
            <w:vAlign w:val="center"/>
          </w:tcPr>
          <w:p w14:paraId="30D8CB77" w14:textId="77777777" w:rsidR="0038049D" w:rsidRPr="00487D35" w:rsidRDefault="0038049D" w:rsidP="005A1628">
            <w:pPr>
              <w:pStyle w:val="TableParagraph"/>
              <w:ind w:right="90"/>
              <w:jc w:val="right"/>
              <w:rPr>
                <w:color w:val="231F20"/>
                <w:sz w:val="18"/>
                <w:szCs w:val="18"/>
              </w:rPr>
            </w:pPr>
            <w:r w:rsidRPr="00487D35">
              <w:rPr>
                <w:color w:val="231F20"/>
                <w:sz w:val="18"/>
                <w:szCs w:val="18"/>
              </w:rPr>
              <w:t>€10,000,000</w:t>
            </w:r>
          </w:p>
        </w:tc>
        <w:tc>
          <w:tcPr>
            <w:tcW w:w="1276" w:type="dxa"/>
            <w:shd w:val="clear" w:color="auto" w:fill="F2EFF2"/>
            <w:vAlign w:val="center"/>
          </w:tcPr>
          <w:p w14:paraId="08025E0A" w14:textId="77777777" w:rsidR="0038049D" w:rsidRPr="00487D35" w:rsidRDefault="0038049D" w:rsidP="005A1628">
            <w:pPr>
              <w:pStyle w:val="TableParagraph"/>
              <w:ind w:right="90"/>
              <w:jc w:val="right"/>
              <w:rPr>
                <w:color w:val="231F20"/>
                <w:sz w:val="18"/>
                <w:szCs w:val="18"/>
              </w:rPr>
            </w:pPr>
            <w:r w:rsidRPr="00487D35">
              <w:rPr>
                <w:color w:val="231F20"/>
                <w:sz w:val="18"/>
                <w:szCs w:val="18"/>
              </w:rPr>
              <w:t>€7,783,968</w:t>
            </w:r>
          </w:p>
        </w:tc>
      </w:tr>
      <w:tr w:rsidR="0038049D" w:rsidRPr="00487D35" w14:paraId="25992336" w14:textId="77777777" w:rsidTr="005A1628">
        <w:trPr>
          <w:trHeight w:val="263"/>
          <w:jc w:val="center"/>
        </w:trPr>
        <w:tc>
          <w:tcPr>
            <w:tcW w:w="2127" w:type="dxa"/>
            <w:vMerge/>
            <w:tcBorders>
              <w:top w:val="nil"/>
              <w:left w:val="nil"/>
            </w:tcBorders>
            <w:shd w:val="clear" w:color="auto" w:fill="83647E"/>
            <w:vAlign w:val="center"/>
          </w:tcPr>
          <w:p w14:paraId="3591BE68" w14:textId="77777777" w:rsidR="0038049D" w:rsidRDefault="0038049D" w:rsidP="005A1628">
            <w:pPr>
              <w:rPr>
                <w:sz w:val="2"/>
                <w:szCs w:val="2"/>
              </w:rPr>
            </w:pPr>
          </w:p>
        </w:tc>
        <w:tc>
          <w:tcPr>
            <w:tcW w:w="3969" w:type="dxa"/>
            <w:shd w:val="clear" w:color="auto" w:fill="F2EFF2"/>
            <w:vAlign w:val="center"/>
          </w:tcPr>
          <w:p w14:paraId="33426690" w14:textId="77777777" w:rsidR="0038049D" w:rsidRDefault="0038049D" w:rsidP="005A1628">
            <w:pPr>
              <w:pStyle w:val="TableParagraph"/>
              <w:ind w:left="170"/>
              <w:rPr>
                <w:sz w:val="16"/>
              </w:rPr>
            </w:pPr>
            <w:r>
              <w:rPr>
                <w:color w:val="231F20"/>
                <w:sz w:val="16"/>
              </w:rPr>
              <w:t>Interagency</w:t>
            </w:r>
            <w:r>
              <w:rPr>
                <w:color w:val="231F20"/>
                <w:spacing w:val="30"/>
                <w:sz w:val="16"/>
              </w:rPr>
              <w:t xml:space="preserve"> </w:t>
            </w:r>
            <w:r>
              <w:rPr>
                <w:color w:val="231F20"/>
                <w:spacing w:val="-2"/>
                <w:sz w:val="16"/>
              </w:rPr>
              <w:t>meetings</w:t>
            </w:r>
          </w:p>
        </w:tc>
        <w:tc>
          <w:tcPr>
            <w:tcW w:w="1417" w:type="dxa"/>
            <w:shd w:val="clear" w:color="auto" w:fill="F2EFF2"/>
            <w:vAlign w:val="center"/>
          </w:tcPr>
          <w:p w14:paraId="1565606E" w14:textId="77777777" w:rsidR="0038049D" w:rsidRPr="00487D35" w:rsidRDefault="0038049D" w:rsidP="005A1628">
            <w:pPr>
              <w:pStyle w:val="TableParagraph"/>
              <w:ind w:right="90"/>
              <w:jc w:val="right"/>
              <w:rPr>
                <w:sz w:val="18"/>
                <w:szCs w:val="18"/>
              </w:rPr>
            </w:pPr>
            <w:r w:rsidRPr="00487D35">
              <w:rPr>
                <w:color w:val="231F20"/>
                <w:spacing w:val="-5"/>
                <w:sz w:val="18"/>
                <w:szCs w:val="18"/>
              </w:rPr>
              <w:t>39</w:t>
            </w:r>
          </w:p>
        </w:tc>
        <w:tc>
          <w:tcPr>
            <w:tcW w:w="1134" w:type="dxa"/>
            <w:shd w:val="clear" w:color="auto" w:fill="F2EFF2"/>
            <w:vAlign w:val="center"/>
          </w:tcPr>
          <w:p w14:paraId="6D3125B0" w14:textId="77777777" w:rsidR="0038049D" w:rsidRPr="00487D35" w:rsidRDefault="0038049D" w:rsidP="005A1628">
            <w:pPr>
              <w:pStyle w:val="TableParagraph"/>
              <w:ind w:right="90"/>
              <w:jc w:val="right"/>
              <w:rPr>
                <w:color w:val="231F20"/>
                <w:spacing w:val="-5"/>
                <w:sz w:val="18"/>
                <w:szCs w:val="18"/>
              </w:rPr>
            </w:pPr>
            <w:r w:rsidRPr="00487D35">
              <w:rPr>
                <w:color w:val="231F20"/>
                <w:spacing w:val="-5"/>
                <w:sz w:val="18"/>
                <w:szCs w:val="18"/>
              </w:rPr>
              <w:t>45</w:t>
            </w:r>
          </w:p>
        </w:tc>
        <w:tc>
          <w:tcPr>
            <w:tcW w:w="1418" w:type="dxa"/>
            <w:shd w:val="clear" w:color="auto" w:fill="F2EFF2"/>
            <w:vAlign w:val="center"/>
          </w:tcPr>
          <w:p w14:paraId="117FC6F4" w14:textId="77777777" w:rsidR="0038049D" w:rsidRPr="00487D35" w:rsidRDefault="0038049D" w:rsidP="005A1628">
            <w:pPr>
              <w:pStyle w:val="TableParagraph"/>
              <w:ind w:right="90"/>
              <w:jc w:val="right"/>
              <w:rPr>
                <w:color w:val="231F20"/>
                <w:spacing w:val="-5"/>
                <w:sz w:val="18"/>
                <w:szCs w:val="18"/>
              </w:rPr>
            </w:pPr>
            <w:r w:rsidRPr="00487D35">
              <w:rPr>
                <w:color w:val="231F20"/>
                <w:spacing w:val="-5"/>
                <w:sz w:val="18"/>
                <w:szCs w:val="18"/>
              </w:rPr>
              <w:t>44</w:t>
            </w:r>
          </w:p>
        </w:tc>
        <w:tc>
          <w:tcPr>
            <w:tcW w:w="1275" w:type="dxa"/>
            <w:shd w:val="clear" w:color="auto" w:fill="F2EFF2"/>
            <w:vAlign w:val="center"/>
          </w:tcPr>
          <w:p w14:paraId="6E003569" w14:textId="77777777" w:rsidR="0038049D" w:rsidRPr="00487D35" w:rsidRDefault="0038049D" w:rsidP="005A1628">
            <w:pPr>
              <w:pStyle w:val="TableParagraph"/>
              <w:ind w:right="90"/>
              <w:jc w:val="right"/>
              <w:rPr>
                <w:color w:val="231F20"/>
                <w:spacing w:val="-5"/>
                <w:sz w:val="18"/>
                <w:szCs w:val="18"/>
              </w:rPr>
            </w:pPr>
            <w:r w:rsidRPr="00487D35">
              <w:rPr>
                <w:color w:val="231F20"/>
                <w:spacing w:val="-5"/>
                <w:sz w:val="18"/>
                <w:szCs w:val="18"/>
              </w:rPr>
              <w:t>48</w:t>
            </w:r>
          </w:p>
        </w:tc>
        <w:tc>
          <w:tcPr>
            <w:tcW w:w="1276" w:type="dxa"/>
            <w:shd w:val="clear" w:color="auto" w:fill="F2EFF2"/>
            <w:vAlign w:val="center"/>
          </w:tcPr>
          <w:p w14:paraId="190DF4E2" w14:textId="77777777" w:rsidR="0038049D" w:rsidRPr="00487D35" w:rsidRDefault="0038049D" w:rsidP="005A1628">
            <w:pPr>
              <w:pStyle w:val="TableParagraph"/>
              <w:ind w:right="90"/>
              <w:jc w:val="right"/>
              <w:rPr>
                <w:color w:val="231F20"/>
                <w:spacing w:val="-5"/>
                <w:sz w:val="18"/>
                <w:szCs w:val="18"/>
              </w:rPr>
            </w:pPr>
            <w:r w:rsidRPr="00487D35">
              <w:rPr>
                <w:color w:val="231F20"/>
                <w:spacing w:val="-5"/>
                <w:sz w:val="18"/>
                <w:szCs w:val="18"/>
              </w:rPr>
              <w:t>100</w:t>
            </w:r>
          </w:p>
        </w:tc>
        <w:tc>
          <w:tcPr>
            <w:tcW w:w="1276" w:type="dxa"/>
            <w:shd w:val="clear" w:color="auto" w:fill="F2EFF2"/>
            <w:vAlign w:val="center"/>
          </w:tcPr>
          <w:p w14:paraId="47783FC4" w14:textId="77777777" w:rsidR="0038049D" w:rsidRPr="00487D35" w:rsidRDefault="0038049D" w:rsidP="005A1628">
            <w:pPr>
              <w:pStyle w:val="TableParagraph"/>
              <w:ind w:right="90"/>
              <w:jc w:val="right"/>
              <w:rPr>
                <w:color w:val="231F20"/>
                <w:spacing w:val="-5"/>
                <w:sz w:val="18"/>
                <w:szCs w:val="18"/>
              </w:rPr>
            </w:pPr>
            <w:r w:rsidRPr="00487D35">
              <w:rPr>
                <w:color w:val="231F20"/>
                <w:spacing w:val="-5"/>
                <w:sz w:val="18"/>
                <w:szCs w:val="18"/>
              </w:rPr>
              <w:t>115</w:t>
            </w:r>
          </w:p>
        </w:tc>
        <w:tc>
          <w:tcPr>
            <w:tcW w:w="1276" w:type="dxa"/>
            <w:shd w:val="clear" w:color="auto" w:fill="F2EFF2"/>
            <w:vAlign w:val="center"/>
          </w:tcPr>
          <w:p w14:paraId="6B332ED9" w14:textId="77777777" w:rsidR="0038049D" w:rsidRPr="00487D35" w:rsidRDefault="0038049D" w:rsidP="005A1628">
            <w:pPr>
              <w:pStyle w:val="TableParagraph"/>
              <w:ind w:right="90"/>
              <w:jc w:val="right"/>
              <w:rPr>
                <w:color w:val="231F20"/>
                <w:spacing w:val="-5"/>
                <w:sz w:val="18"/>
                <w:szCs w:val="18"/>
              </w:rPr>
            </w:pPr>
            <w:r w:rsidRPr="00487D35">
              <w:rPr>
                <w:color w:val="000000" w:themeColor="text1"/>
                <w:spacing w:val="-5"/>
                <w:sz w:val="18"/>
                <w:szCs w:val="18"/>
              </w:rPr>
              <w:t>154</w:t>
            </w:r>
          </w:p>
        </w:tc>
      </w:tr>
      <w:tr w:rsidR="0038049D" w:rsidRPr="00487D35" w14:paraId="3095005E" w14:textId="77777777" w:rsidTr="005A1628">
        <w:trPr>
          <w:trHeight w:val="263"/>
          <w:jc w:val="center"/>
        </w:trPr>
        <w:tc>
          <w:tcPr>
            <w:tcW w:w="2127" w:type="dxa"/>
            <w:vMerge/>
            <w:tcBorders>
              <w:top w:val="nil"/>
              <w:left w:val="nil"/>
            </w:tcBorders>
            <w:shd w:val="clear" w:color="auto" w:fill="83647E"/>
            <w:vAlign w:val="center"/>
          </w:tcPr>
          <w:p w14:paraId="7EE88323" w14:textId="77777777" w:rsidR="0038049D" w:rsidRDefault="0038049D" w:rsidP="005A1628">
            <w:pPr>
              <w:rPr>
                <w:sz w:val="2"/>
                <w:szCs w:val="2"/>
              </w:rPr>
            </w:pPr>
          </w:p>
        </w:tc>
        <w:tc>
          <w:tcPr>
            <w:tcW w:w="3969" w:type="dxa"/>
            <w:shd w:val="clear" w:color="auto" w:fill="F2EFF2"/>
            <w:vAlign w:val="center"/>
          </w:tcPr>
          <w:p w14:paraId="38FBE295" w14:textId="77777777" w:rsidR="0038049D" w:rsidRDefault="0038049D" w:rsidP="005A1628">
            <w:pPr>
              <w:pStyle w:val="TableParagraph"/>
              <w:ind w:left="170"/>
              <w:rPr>
                <w:sz w:val="16"/>
              </w:rPr>
            </w:pPr>
            <w:r>
              <w:rPr>
                <w:color w:val="231F20"/>
                <w:w w:val="105"/>
                <w:sz w:val="16"/>
              </w:rPr>
              <w:t>Visitors</w:t>
            </w:r>
            <w:r>
              <w:rPr>
                <w:color w:val="231F20"/>
                <w:spacing w:val="-3"/>
                <w:w w:val="105"/>
                <w:sz w:val="16"/>
              </w:rPr>
              <w:t xml:space="preserve"> </w:t>
            </w:r>
            <w:r>
              <w:rPr>
                <w:color w:val="231F20"/>
                <w:w w:val="105"/>
                <w:sz w:val="16"/>
              </w:rPr>
              <w:t>to</w:t>
            </w:r>
            <w:r>
              <w:rPr>
                <w:color w:val="231F20"/>
                <w:spacing w:val="-2"/>
                <w:w w:val="105"/>
                <w:sz w:val="16"/>
              </w:rPr>
              <w:t xml:space="preserve"> </w:t>
            </w:r>
            <w:r>
              <w:rPr>
                <w:color w:val="231F20"/>
                <w:w w:val="105"/>
                <w:sz w:val="16"/>
              </w:rPr>
              <w:t>council</w:t>
            </w:r>
            <w:r>
              <w:rPr>
                <w:color w:val="231F20"/>
                <w:spacing w:val="-3"/>
                <w:w w:val="105"/>
                <w:sz w:val="16"/>
              </w:rPr>
              <w:t xml:space="preserve"> </w:t>
            </w:r>
            <w:r>
              <w:rPr>
                <w:color w:val="231F20"/>
                <w:w w:val="105"/>
                <w:sz w:val="16"/>
              </w:rPr>
              <w:t>leisure</w:t>
            </w:r>
            <w:r>
              <w:rPr>
                <w:color w:val="231F20"/>
                <w:spacing w:val="-2"/>
                <w:w w:val="105"/>
                <w:sz w:val="16"/>
              </w:rPr>
              <w:t xml:space="preserve"> facilities</w:t>
            </w:r>
          </w:p>
        </w:tc>
        <w:tc>
          <w:tcPr>
            <w:tcW w:w="1417" w:type="dxa"/>
            <w:shd w:val="clear" w:color="auto" w:fill="F2EFF2"/>
            <w:vAlign w:val="center"/>
          </w:tcPr>
          <w:p w14:paraId="32303430" w14:textId="77777777" w:rsidR="0038049D" w:rsidRPr="00487D35" w:rsidRDefault="0038049D" w:rsidP="005A1628">
            <w:pPr>
              <w:pStyle w:val="TableParagraph"/>
              <w:ind w:right="89"/>
              <w:jc w:val="right"/>
              <w:rPr>
                <w:sz w:val="18"/>
                <w:szCs w:val="18"/>
              </w:rPr>
            </w:pPr>
            <w:r w:rsidRPr="00487D35">
              <w:rPr>
                <w:color w:val="231F20"/>
                <w:spacing w:val="-2"/>
                <w:sz w:val="18"/>
                <w:szCs w:val="18"/>
              </w:rPr>
              <w:t>593,463</w:t>
            </w:r>
          </w:p>
        </w:tc>
        <w:tc>
          <w:tcPr>
            <w:tcW w:w="1134" w:type="dxa"/>
            <w:shd w:val="clear" w:color="auto" w:fill="F2EFF2"/>
            <w:vAlign w:val="center"/>
          </w:tcPr>
          <w:p w14:paraId="7E4EE8E7" w14:textId="77777777" w:rsidR="0038049D" w:rsidRPr="00487D35" w:rsidRDefault="0038049D" w:rsidP="005A1628">
            <w:pPr>
              <w:pStyle w:val="TableParagraph"/>
              <w:ind w:right="89"/>
              <w:jc w:val="right"/>
              <w:rPr>
                <w:color w:val="231F20"/>
                <w:spacing w:val="-2"/>
                <w:sz w:val="18"/>
                <w:szCs w:val="18"/>
              </w:rPr>
            </w:pPr>
            <w:r w:rsidRPr="00487D35">
              <w:rPr>
                <w:color w:val="231F20"/>
                <w:spacing w:val="-2"/>
                <w:sz w:val="18"/>
                <w:szCs w:val="18"/>
              </w:rPr>
              <w:t>136,345</w:t>
            </w:r>
          </w:p>
        </w:tc>
        <w:tc>
          <w:tcPr>
            <w:tcW w:w="1418" w:type="dxa"/>
            <w:shd w:val="clear" w:color="auto" w:fill="F2EFF2"/>
            <w:vAlign w:val="center"/>
          </w:tcPr>
          <w:p w14:paraId="3449F375" w14:textId="77777777" w:rsidR="0038049D" w:rsidRPr="00487D35" w:rsidRDefault="0038049D" w:rsidP="005A1628">
            <w:pPr>
              <w:pStyle w:val="TableParagraph"/>
              <w:ind w:right="89"/>
              <w:jc w:val="right"/>
              <w:rPr>
                <w:color w:val="231F20"/>
                <w:spacing w:val="-2"/>
                <w:sz w:val="18"/>
                <w:szCs w:val="18"/>
              </w:rPr>
            </w:pPr>
            <w:r w:rsidRPr="00487D35">
              <w:rPr>
                <w:color w:val="231F20"/>
                <w:spacing w:val="-2"/>
                <w:sz w:val="18"/>
                <w:szCs w:val="18"/>
              </w:rPr>
              <w:t>210,304</w:t>
            </w:r>
          </w:p>
        </w:tc>
        <w:tc>
          <w:tcPr>
            <w:tcW w:w="1275" w:type="dxa"/>
            <w:shd w:val="clear" w:color="auto" w:fill="F2EFF2"/>
            <w:vAlign w:val="center"/>
          </w:tcPr>
          <w:p w14:paraId="140DADFE" w14:textId="77777777" w:rsidR="0038049D" w:rsidRPr="00487D35" w:rsidRDefault="0038049D" w:rsidP="005A1628">
            <w:pPr>
              <w:pStyle w:val="TableParagraph"/>
              <w:ind w:right="89"/>
              <w:jc w:val="right"/>
              <w:rPr>
                <w:color w:val="231F20"/>
                <w:spacing w:val="-2"/>
                <w:sz w:val="18"/>
                <w:szCs w:val="18"/>
              </w:rPr>
            </w:pPr>
            <w:r w:rsidRPr="00487D35">
              <w:rPr>
                <w:color w:val="231F20"/>
                <w:spacing w:val="-2"/>
                <w:sz w:val="18"/>
                <w:szCs w:val="18"/>
              </w:rPr>
              <w:t>547,570</w:t>
            </w:r>
          </w:p>
        </w:tc>
        <w:tc>
          <w:tcPr>
            <w:tcW w:w="1276" w:type="dxa"/>
            <w:shd w:val="clear" w:color="auto" w:fill="F2EFF2"/>
            <w:vAlign w:val="center"/>
          </w:tcPr>
          <w:p w14:paraId="6BD89E9F" w14:textId="77777777" w:rsidR="0038049D" w:rsidRPr="00487D35" w:rsidRDefault="0038049D" w:rsidP="005A1628">
            <w:pPr>
              <w:pStyle w:val="TableParagraph"/>
              <w:ind w:right="89"/>
              <w:jc w:val="right"/>
              <w:rPr>
                <w:color w:val="231F20"/>
                <w:spacing w:val="-2"/>
                <w:sz w:val="18"/>
                <w:szCs w:val="18"/>
              </w:rPr>
            </w:pPr>
            <w:r w:rsidRPr="00487D35">
              <w:rPr>
                <w:color w:val="231F20"/>
                <w:spacing w:val="-2"/>
                <w:sz w:val="18"/>
                <w:szCs w:val="18"/>
              </w:rPr>
              <w:t>667,904</w:t>
            </w:r>
          </w:p>
        </w:tc>
        <w:tc>
          <w:tcPr>
            <w:tcW w:w="1276" w:type="dxa"/>
            <w:shd w:val="clear" w:color="auto" w:fill="F2EFF2"/>
            <w:vAlign w:val="center"/>
          </w:tcPr>
          <w:p w14:paraId="704A2030" w14:textId="77777777" w:rsidR="0038049D" w:rsidRPr="00487D35" w:rsidRDefault="0038049D" w:rsidP="005A1628">
            <w:pPr>
              <w:pStyle w:val="TableParagraph"/>
              <w:ind w:right="89"/>
              <w:jc w:val="right"/>
              <w:rPr>
                <w:color w:val="231F20"/>
                <w:spacing w:val="-2"/>
                <w:sz w:val="18"/>
                <w:szCs w:val="18"/>
              </w:rPr>
            </w:pPr>
            <w:r w:rsidRPr="00487D35">
              <w:rPr>
                <w:color w:val="231F20"/>
                <w:spacing w:val="-2"/>
                <w:sz w:val="18"/>
                <w:szCs w:val="18"/>
              </w:rPr>
              <w:t>750,000</w:t>
            </w:r>
          </w:p>
        </w:tc>
        <w:tc>
          <w:tcPr>
            <w:tcW w:w="1276" w:type="dxa"/>
            <w:shd w:val="clear" w:color="auto" w:fill="F2EFF2"/>
            <w:vAlign w:val="center"/>
          </w:tcPr>
          <w:p w14:paraId="66C1B6F7" w14:textId="77777777" w:rsidR="0038049D" w:rsidRPr="00487D35" w:rsidRDefault="0038049D" w:rsidP="005A1628">
            <w:pPr>
              <w:pStyle w:val="TableParagraph"/>
              <w:ind w:right="89"/>
              <w:jc w:val="right"/>
              <w:rPr>
                <w:color w:val="231F20"/>
                <w:spacing w:val="-2"/>
                <w:sz w:val="18"/>
                <w:szCs w:val="18"/>
              </w:rPr>
            </w:pPr>
            <w:r w:rsidRPr="00487D35">
              <w:rPr>
                <w:color w:val="231F20"/>
                <w:spacing w:val="-2"/>
                <w:sz w:val="18"/>
                <w:szCs w:val="18"/>
              </w:rPr>
              <w:t>683,415</w:t>
            </w:r>
          </w:p>
        </w:tc>
      </w:tr>
      <w:tr w:rsidR="0038049D" w:rsidRPr="00487D35" w14:paraId="3E105043" w14:textId="77777777" w:rsidTr="005A1628">
        <w:trPr>
          <w:trHeight w:val="263"/>
          <w:jc w:val="center"/>
        </w:trPr>
        <w:tc>
          <w:tcPr>
            <w:tcW w:w="2127" w:type="dxa"/>
            <w:vMerge/>
            <w:tcBorders>
              <w:top w:val="nil"/>
              <w:left w:val="nil"/>
            </w:tcBorders>
            <w:shd w:val="clear" w:color="auto" w:fill="83647E"/>
            <w:vAlign w:val="center"/>
          </w:tcPr>
          <w:p w14:paraId="5F3BD96F" w14:textId="77777777" w:rsidR="0038049D" w:rsidRDefault="0038049D" w:rsidP="005A1628">
            <w:pPr>
              <w:rPr>
                <w:sz w:val="2"/>
                <w:szCs w:val="2"/>
              </w:rPr>
            </w:pPr>
          </w:p>
        </w:tc>
        <w:tc>
          <w:tcPr>
            <w:tcW w:w="3969" w:type="dxa"/>
            <w:tcBorders>
              <w:bottom w:val="single" w:sz="8" w:space="0" w:color="66A438"/>
            </w:tcBorders>
            <w:shd w:val="clear" w:color="auto" w:fill="F2EFF2"/>
            <w:vAlign w:val="center"/>
          </w:tcPr>
          <w:p w14:paraId="16115583" w14:textId="77777777" w:rsidR="0038049D" w:rsidRDefault="0038049D" w:rsidP="005A1628">
            <w:pPr>
              <w:pStyle w:val="TableParagraph"/>
              <w:ind w:left="170"/>
              <w:rPr>
                <w:sz w:val="16"/>
              </w:rPr>
            </w:pPr>
            <w:r>
              <w:rPr>
                <w:color w:val="231F20"/>
                <w:w w:val="105"/>
                <w:sz w:val="16"/>
              </w:rPr>
              <w:t>Participants</w:t>
            </w:r>
            <w:r>
              <w:rPr>
                <w:color w:val="231F20"/>
                <w:spacing w:val="-1"/>
                <w:w w:val="105"/>
                <w:sz w:val="16"/>
              </w:rPr>
              <w:t xml:space="preserve"> </w:t>
            </w:r>
            <w:proofErr w:type="gramStart"/>
            <w:r>
              <w:rPr>
                <w:color w:val="231F20"/>
                <w:w w:val="105"/>
                <w:sz w:val="16"/>
              </w:rPr>
              <w:t>on</w:t>
            </w:r>
            <w:proofErr w:type="gramEnd"/>
            <w:r>
              <w:rPr>
                <w:color w:val="231F20"/>
                <w:spacing w:val="-1"/>
                <w:w w:val="105"/>
                <w:sz w:val="16"/>
              </w:rPr>
              <w:t xml:space="preserve"> </w:t>
            </w:r>
            <w:r>
              <w:rPr>
                <w:color w:val="231F20"/>
                <w:w w:val="105"/>
                <w:sz w:val="16"/>
              </w:rPr>
              <w:t>council-led</w:t>
            </w:r>
            <w:r>
              <w:rPr>
                <w:color w:val="231F20"/>
                <w:spacing w:val="-1"/>
                <w:w w:val="105"/>
                <w:sz w:val="16"/>
              </w:rPr>
              <w:t xml:space="preserve"> </w:t>
            </w:r>
            <w:r>
              <w:rPr>
                <w:color w:val="231F20"/>
                <w:w w:val="105"/>
                <w:sz w:val="16"/>
              </w:rPr>
              <w:t>sports</w:t>
            </w:r>
            <w:r>
              <w:rPr>
                <w:color w:val="231F20"/>
                <w:spacing w:val="-1"/>
                <w:w w:val="105"/>
                <w:sz w:val="16"/>
              </w:rPr>
              <w:t xml:space="preserve"> </w:t>
            </w:r>
            <w:r>
              <w:rPr>
                <w:color w:val="231F20"/>
                <w:w w:val="105"/>
                <w:sz w:val="16"/>
              </w:rPr>
              <w:t>and</w:t>
            </w:r>
            <w:r>
              <w:rPr>
                <w:color w:val="231F20"/>
                <w:spacing w:val="-1"/>
                <w:w w:val="105"/>
                <w:sz w:val="16"/>
              </w:rPr>
              <w:t xml:space="preserve"> </w:t>
            </w:r>
            <w:r>
              <w:rPr>
                <w:color w:val="231F20"/>
                <w:w w:val="105"/>
                <w:sz w:val="16"/>
              </w:rPr>
              <w:t>health</w:t>
            </w:r>
            <w:r>
              <w:rPr>
                <w:color w:val="231F20"/>
                <w:spacing w:val="-1"/>
                <w:w w:val="105"/>
                <w:sz w:val="16"/>
              </w:rPr>
              <w:t xml:space="preserve"> </w:t>
            </w:r>
            <w:r>
              <w:rPr>
                <w:color w:val="231F20"/>
                <w:w w:val="105"/>
                <w:sz w:val="16"/>
              </w:rPr>
              <w:t>and</w:t>
            </w:r>
            <w:r>
              <w:rPr>
                <w:color w:val="231F20"/>
                <w:spacing w:val="-1"/>
                <w:w w:val="105"/>
                <w:sz w:val="16"/>
              </w:rPr>
              <w:t xml:space="preserve"> </w:t>
            </w:r>
            <w:r>
              <w:rPr>
                <w:color w:val="231F20"/>
                <w:w w:val="105"/>
                <w:sz w:val="16"/>
              </w:rPr>
              <w:t>well-being</w:t>
            </w:r>
            <w:r>
              <w:rPr>
                <w:color w:val="231F20"/>
                <w:spacing w:val="-1"/>
                <w:w w:val="105"/>
                <w:sz w:val="16"/>
              </w:rPr>
              <w:t xml:space="preserve"> </w:t>
            </w:r>
            <w:r>
              <w:rPr>
                <w:color w:val="231F20"/>
                <w:spacing w:val="-2"/>
                <w:w w:val="105"/>
                <w:sz w:val="16"/>
              </w:rPr>
              <w:t>initiatives</w:t>
            </w:r>
          </w:p>
        </w:tc>
        <w:tc>
          <w:tcPr>
            <w:tcW w:w="1417" w:type="dxa"/>
            <w:tcBorders>
              <w:bottom w:val="single" w:sz="8" w:space="0" w:color="66A438"/>
            </w:tcBorders>
            <w:shd w:val="clear" w:color="auto" w:fill="F2EFF2"/>
            <w:vAlign w:val="center"/>
          </w:tcPr>
          <w:p w14:paraId="320A426E" w14:textId="77777777" w:rsidR="0038049D" w:rsidRPr="00487D35" w:rsidRDefault="0038049D" w:rsidP="005A1628">
            <w:pPr>
              <w:pStyle w:val="TableParagraph"/>
              <w:ind w:right="89"/>
              <w:jc w:val="right"/>
              <w:rPr>
                <w:sz w:val="18"/>
                <w:szCs w:val="18"/>
              </w:rPr>
            </w:pPr>
            <w:r w:rsidRPr="00487D35">
              <w:rPr>
                <w:color w:val="231F20"/>
                <w:spacing w:val="-2"/>
                <w:sz w:val="18"/>
                <w:szCs w:val="18"/>
              </w:rPr>
              <w:t>136,187</w:t>
            </w:r>
          </w:p>
        </w:tc>
        <w:tc>
          <w:tcPr>
            <w:tcW w:w="1134" w:type="dxa"/>
            <w:tcBorders>
              <w:bottom w:val="single" w:sz="8" w:space="0" w:color="66A438"/>
            </w:tcBorders>
            <w:shd w:val="clear" w:color="auto" w:fill="F2EFF2"/>
            <w:vAlign w:val="center"/>
          </w:tcPr>
          <w:p w14:paraId="4EA34682" w14:textId="77777777" w:rsidR="0038049D" w:rsidRPr="00487D35" w:rsidRDefault="0038049D" w:rsidP="005A1628">
            <w:pPr>
              <w:pStyle w:val="TableParagraph"/>
              <w:ind w:right="89"/>
              <w:jc w:val="right"/>
              <w:rPr>
                <w:color w:val="231F20"/>
                <w:spacing w:val="-2"/>
                <w:sz w:val="18"/>
                <w:szCs w:val="18"/>
              </w:rPr>
            </w:pPr>
            <w:r w:rsidRPr="00487D35">
              <w:rPr>
                <w:color w:val="231F20"/>
                <w:spacing w:val="-2"/>
                <w:sz w:val="18"/>
                <w:szCs w:val="18"/>
              </w:rPr>
              <w:t>75,698</w:t>
            </w:r>
          </w:p>
        </w:tc>
        <w:tc>
          <w:tcPr>
            <w:tcW w:w="1418" w:type="dxa"/>
            <w:tcBorders>
              <w:bottom w:val="single" w:sz="8" w:space="0" w:color="66A438"/>
            </w:tcBorders>
            <w:shd w:val="clear" w:color="auto" w:fill="F2EFF2"/>
            <w:vAlign w:val="center"/>
          </w:tcPr>
          <w:p w14:paraId="68D4CD2E" w14:textId="77777777" w:rsidR="0038049D" w:rsidRPr="00487D35" w:rsidRDefault="0038049D" w:rsidP="005A1628">
            <w:pPr>
              <w:pStyle w:val="TableParagraph"/>
              <w:ind w:right="89"/>
              <w:jc w:val="right"/>
              <w:rPr>
                <w:color w:val="231F20"/>
                <w:spacing w:val="-2"/>
                <w:sz w:val="18"/>
                <w:szCs w:val="18"/>
              </w:rPr>
            </w:pPr>
            <w:r w:rsidRPr="00487D35">
              <w:rPr>
                <w:color w:val="231F20"/>
                <w:spacing w:val="-2"/>
                <w:sz w:val="18"/>
                <w:szCs w:val="18"/>
              </w:rPr>
              <w:t>74,025</w:t>
            </w:r>
          </w:p>
        </w:tc>
        <w:tc>
          <w:tcPr>
            <w:tcW w:w="1275" w:type="dxa"/>
            <w:tcBorders>
              <w:bottom w:val="single" w:sz="8" w:space="0" w:color="66A438"/>
            </w:tcBorders>
            <w:shd w:val="clear" w:color="auto" w:fill="F2EFF2"/>
            <w:vAlign w:val="center"/>
          </w:tcPr>
          <w:p w14:paraId="46D04363" w14:textId="77777777" w:rsidR="0038049D" w:rsidRPr="00487D35" w:rsidRDefault="0038049D" w:rsidP="005A1628">
            <w:pPr>
              <w:pStyle w:val="TableParagraph"/>
              <w:ind w:right="89"/>
              <w:jc w:val="right"/>
              <w:rPr>
                <w:color w:val="231F20"/>
                <w:spacing w:val="-2"/>
                <w:sz w:val="18"/>
                <w:szCs w:val="18"/>
              </w:rPr>
            </w:pPr>
            <w:r w:rsidRPr="00487D35">
              <w:rPr>
                <w:color w:val="231F20"/>
                <w:spacing w:val="-2"/>
                <w:sz w:val="18"/>
                <w:szCs w:val="18"/>
              </w:rPr>
              <w:t>133,460</w:t>
            </w:r>
          </w:p>
        </w:tc>
        <w:tc>
          <w:tcPr>
            <w:tcW w:w="1276" w:type="dxa"/>
            <w:tcBorders>
              <w:bottom w:val="single" w:sz="8" w:space="0" w:color="66A438"/>
            </w:tcBorders>
            <w:shd w:val="clear" w:color="auto" w:fill="F2EFF2"/>
            <w:vAlign w:val="center"/>
          </w:tcPr>
          <w:p w14:paraId="3EB61976" w14:textId="77777777" w:rsidR="0038049D" w:rsidRPr="00487D35" w:rsidRDefault="0038049D" w:rsidP="005A1628">
            <w:pPr>
              <w:pStyle w:val="TableParagraph"/>
              <w:ind w:right="89"/>
              <w:jc w:val="right"/>
              <w:rPr>
                <w:color w:val="231F20"/>
                <w:spacing w:val="-2"/>
                <w:sz w:val="18"/>
                <w:szCs w:val="18"/>
              </w:rPr>
            </w:pPr>
            <w:r w:rsidRPr="00487D35">
              <w:rPr>
                <w:color w:val="231F20"/>
                <w:spacing w:val="-2"/>
                <w:sz w:val="18"/>
                <w:szCs w:val="18"/>
              </w:rPr>
              <w:t>111,030</w:t>
            </w:r>
          </w:p>
        </w:tc>
        <w:tc>
          <w:tcPr>
            <w:tcW w:w="1276" w:type="dxa"/>
            <w:tcBorders>
              <w:bottom w:val="single" w:sz="8" w:space="0" w:color="66A438"/>
            </w:tcBorders>
            <w:shd w:val="clear" w:color="auto" w:fill="F2EFF2"/>
            <w:vAlign w:val="center"/>
          </w:tcPr>
          <w:p w14:paraId="6AFB9E4E" w14:textId="77777777" w:rsidR="0038049D" w:rsidRPr="00487D35" w:rsidRDefault="0038049D" w:rsidP="005A1628">
            <w:pPr>
              <w:pStyle w:val="TableParagraph"/>
              <w:ind w:right="89"/>
              <w:jc w:val="right"/>
              <w:rPr>
                <w:color w:val="231F20"/>
                <w:spacing w:val="-2"/>
                <w:sz w:val="18"/>
                <w:szCs w:val="18"/>
              </w:rPr>
            </w:pPr>
            <w:r w:rsidRPr="00487D35">
              <w:rPr>
                <w:color w:val="231F20"/>
                <w:spacing w:val="-2"/>
                <w:sz w:val="18"/>
                <w:szCs w:val="18"/>
              </w:rPr>
              <w:t>120,000</w:t>
            </w:r>
          </w:p>
        </w:tc>
        <w:tc>
          <w:tcPr>
            <w:tcW w:w="1276" w:type="dxa"/>
            <w:tcBorders>
              <w:bottom w:val="single" w:sz="8" w:space="0" w:color="66A438"/>
            </w:tcBorders>
            <w:shd w:val="clear" w:color="auto" w:fill="F2EFF2"/>
            <w:vAlign w:val="center"/>
          </w:tcPr>
          <w:p w14:paraId="51F4F964" w14:textId="77777777" w:rsidR="0038049D" w:rsidRPr="00487D35" w:rsidRDefault="0038049D" w:rsidP="005A1628">
            <w:pPr>
              <w:pStyle w:val="TableParagraph"/>
              <w:ind w:right="89"/>
              <w:jc w:val="right"/>
              <w:rPr>
                <w:color w:val="231F20"/>
                <w:spacing w:val="-2"/>
                <w:sz w:val="18"/>
                <w:szCs w:val="18"/>
              </w:rPr>
            </w:pPr>
            <w:r w:rsidRPr="00487D35">
              <w:rPr>
                <w:color w:val="231F20"/>
                <w:spacing w:val="-2"/>
                <w:sz w:val="18"/>
                <w:szCs w:val="18"/>
              </w:rPr>
              <w:t>124,057</w:t>
            </w:r>
          </w:p>
        </w:tc>
      </w:tr>
    </w:tbl>
    <w:p w14:paraId="53541571" w14:textId="77777777" w:rsidR="0038049D" w:rsidRDefault="0038049D" w:rsidP="001926C9"/>
    <w:p w14:paraId="717A4EEF" w14:textId="77777777" w:rsidR="001926C9" w:rsidRDefault="001926C9" w:rsidP="001926C9"/>
    <w:p w14:paraId="4F8A1F04" w14:textId="77777777" w:rsidR="001926C9" w:rsidRDefault="001926C9" w:rsidP="001926C9"/>
    <w:p w14:paraId="7CA41E6E" w14:textId="77777777" w:rsidR="001926C9" w:rsidRPr="001926C9" w:rsidRDefault="001926C9" w:rsidP="001926C9"/>
    <w:tbl>
      <w:tblPr>
        <w:tblpPr w:leftFromText="180" w:rightFromText="180" w:horzAnchor="margin" w:tblpX="-567" w:tblpY="420"/>
        <w:tblW w:w="1516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127"/>
        <w:gridCol w:w="3969"/>
        <w:gridCol w:w="1417"/>
        <w:gridCol w:w="1134"/>
        <w:gridCol w:w="1418"/>
        <w:gridCol w:w="1275"/>
        <w:gridCol w:w="1276"/>
        <w:gridCol w:w="1276"/>
        <w:gridCol w:w="1276"/>
      </w:tblGrid>
      <w:tr w:rsidR="00B60676" w:rsidRPr="00A45EAB" w14:paraId="387D711E" w14:textId="77777777" w:rsidTr="00915292">
        <w:trPr>
          <w:trHeight w:val="783"/>
        </w:trPr>
        <w:tc>
          <w:tcPr>
            <w:tcW w:w="2127" w:type="dxa"/>
            <w:tcBorders>
              <w:top w:val="nil"/>
              <w:left w:val="nil"/>
              <w:right w:val="nil"/>
            </w:tcBorders>
            <w:shd w:val="clear" w:color="auto" w:fill="718390"/>
            <w:vAlign w:val="center"/>
          </w:tcPr>
          <w:p w14:paraId="55E0DE96" w14:textId="2B491C75" w:rsidR="00B60676" w:rsidRPr="00A45EAB" w:rsidRDefault="00B60676" w:rsidP="00A45EAB">
            <w:pPr>
              <w:pStyle w:val="TableParagraph"/>
              <w:spacing w:before="144" w:line="232" w:lineRule="auto"/>
              <w:ind w:right="503"/>
              <w:rPr>
                <w:b/>
                <w:sz w:val="18"/>
              </w:rPr>
            </w:pPr>
            <w:r w:rsidRPr="00A45EAB">
              <w:rPr>
                <w:b/>
                <w:color w:val="FFFFFF"/>
                <w:w w:val="105"/>
                <w:sz w:val="18"/>
              </w:rPr>
              <w:t>Corporate</w:t>
            </w:r>
            <w:r w:rsidRPr="00A45EAB">
              <w:rPr>
                <w:b/>
                <w:color w:val="FFFFFF"/>
                <w:spacing w:val="-14"/>
                <w:w w:val="105"/>
                <w:sz w:val="18"/>
              </w:rPr>
              <w:t xml:space="preserve"> </w:t>
            </w:r>
            <w:r w:rsidRPr="00A45EAB">
              <w:rPr>
                <w:b/>
                <w:color w:val="FFFFFF"/>
                <w:w w:val="105"/>
                <w:sz w:val="18"/>
              </w:rPr>
              <w:t>Plan</w:t>
            </w:r>
            <w:r w:rsidR="00A45EAB">
              <w:rPr>
                <w:b/>
                <w:color w:val="FFFFFF"/>
                <w:w w:val="105"/>
                <w:sz w:val="18"/>
              </w:rPr>
              <w:t xml:space="preserve"> G</w:t>
            </w:r>
            <w:r w:rsidRPr="00A45EAB">
              <w:rPr>
                <w:b/>
                <w:color w:val="FFFFFF"/>
                <w:spacing w:val="-2"/>
                <w:w w:val="105"/>
                <w:sz w:val="18"/>
              </w:rPr>
              <w:t>oals</w:t>
            </w:r>
          </w:p>
        </w:tc>
        <w:tc>
          <w:tcPr>
            <w:tcW w:w="3969" w:type="dxa"/>
            <w:tcBorders>
              <w:top w:val="nil"/>
              <w:left w:val="nil"/>
              <w:right w:val="nil"/>
            </w:tcBorders>
            <w:shd w:val="clear" w:color="auto" w:fill="718390"/>
            <w:vAlign w:val="center"/>
          </w:tcPr>
          <w:p w14:paraId="4B9E80BC" w14:textId="6FEFDD3B" w:rsidR="00B60676" w:rsidRPr="00A45EAB" w:rsidRDefault="00B60676" w:rsidP="00281776">
            <w:pPr>
              <w:pStyle w:val="TableParagraph"/>
              <w:spacing w:before="139" w:line="203" w:lineRule="exact"/>
              <w:ind w:left="180"/>
              <w:rPr>
                <w:sz w:val="18"/>
              </w:rPr>
            </w:pPr>
            <w:r w:rsidRPr="00A45EAB">
              <w:rPr>
                <w:b/>
                <w:color w:val="FFFFFF"/>
                <w:sz w:val="18"/>
              </w:rPr>
              <w:t>Measurement</w:t>
            </w:r>
            <w:r w:rsidRPr="00A45EAB">
              <w:rPr>
                <w:b/>
                <w:color w:val="FFFFFF"/>
                <w:spacing w:val="26"/>
                <w:sz w:val="18"/>
              </w:rPr>
              <w:t xml:space="preserve"> </w:t>
            </w:r>
            <w:r w:rsidRPr="00A45EAB">
              <w:rPr>
                <w:b/>
                <w:color w:val="FFFFFF"/>
                <w:sz w:val="18"/>
              </w:rPr>
              <w:t>/</w:t>
            </w:r>
            <w:r w:rsidRPr="00A45EAB">
              <w:rPr>
                <w:b/>
                <w:color w:val="FFFFFF"/>
                <w:spacing w:val="27"/>
                <w:sz w:val="18"/>
              </w:rPr>
              <w:t xml:space="preserve"> </w:t>
            </w:r>
            <w:r w:rsidRPr="00A45EAB">
              <w:rPr>
                <w:b/>
                <w:color w:val="FFFFFF"/>
                <w:sz w:val="18"/>
              </w:rPr>
              <w:t>Indicator</w:t>
            </w:r>
          </w:p>
        </w:tc>
        <w:tc>
          <w:tcPr>
            <w:tcW w:w="1417" w:type="dxa"/>
            <w:tcBorders>
              <w:top w:val="nil"/>
              <w:left w:val="nil"/>
              <w:right w:val="nil"/>
            </w:tcBorders>
            <w:shd w:val="clear" w:color="auto" w:fill="718390"/>
            <w:vAlign w:val="center"/>
          </w:tcPr>
          <w:p w14:paraId="770B9923" w14:textId="42A4CD3B" w:rsidR="00B60676" w:rsidRPr="00A45EAB" w:rsidRDefault="00B60676" w:rsidP="00281776">
            <w:pPr>
              <w:pStyle w:val="TableParagraph"/>
              <w:spacing w:before="139" w:line="203" w:lineRule="exact"/>
              <w:ind w:right="99"/>
              <w:jc w:val="center"/>
              <w:rPr>
                <w:b/>
                <w:sz w:val="18"/>
              </w:rPr>
            </w:pPr>
            <w:r w:rsidRPr="00A45EAB">
              <w:rPr>
                <w:b/>
                <w:color w:val="FFFFFF"/>
                <w:sz w:val="18"/>
              </w:rPr>
              <w:t>Baseline</w:t>
            </w:r>
            <w:r w:rsidRPr="00A45EAB">
              <w:rPr>
                <w:b/>
                <w:color w:val="FFFFFF"/>
                <w:spacing w:val="10"/>
                <w:sz w:val="18"/>
              </w:rPr>
              <w:t xml:space="preserve"> </w:t>
            </w:r>
            <w:r w:rsidRPr="00A45EAB">
              <w:rPr>
                <w:b/>
                <w:color w:val="FFFFFF"/>
                <w:spacing w:val="-4"/>
                <w:sz w:val="18"/>
              </w:rPr>
              <w:t>Data</w:t>
            </w:r>
            <w:r w:rsidR="00A77A15">
              <w:rPr>
                <w:b/>
                <w:color w:val="FFFFFF"/>
                <w:spacing w:val="-4"/>
                <w:sz w:val="18"/>
              </w:rPr>
              <w:t xml:space="preserve"> </w:t>
            </w:r>
            <w:r w:rsidRPr="00A45EAB">
              <w:rPr>
                <w:b/>
                <w:color w:val="FFFFFF"/>
                <w:spacing w:val="-4"/>
                <w:w w:val="105"/>
                <w:sz w:val="18"/>
              </w:rPr>
              <w:t>2019</w:t>
            </w:r>
          </w:p>
        </w:tc>
        <w:tc>
          <w:tcPr>
            <w:tcW w:w="1134" w:type="dxa"/>
            <w:tcBorders>
              <w:top w:val="nil"/>
              <w:left w:val="nil"/>
              <w:right w:val="nil"/>
            </w:tcBorders>
            <w:shd w:val="clear" w:color="auto" w:fill="718390"/>
            <w:vAlign w:val="center"/>
          </w:tcPr>
          <w:p w14:paraId="12FED5DE" w14:textId="77777777" w:rsidR="00B60676" w:rsidRPr="00A45EAB" w:rsidRDefault="00B60676" w:rsidP="00B60676">
            <w:pPr>
              <w:pStyle w:val="TableParagraph"/>
              <w:spacing w:before="139" w:line="203" w:lineRule="exact"/>
              <w:ind w:right="99"/>
              <w:jc w:val="center"/>
              <w:rPr>
                <w:b/>
                <w:color w:val="FFFFFF"/>
                <w:sz w:val="18"/>
              </w:rPr>
            </w:pPr>
            <w:r w:rsidRPr="00A45EAB">
              <w:rPr>
                <w:b/>
                <w:color w:val="FFFFFF"/>
                <w:sz w:val="18"/>
              </w:rPr>
              <w:t>2020</w:t>
            </w:r>
          </w:p>
        </w:tc>
        <w:tc>
          <w:tcPr>
            <w:tcW w:w="1418" w:type="dxa"/>
            <w:tcBorders>
              <w:top w:val="nil"/>
              <w:left w:val="nil"/>
              <w:right w:val="nil"/>
            </w:tcBorders>
            <w:shd w:val="clear" w:color="auto" w:fill="718390"/>
            <w:vAlign w:val="center"/>
          </w:tcPr>
          <w:p w14:paraId="555F6CC1" w14:textId="77777777" w:rsidR="00B60676" w:rsidRPr="00A45EAB" w:rsidRDefault="00B60676" w:rsidP="00B60676">
            <w:pPr>
              <w:pStyle w:val="TableParagraph"/>
              <w:spacing w:before="139" w:line="203" w:lineRule="exact"/>
              <w:ind w:right="99"/>
              <w:jc w:val="center"/>
              <w:rPr>
                <w:b/>
                <w:color w:val="FFFFFF"/>
                <w:sz w:val="18"/>
              </w:rPr>
            </w:pPr>
            <w:r w:rsidRPr="00A45EAB">
              <w:rPr>
                <w:b/>
                <w:color w:val="FFFFFF"/>
                <w:sz w:val="18"/>
              </w:rPr>
              <w:t>2021</w:t>
            </w:r>
          </w:p>
        </w:tc>
        <w:tc>
          <w:tcPr>
            <w:tcW w:w="1275" w:type="dxa"/>
            <w:tcBorders>
              <w:top w:val="nil"/>
              <w:left w:val="nil"/>
              <w:right w:val="nil"/>
            </w:tcBorders>
            <w:shd w:val="clear" w:color="auto" w:fill="718390"/>
            <w:vAlign w:val="center"/>
          </w:tcPr>
          <w:p w14:paraId="48DC106A" w14:textId="77777777" w:rsidR="00B60676" w:rsidRPr="00A45EAB" w:rsidRDefault="00B60676" w:rsidP="00B60676">
            <w:pPr>
              <w:pStyle w:val="TableParagraph"/>
              <w:spacing w:before="139" w:line="203" w:lineRule="exact"/>
              <w:ind w:right="99"/>
              <w:jc w:val="center"/>
              <w:rPr>
                <w:b/>
                <w:color w:val="FFFFFF"/>
                <w:sz w:val="18"/>
              </w:rPr>
            </w:pPr>
            <w:r w:rsidRPr="00A45EAB">
              <w:rPr>
                <w:b/>
                <w:color w:val="FFFFFF"/>
                <w:sz w:val="18"/>
              </w:rPr>
              <w:t>2022</w:t>
            </w:r>
          </w:p>
        </w:tc>
        <w:tc>
          <w:tcPr>
            <w:tcW w:w="1276" w:type="dxa"/>
            <w:tcBorders>
              <w:top w:val="nil"/>
              <w:left w:val="nil"/>
              <w:right w:val="nil"/>
            </w:tcBorders>
            <w:shd w:val="clear" w:color="auto" w:fill="718390"/>
            <w:vAlign w:val="center"/>
          </w:tcPr>
          <w:p w14:paraId="3D6E865A" w14:textId="77777777" w:rsidR="00B60676" w:rsidRPr="00A45EAB" w:rsidRDefault="00B60676" w:rsidP="00B60676">
            <w:pPr>
              <w:pStyle w:val="TableParagraph"/>
              <w:spacing w:before="139" w:line="203" w:lineRule="exact"/>
              <w:ind w:right="99"/>
              <w:jc w:val="center"/>
              <w:rPr>
                <w:b/>
                <w:color w:val="FFFFFF"/>
                <w:sz w:val="18"/>
              </w:rPr>
            </w:pPr>
            <w:r w:rsidRPr="00A45EAB">
              <w:rPr>
                <w:b/>
                <w:color w:val="FFFFFF"/>
                <w:sz w:val="18"/>
              </w:rPr>
              <w:t>2023</w:t>
            </w:r>
          </w:p>
        </w:tc>
        <w:tc>
          <w:tcPr>
            <w:tcW w:w="1276" w:type="dxa"/>
            <w:tcBorders>
              <w:top w:val="nil"/>
              <w:left w:val="nil"/>
              <w:right w:val="nil"/>
            </w:tcBorders>
            <w:shd w:val="clear" w:color="auto" w:fill="718390"/>
            <w:vAlign w:val="center"/>
          </w:tcPr>
          <w:p w14:paraId="54250E59" w14:textId="77777777" w:rsidR="00B60676" w:rsidRPr="00A45EAB" w:rsidRDefault="00B60676" w:rsidP="00B60676">
            <w:pPr>
              <w:pStyle w:val="TableParagraph"/>
              <w:spacing w:before="139" w:line="203" w:lineRule="exact"/>
              <w:ind w:right="99"/>
              <w:jc w:val="center"/>
              <w:rPr>
                <w:b/>
                <w:color w:val="FFFFFF"/>
                <w:sz w:val="18"/>
              </w:rPr>
            </w:pPr>
            <w:r w:rsidRPr="00A45EAB">
              <w:rPr>
                <w:b/>
                <w:color w:val="FFFFFF"/>
                <w:sz w:val="18"/>
              </w:rPr>
              <w:t>2024 Anticipated Level</w:t>
            </w:r>
          </w:p>
        </w:tc>
        <w:tc>
          <w:tcPr>
            <w:tcW w:w="1276" w:type="dxa"/>
            <w:tcBorders>
              <w:top w:val="nil"/>
              <w:left w:val="nil"/>
              <w:right w:val="nil"/>
            </w:tcBorders>
            <w:shd w:val="clear" w:color="auto" w:fill="718390"/>
            <w:vAlign w:val="center"/>
          </w:tcPr>
          <w:p w14:paraId="2CA45C80" w14:textId="77777777" w:rsidR="00B60676" w:rsidRPr="00A45EAB" w:rsidRDefault="00B60676" w:rsidP="00B60676">
            <w:pPr>
              <w:pStyle w:val="TableParagraph"/>
              <w:spacing w:before="139" w:line="203" w:lineRule="exact"/>
              <w:ind w:right="99"/>
              <w:jc w:val="center"/>
              <w:rPr>
                <w:b/>
                <w:color w:val="FFFFFF"/>
                <w:sz w:val="18"/>
              </w:rPr>
            </w:pPr>
            <w:r w:rsidRPr="00A45EAB">
              <w:rPr>
                <w:b/>
                <w:color w:val="FFFFFF"/>
                <w:sz w:val="18"/>
              </w:rPr>
              <w:t xml:space="preserve">2024 </w:t>
            </w:r>
          </w:p>
        </w:tc>
      </w:tr>
      <w:tr w:rsidR="00B60676" w14:paraId="4810B309" w14:textId="77777777" w:rsidTr="00915292">
        <w:trPr>
          <w:trHeight w:val="263"/>
        </w:trPr>
        <w:tc>
          <w:tcPr>
            <w:tcW w:w="2127" w:type="dxa"/>
            <w:vMerge w:val="restart"/>
            <w:tcBorders>
              <w:left w:val="nil"/>
            </w:tcBorders>
            <w:shd w:val="clear" w:color="auto" w:fill="8CBA69"/>
            <w:vAlign w:val="center"/>
          </w:tcPr>
          <w:p w14:paraId="477763FB" w14:textId="77777777" w:rsidR="00B60676" w:rsidRDefault="00B60676" w:rsidP="00B60676">
            <w:pPr>
              <w:pStyle w:val="TableParagraph"/>
              <w:spacing w:before="1" w:line="189" w:lineRule="auto"/>
              <w:ind w:left="180"/>
              <w:rPr>
                <w:rFonts w:ascii="Arial Black"/>
                <w:sz w:val="18"/>
              </w:rPr>
            </w:pPr>
            <w:r>
              <w:rPr>
                <w:rFonts w:ascii="Arial Black"/>
                <w:color w:val="FFFFFF"/>
                <w:spacing w:val="-2"/>
                <w:w w:val="90"/>
                <w:sz w:val="18"/>
              </w:rPr>
              <w:t>Environment,</w:t>
            </w:r>
            <w:r>
              <w:rPr>
                <w:rFonts w:ascii="Arial Black"/>
                <w:color w:val="FFFFFF"/>
                <w:spacing w:val="-8"/>
                <w:w w:val="90"/>
                <w:sz w:val="18"/>
              </w:rPr>
              <w:t xml:space="preserve"> </w:t>
            </w:r>
            <w:r>
              <w:rPr>
                <w:rFonts w:ascii="Arial Black"/>
                <w:color w:val="FFFFFF"/>
                <w:spacing w:val="-2"/>
                <w:w w:val="90"/>
                <w:sz w:val="18"/>
              </w:rPr>
              <w:t xml:space="preserve">water </w:t>
            </w:r>
            <w:r>
              <w:rPr>
                <w:rFonts w:ascii="Arial Black"/>
                <w:color w:val="FFFFFF"/>
                <w:w w:val="85"/>
                <w:sz w:val="18"/>
              </w:rPr>
              <w:t>and</w:t>
            </w:r>
            <w:r>
              <w:rPr>
                <w:rFonts w:ascii="Arial Black"/>
                <w:color w:val="FFFFFF"/>
                <w:spacing w:val="-3"/>
                <w:sz w:val="18"/>
              </w:rPr>
              <w:t xml:space="preserve"> </w:t>
            </w:r>
            <w:r>
              <w:rPr>
                <w:rFonts w:ascii="Arial Black"/>
                <w:color w:val="FFFFFF"/>
                <w:w w:val="85"/>
                <w:sz w:val="18"/>
              </w:rPr>
              <w:t>climate</w:t>
            </w:r>
            <w:r>
              <w:rPr>
                <w:rFonts w:ascii="Arial Black"/>
                <w:color w:val="FFFFFF"/>
                <w:spacing w:val="-2"/>
                <w:sz w:val="18"/>
              </w:rPr>
              <w:t xml:space="preserve"> </w:t>
            </w:r>
            <w:r>
              <w:rPr>
                <w:rFonts w:ascii="Arial Black"/>
                <w:color w:val="FFFFFF"/>
                <w:spacing w:val="-2"/>
                <w:w w:val="85"/>
                <w:sz w:val="18"/>
              </w:rPr>
              <w:t>change</w:t>
            </w:r>
          </w:p>
        </w:tc>
        <w:tc>
          <w:tcPr>
            <w:tcW w:w="3969" w:type="dxa"/>
            <w:tcBorders>
              <w:top w:val="single" w:sz="8" w:space="0" w:color="66A438"/>
            </w:tcBorders>
            <w:shd w:val="clear" w:color="auto" w:fill="F5F9F3"/>
            <w:vAlign w:val="center"/>
          </w:tcPr>
          <w:p w14:paraId="4A435EE3" w14:textId="77777777" w:rsidR="00B60676" w:rsidRDefault="00B60676" w:rsidP="00B60676">
            <w:pPr>
              <w:pStyle w:val="TableParagraph"/>
              <w:ind w:left="170"/>
              <w:rPr>
                <w:sz w:val="16"/>
              </w:rPr>
            </w:pPr>
            <w:r>
              <w:rPr>
                <w:color w:val="231F20"/>
                <w:w w:val="105"/>
                <w:sz w:val="16"/>
              </w:rPr>
              <w:t>Climate</w:t>
            </w:r>
            <w:r>
              <w:rPr>
                <w:color w:val="231F20"/>
                <w:spacing w:val="1"/>
                <w:w w:val="105"/>
                <w:sz w:val="16"/>
              </w:rPr>
              <w:t xml:space="preserve"> </w:t>
            </w:r>
            <w:r>
              <w:rPr>
                <w:color w:val="231F20"/>
                <w:w w:val="105"/>
                <w:sz w:val="16"/>
              </w:rPr>
              <w:t>action</w:t>
            </w:r>
            <w:r>
              <w:rPr>
                <w:color w:val="231F20"/>
                <w:spacing w:val="2"/>
                <w:w w:val="105"/>
                <w:sz w:val="16"/>
              </w:rPr>
              <w:t xml:space="preserve"> </w:t>
            </w:r>
            <w:r>
              <w:rPr>
                <w:color w:val="231F20"/>
                <w:w w:val="105"/>
                <w:sz w:val="16"/>
              </w:rPr>
              <w:t>initiatives</w:t>
            </w:r>
            <w:r>
              <w:rPr>
                <w:color w:val="231F20"/>
                <w:spacing w:val="2"/>
                <w:w w:val="105"/>
                <w:sz w:val="16"/>
              </w:rPr>
              <w:t xml:space="preserve"> </w:t>
            </w:r>
            <w:r>
              <w:rPr>
                <w:color w:val="231F20"/>
                <w:w w:val="105"/>
                <w:sz w:val="16"/>
              </w:rPr>
              <w:t>under</w:t>
            </w:r>
            <w:r>
              <w:rPr>
                <w:color w:val="231F20"/>
                <w:spacing w:val="2"/>
                <w:w w:val="105"/>
                <w:sz w:val="16"/>
              </w:rPr>
              <w:t xml:space="preserve"> </w:t>
            </w:r>
            <w:r>
              <w:rPr>
                <w:color w:val="231F20"/>
                <w:w w:val="105"/>
                <w:sz w:val="16"/>
              </w:rPr>
              <w:t>climate</w:t>
            </w:r>
            <w:r>
              <w:rPr>
                <w:color w:val="231F20"/>
                <w:spacing w:val="2"/>
                <w:w w:val="105"/>
                <w:sz w:val="16"/>
              </w:rPr>
              <w:t xml:space="preserve"> </w:t>
            </w:r>
            <w:r>
              <w:rPr>
                <w:color w:val="231F20"/>
                <w:w w:val="105"/>
                <w:sz w:val="16"/>
              </w:rPr>
              <w:t>action</w:t>
            </w:r>
            <w:r>
              <w:rPr>
                <w:color w:val="231F20"/>
                <w:spacing w:val="1"/>
                <w:w w:val="105"/>
                <w:sz w:val="16"/>
              </w:rPr>
              <w:t xml:space="preserve"> </w:t>
            </w:r>
            <w:r>
              <w:rPr>
                <w:color w:val="231F20"/>
                <w:spacing w:val="-4"/>
                <w:w w:val="105"/>
                <w:sz w:val="16"/>
              </w:rPr>
              <w:t>plan</w:t>
            </w:r>
          </w:p>
        </w:tc>
        <w:tc>
          <w:tcPr>
            <w:tcW w:w="1417" w:type="dxa"/>
            <w:tcBorders>
              <w:top w:val="single" w:sz="8" w:space="0" w:color="66A438"/>
            </w:tcBorders>
            <w:shd w:val="clear" w:color="auto" w:fill="F5F9F3"/>
            <w:vAlign w:val="center"/>
          </w:tcPr>
          <w:p w14:paraId="159C07FA" w14:textId="77777777" w:rsidR="00B60676" w:rsidRPr="00487D35" w:rsidRDefault="00B60676" w:rsidP="000D7019">
            <w:pPr>
              <w:pStyle w:val="TableParagraph"/>
              <w:ind w:right="90"/>
              <w:jc w:val="right"/>
              <w:rPr>
                <w:sz w:val="18"/>
                <w:szCs w:val="18"/>
              </w:rPr>
            </w:pPr>
            <w:r w:rsidRPr="00487D35">
              <w:rPr>
                <w:color w:val="231F20"/>
                <w:spacing w:val="-5"/>
                <w:sz w:val="18"/>
                <w:szCs w:val="18"/>
              </w:rPr>
              <w:t>43</w:t>
            </w:r>
          </w:p>
        </w:tc>
        <w:tc>
          <w:tcPr>
            <w:tcW w:w="1134" w:type="dxa"/>
            <w:tcBorders>
              <w:top w:val="single" w:sz="8" w:space="0" w:color="66A438"/>
            </w:tcBorders>
            <w:shd w:val="clear" w:color="auto" w:fill="F5F9F3"/>
            <w:vAlign w:val="center"/>
          </w:tcPr>
          <w:p w14:paraId="1DEACFAC" w14:textId="77777777" w:rsidR="00B60676" w:rsidRPr="00487D35" w:rsidRDefault="00B60676" w:rsidP="000D7019">
            <w:pPr>
              <w:pStyle w:val="TableParagraph"/>
              <w:ind w:right="90"/>
              <w:jc w:val="right"/>
              <w:rPr>
                <w:color w:val="231F20"/>
                <w:spacing w:val="-5"/>
                <w:sz w:val="18"/>
                <w:szCs w:val="18"/>
              </w:rPr>
            </w:pPr>
            <w:r w:rsidRPr="00487D35">
              <w:rPr>
                <w:color w:val="231F20"/>
                <w:spacing w:val="-5"/>
                <w:sz w:val="18"/>
                <w:szCs w:val="18"/>
              </w:rPr>
              <w:t>118</w:t>
            </w:r>
          </w:p>
        </w:tc>
        <w:tc>
          <w:tcPr>
            <w:tcW w:w="1418" w:type="dxa"/>
            <w:tcBorders>
              <w:top w:val="single" w:sz="8" w:space="0" w:color="66A438"/>
            </w:tcBorders>
            <w:shd w:val="clear" w:color="auto" w:fill="F5F9F3"/>
            <w:vAlign w:val="center"/>
          </w:tcPr>
          <w:p w14:paraId="542DC8C2" w14:textId="77777777" w:rsidR="00B60676" w:rsidRPr="00487D35" w:rsidRDefault="00B60676" w:rsidP="000D7019">
            <w:pPr>
              <w:pStyle w:val="TableParagraph"/>
              <w:ind w:right="90"/>
              <w:jc w:val="right"/>
              <w:rPr>
                <w:color w:val="231F20"/>
                <w:spacing w:val="-5"/>
                <w:sz w:val="18"/>
                <w:szCs w:val="18"/>
              </w:rPr>
            </w:pPr>
            <w:r w:rsidRPr="00487D35">
              <w:rPr>
                <w:color w:val="231F20"/>
                <w:spacing w:val="-5"/>
                <w:sz w:val="18"/>
                <w:szCs w:val="18"/>
              </w:rPr>
              <w:t>120</w:t>
            </w:r>
          </w:p>
        </w:tc>
        <w:tc>
          <w:tcPr>
            <w:tcW w:w="1275" w:type="dxa"/>
            <w:tcBorders>
              <w:top w:val="single" w:sz="8" w:space="0" w:color="66A438"/>
            </w:tcBorders>
            <w:shd w:val="clear" w:color="auto" w:fill="F5F9F3"/>
            <w:vAlign w:val="center"/>
          </w:tcPr>
          <w:p w14:paraId="7B7B9B0E" w14:textId="77777777" w:rsidR="00B60676" w:rsidRPr="00487D35" w:rsidRDefault="00B60676" w:rsidP="000D7019">
            <w:pPr>
              <w:pStyle w:val="TableParagraph"/>
              <w:ind w:right="90"/>
              <w:jc w:val="right"/>
              <w:rPr>
                <w:color w:val="231F20"/>
                <w:spacing w:val="-5"/>
                <w:sz w:val="18"/>
                <w:szCs w:val="18"/>
              </w:rPr>
            </w:pPr>
            <w:r w:rsidRPr="00487D35">
              <w:rPr>
                <w:color w:val="231F20"/>
                <w:spacing w:val="-5"/>
                <w:sz w:val="18"/>
                <w:szCs w:val="18"/>
              </w:rPr>
              <w:t>154</w:t>
            </w:r>
          </w:p>
        </w:tc>
        <w:tc>
          <w:tcPr>
            <w:tcW w:w="1276" w:type="dxa"/>
            <w:tcBorders>
              <w:top w:val="single" w:sz="8" w:space="0" w:color="66A438"/>
            </w:tcBorders>
            <w:shd w:val="clear" w:color="auto" w:fill="F5F9F3"/>
            <w:vAlign w:val="center"/>
          </w:tcPr>
          <w:p w14:paraId="4FF86D75" w14:textId="77777777" w:rsidR="00B60676" w:rsidRPr="00487D35" w:rsidRDefault="00B60676" w:rsidP="000D7019">
            <w:pPr>
              <w:pStyle w:val="TableParagraph"/>
              <w:ind w:right="90"/>
              <w:jc w:val="right"/>
              <w:rPr>
                <w:color w:val="231F20"/>
                <w:spacing w:val="-5"/>
                <w:sz w:val="18"/>
                <w:szCs w:val="18"/>
              </w:rPr>
            </w:pPr>
            <w:r w:rsidRPr="00487D35">
              <w:rPr>
                <w:color w:val="231F20"/>
                <w:spacing w:val="-5"/>
                <w:sz w:val="18"/>
                <w:szCs w:val="18"/>
              </w:rPr>
              <w:t>154</w:t>
            </w:r>
          </w:p>
        </w:tc>
        <w:tc>
          <w:tcPr>
            <w:tcW w:w="1276" w:type="dxa"/>
            <w:tcBorders>
              <w:top w:val="single" w:sz="8" w:space="0" w:color="66A438"/>
            </w:tcBorders>
            <w:shd w:val="clear" w:color="auto" w:fill="F5F9F3"/>
            <w:vAlign w:val="center"/>
          </w:tcPr>
          <w:p w14:paraId="088C07A3" w14:textId="77777777" w:rsidR="00B60676" w:rsidRPr="00487D35" w:rsidRDefault="00B60676" w:rsidP="000D7019">
            <w:pPr>
              <w:pStyle w:val="TableParagraph"/>
              <w:ind w:right="90"/>
              <w:jc w:val="right"/>
              <w:rPr>
                <w:color w:val="231F20"/>
                <w:spacing w:val="-5"/>
                <w:sz w:val="18"/>
                <w:szCs w:val="18"/>
              </w:rPr>
            </w:pPr>
            <w:r w:rsidRPr="00487D35">
              <w:rPr>
                <w:color w:val="231F20"/>
                <w:spacing w:val="-5"/>
                <w:sz w:val="18"/>
                <w:szCs w:val="18"/>
              </w:rPr>
              <w:t>125</w:t>
            </w:r>
          </w:p>
        </w:tc>
        <w:tc>
          <w:tcPr>
            <w:tcW w:w="1276" w:type="dxa"/>
            <w:tcBorders>
              <w:top w:val="single" w:sz="8" w:space="0" w:color="66A438"/>
            </w:tcBorders>
            <w:shd w:val="clear" w:color="auto" w:fill="F5F9F3"/>
            <w:vAlign w:val="center"/>
          </w:tcPr>
          <w:p w14:paraId="7F0D9B6D" w14:textId="77777777" w:rsidR="00B60676" w:rsidRPr="00487D35" w:rsidRDefault="00B60676" w:rsidP="000D7019">
            <w:pPr>
              <w:pStyle w:val="TableParagraph"/>
              <w:ind w:right="90"/>
              <w:jc w:val="right"/>
              <w:rPr>
                <w:color w:val="231F20"/>
                <w:spacing w:val="-5"/>
                <w:sz w:val="18"/>
                <w:szCs w:val="18"/>
              </w:rPr>
            </w:pPr>
            <w:r w:rsidRPr="00487D35">
              <w:rPr>
                <w:color w:val="231F20"/>
                <w:spacing w:val="-5"/>
                <w:sz w:val="18"/>
                <w:szCs w:val="18"/>
              </w:rPr>
              <w:t>129</w:t>
            </w:r>
          </w:p>
        </w:tc>
      </w:tr>
      <w:tr w:rsidR="00B60676" w14:paraId="2B3791D7" w14:textId="77777777" w:rsidTr="00915292">
        <w:trPr>
          <w:trHeight w:val="263"/>
        </w:trPr>
        <w:tc>
          <w:tcPr>
            <w:tcW w:w="2127" w:type="dxa"/>
            <w:vMerge/>
            <w:tcBorders>
              <w:top w:val="nil"/>
              <w:left w:val="nil"/>
            </w:tcBorders>
            <w:shd w:val="clear" w:color="auto" w:fill="8CBA69"/>
            <w:vAlign w:val="center"/>
          </w:tcPr>
          <w:p w14:paraId="43B145A6" w14:textId="77777777" w:rsidR="00B60676" w:rsidRDefault="00B60676" w:rsidP="00B60676">
            <w:pPr>
              <w:rPr>
                <w:sz w:val="2"/>
                <w:szCs w:val="2"/>
              </w:rPr>
            </w:pPr>
          </w:p>
        </w:tc>
        <w:tc>
          <w:tcPr>
            <w:tcW w:w="3969" w:type="dxa"/>
            <w:shd w:val="clear" w:color="auto" w:fill="F5F9F3"/>
            <w:vAlign w:val="center"/>
          </w:tcPr>
          <w:p w14:paraId="02C9C1EE" w14:textId="77777777" w:rsidR="00B60676" w:rsidRDefault="00B60676" w:rsidP="00B60676">
            <w:pPr>
              <w:pStyle w:val="TableParagraph"/>
              <w:spacing w:before="42"/>
              <w:ind w:left="170"/>
              <w:rPr>
                <w:rFonts w:ascii="Trebuchet MS"/>
                <w:sz w:val="16"/>
              </w:rPr>
            </w:pPr>
            <w:r>
              <w:rPr>
                <w:rFonts w:ascii="Trebuchet MS"/>
                <w:color w:val="231F20"/>
                <w:sz w:val="16"/>
              </w:rPr>
              <w:t>Properties</w:t>
            </w:r>
            <w:r>
              <w:rPr>
                <w:rFonts w:ascii="Trebuchet MS"/>
                <w:color w:val="231F20"/>
                <w:spacing w:val="13"/>
                <w:sz w:val="16"/>
              </w:rPr>
              <w:t xml:space="preserve"> </w:t>
            </w:r>
            <w:r>
              <w:rPr>
                <w:rFonts w:ascii="Trebuchet MS"/>
                <w:color w:val="231F20"/>
                <w:sz w:val="16"/>
              </w:rPr>
              <w:t>protected</w:t>
            </w:r>
            <w:r>
              <w:rPr>
                <w:rFonts w:ascii="Trebuchet MS"/>
                <w:color w:val="231F20"/>
                <w:spacing w:val="13"/>
                <w:sz w:val="16"/>
              </w:rPr>
              <w:t xml:space="preserve"> </w:t>
            </w:r>
            <w:r>
              <w:rPr>
                <w:rFonts w:ascii="Trebuchet MS"/>
                <w:color w:val="231F20"/>
                <w:sz w:val="16"/>
              </w:rPr>
              <w:t>by</w:t>
            </w:r>
            <w:r>
              <w:rPr>
                <w:rFonts w:ascii="Trebuchet MS"/>
                <w:color w:val="231F20"/>
                <w:spacing w:val="14"/>
                <w:sz w:val="16"/>
              </w:rPr>
              <w:t xml:space="preserve"> </w:t>
            </w:r>
            <w:r>
              <w:rPr>
                <w:rFonts w:ascii="Trebuchet MS"/>
                <w:color w:val="231F20"/>
                <w:sz w:val="16"/>
              </w:rPr>
              <w:t>flood</w:t>
            </w:r>
            <w:r>
              <w:rPr>
                <w:rFonts w:ascii="Trebuchet MS"/>
                <w:color w:val="231F20"/>
                <w:spacing w:val="13"/>
                <w:sz w:val="16"/>
              </w:rPr>
              <w:t xml:space="preserve"> </w:t>
            </w:r>
            <w:r>
              <w:rPr>
                <w:rFonts w:ascii="Trebuchet MS"/>
                <w:color w:val="231F20"/>
                <w:sz w:val="16"/>
              </w:rPr>
              <w:t>protection</w:t>
            </w:r>
            <w:r>
              <w:rPr>
                <w:rFonts w:ascii="Trebuchet MS"/>
                <w:color w:val="231F20"/>
                <w:spacing w:val="13"/>
                <w:sz w:val="16"/>
              </w:rPr>
              <w:t xml:space="preserve"> </w:t>
            </w:r>
            <w:r>
              <w:rPr>
                <w:rFonts w:ascii="Trebuchet MS"/>
                <w:color w:val="231F20"/>
                <w:spacing w:val="-2"/>
                <w:sz w:val="16"/>
              </w:rPr>
              <w:t>schemes</w:t>
            </w:r>
          </w:p>
        </w:tc>
        <w:tc>
          <w:tcPr>
            <w:tcW w:w="1417" w:type="dxa"/>
            <w:shd w:val="clear" w:color="auto" w:fill="F5F9F3"/>
            <w:vAlign w:val="center"/>
          </w:tcPr>
          <w:p w14:paraId="11218C06" w14:textId="77777777" w:rsidR="00B60676" w:rsidRPr="00487D35" w:rsidRDefault="00B60676" w:rsidP="000D7019">
            <w:pPr>
              <w:pStyle w:val="TableParagraph"/>
              <w:ind w:right="90"/>
              <w:jc w:val="right"/>
              <w:rPr>
                <w:sz w:val="18"/>
                <w:szCs w:val="18"/>
              </w:rPr>
            </w:pPr>
            <w:r w:rsidRPr="00487D35">
              <w:rPr>
                <w:color w:val="231F20"/>
                <w:spacing w:val="-10"/>
                <w:sz w:val="18"/>
                <w:szCs w:val="18"/>
              </w:rPr>
              <w:t>0</w:t>
            </w:r>
          </w:p>
        </w:tc>
        <w:tc>
          <w:tcPr>
            <w:tcW w:w="1134" w:type="dxa"/>
            <w:shd w:val="clear" w:color="auto" w:fill="F5F9F3"/>
            <w:vAlign w:val="center"/>
          </w:tcPr>
          <w:p w14:paraId="4F057D60" w14:textId="77777777" w:rsidR="00B60676" w:rsidRPr="00487D35" w:rsidRDefault="00B60676" w:rsidP="000D7019">
            <w:pPr>
              <w:pStyle w:val="TableParagraph"/>
              <w:ind w:right="90"/>
              <w:jc w:val="right"/>
              <w:rPr>
                <w:color w:val="231F20"/>
                <w:spacing w:val="-10"/>
                <w:sz w:val="18"/>
                <w:szCs w:val="18"/>
              </w:rPr>
            </w:pPr>
            <w:r w:rsidRPr="00487D35">
              <w:rPr>
                <w:color w:val="231F20"/>
                <w:spacing w:val="-10"/>
                <w:sz w:val="18"/>
                <w:szCs w:val="18"/>
              </w:rPr>
              <w:t>0</w:t>
            </w:r>
          </w:p>
        </w:tc>
        <w:tc>
          <w:tcPr>
            <w:tcW w:w="1418" w:type="dxa"/>
            <w:shd w:val="clear" w:color="auto" w:fill="F5F9F3"/>
            <w:vAlign w:val="center"/>
          </w:tcPr>
          <w:p w14:paraId="20A7A963" w14:textId="77777777" w:rsidR="00B60676" w:rsidRPr="00487D35" w:rsidRDefault="00B60676" w:rsidP="000D7019">
            <w:pPr>
              <w:pStyle w:val="TableParagraph"/>
              <w:ind w:right="90"/>
              <w:jc w:val="right"/>
              <w:rPr>
                <w:color w:val="231F20"/>
                <w:spacing w:val="-10"/>
                <w:sz w:val="18"/>
                <w:szCs w:val="18"/>
              </w:rPr>
            </w:pPr>
            <w:r w:rsidRPr="00487D35">
              <w:rPr>
                <w:color w:val="231F20"/>
                <w:spacing w:val="-10"/>
                <w:sz w:val="18"/>
                <w:szCs w:val="18"/>
              </w:rPr>
              <w:t>0</w:t>
            </w:r>
          </w:p>
        </w:tc>
        <w:tc>
          <w:tcPr>
            <w:tcW w:w="1275" w:type="dxa"/>
            <w:shd w:val="clear" w:color="auto" w:fill="F5F9F3"/>
            <w:vAlign w:val="center"/>
          </w:tcPr>
          <w:p w14:paraId="5B1A08D0" w14:textId="77777777" w:rsidR="00B60676" w:rsidRPr="00487D35" w:rsidRDefault="00B60676" w:rsidP="000D7019">
            <w:pPr>
              <w:pStyle w:val="TableParagraph"/>
              <w:ind w:right="90"/>
              <w:jc w:val="right"/>
              <w:rPr>
                <w:color w:val="231F20"/>
                <w:spacing w:val="-10"/>
                <w:sz w:val="18"/>
                <w:szCs w:val="18"/>
              </w:rPr>
            </w:pPr>
            <w:r w:rsidRPr="00487D35">
              <w:rPr>
                <w:color w:val="231F20"/>
                <w:spacing w:val="-10"/>
                <w:sz w:val="18"/>
                <w:szCs w:val="18"/>
              </w:rPr>
              <w:t>0</w:t>
            </w:r>
          </w:p>
        </w:tc>
        <w:tc>
          <w:tcPr>
            <w:tcW w:w="1276" w:type="dxa"/>
            <w:shd w:val="clear" w:color="auto" w:fill="F5F9F3"/>
            <w:vAlign w:val="center"/>
          </w:tcPr>
          <w:p w14:paraId="10D10934" w14:textId="77777777" w:rsidR="00B60676" w:rsidRPr="00487D35" w:rsidRDefault="00B60676" w:rsidP="000D7019">
            <w:pPr>
              <w:pStyle w:val="TableParagraph"/>
              <w:ind w:right="90"/>
              <w:jc w:val="right"/>
              <w:rPr>
                <w:color w:val="231F20"/>
                <w:spacing w:val="-10"/>
                <w:sz w:val="18"/>
                <w:szCs w:val="18"/>
              </w:rPr>
            </w:pPr>
            <w:r w:rsidRPr="00487D35">
              <w:rPr>
                <w:color w:val="231F20"/>
                <w:spacing w:val="-10"/>
                <w:sz w:val="18"/>
                <w:szCs w:val="18"/>
              </w:rPr>
              <w:t>0</w:t>
            </w:r>
          </w:p>
        </w:tc>
        <w:tc>
          <w:tcPr>
            <w:tcW w:w="1276" w:type="dxa"/>
            <w:shd w:val="clear" w:color="auto" w:fill="F5F9F3"/>
            <w:vAlign w:val="center"/>
          </w:tcPr>
          <w:p w14:paraId="3E5ACA1C" w14:textId="77777777" w:rsidR="00B60676" w:rsidRPr="00487D35" w:rsidRDefault="00B60676" w:rsidP="000D7019">
            <w:pPr>
              <w:pStyle w:val="TableParagraph"/>
              <w:ind w:right="90"/>
              <w:jc w:val="right"/>
              <w:rPr>
                <w:color w:val="231F20"/>
                <w:spacing w:val="-10"/>
                <w:sz w:val="18"/>
                <w:szCs w:val="18"/>
              </w:rPr>
            </w:pPr>
            <w:r w:rsidRPr="00487D35">
              <w:rPr>
                <w:color w:val="231F20"/>
                <w:spacing w:val="-10"/>
                <w:sz w:val="18"/>
                <w:szCs w:val="18"/>
              </w:rPr>
              <w:t>0</w:t>
            </w:r>
          </w:p>
        </w:tc>
        <w:tc>
          <w:tcPr>
            <w:tcW w:w="1276" w:type="dxa"/>
            <w:shd w:val="clear" w:color="auto" w:fill="F5F9F3"/>
            <w:vAlign w:val="center"/>
          </w:tcPr>
          <w:p w14:paraId="3C08732E" w14:textId="77777777" w:rsidR="00B60676" w:rsidRPr="00487D35" w:rsidRDefault="00B60676" w:rsidP="000D7019">
            <w:pPr>
              <w:pStyle w:val="TableParagraph"/>
              <w:ind w:right="90"/>
              <w:jc w:val="right"/>
              <w:rPr>
                <w:color w:val="231F20"/>
                <w:spacing w:val="-10"/>
                <w:sz w:val="18"/>
                <w:szCs w:val="18"/>
              </w:rPr>
            </w:pPr>
            <w:r w:rsidRPr="00487D35">
              <w:rPr>
                <w:color w:val="000000" w:themeColor="text1"/>
                <w:spacing w:val="-10"/>
                <w:sz w:val="18"/>
                <w:szCs w:val="18"/>
              </w:rPr>
              <w:t>0</w:t>
            </w:r>
          </w:p>
        </w:tc>
      </w:tr>
      <w:tr w:rsidR="00B60676" w14:paraId="3F4F3F31" w14:textId="77777777" w:rsidTr="00915292">
        <w:trPr>
          <w:trHeight w:val="359"/>
        </w:trPr>
        <w:tc>
          <w:tcPr>
            <w:tcW w:w="2127" w:type="dxa"/>
            <w:vMerge/>
            <w:tcBorders>
              <w:top w:val="nil"/>
              <w:left w:val="nil"/>
            </w:tcBorders>
            <w:shd w:val="clear" w:color="auto" w:fill="8CBA69"/>
            <w:vAlign w:val="center"/>
          </w:tcPr>
          <w:p w14:paraId="0DE2AEB0" w14:textId="77777777" w:rsidR="00B60676" w:rsidRDefault="00B60676" w:rsidP="00B60676">
            <w:pPr>
              <w:rPr>
                <w:sz w:val="2"/>
                <w:szCs w:val="2"/>
              </w:rPr>
            </w:pPr>
          </w:p>
        </w:tc>
        <w:tc>
          <w:tcPr>
            <w:tcW w:w="3969" w:type="dxa"/>
            <w:shd w:val="clear" w:color="auto" w:fill="F5F9F3"/>
            <w:vAlign w:val="center"/>
          </w:tcPr>
          <w:p w14:paraId="4C5457A6" w14:textId="77777777" w:rsidR="00B60676" w:rsidRDefault="00B60676" w:rsidP="00B60676">
            <w:pPr>
              <w:pStyle w:val="TableParagraph"/>
              <w:spacing w:before="91"/>
              <w:ind w:left="170"/>
              <w:rPr>
                <w:sz w:val="16"/>
              </w:rPr>
            </w:pPr>
            <w:r>
              <w:rPr>
                <w:color w:val="231F20"/>
                <w:w w:val="105"/>
                <w:sz w:val="16"/>
              </w:rPr>
              <w:t>Local</w:t>
            </w:r>
            <w:r>
              <w:rPr>
                <w:color w:val="231F20"/>
                <w:spacing w:val="-8"/>
                <w:w w:val="105"/>
                <w:sz w:val="16"/>
              </w:rPr>
              <w:t xml:space="preserve"> </w:t>
            </w:r>
            <w:r>
              <w:rPr>
                <w:color w:val="231F20"/>
                <w:w w:val="105"/>
                <w:sz w:val="16"/>
              </w:rPr>
              <w:t>authority</w:t>
            </w:r>
            <w:r>
              <w:rPr>
                <w:color w:val="231F20"/>
                <w:spacing w:val="-8"/>
                <w:w w:val="105"/>
                <w:sz w:val="16"/>
              </w:rPr>
              <w:t xml:space="preserve"> </w:t>
            </w:r>
            <w:r>
              <w:rPr>
                <w:color w:val="231F20"/>
                <w:w w:val="105"/>
                <w:sz w:val="16"/>
              </w:rPr>
              <w:t>Energy</w:t>
            </w:r>
            <w:r>
              <w:rPr>
                <w:color w:val="231F20"/>
                <w:spacing w:val="-8"/>
                <w:w w:val="105"/>
                <w:sz w:val="16"/>
              </w:rPr>
              <w:t xml:space="preserve"> </w:t>
            </w:r>
            <w:r>
              <w:rPr>
                <w:color w:val="231F20"/>
                <w:spacing w:val="-2"/>
                <w:w w:val="105"/>
                <w:sz w:val="16"/>
              </w:rPr>
              <w:t>savings</w:t>
            </w:r>
          </w:p>
        </w:tc>
        <w:tc>
          <w:tcPr>
            <w:tcW w:w="1417" w:type="dxa"/>
            <w:shd w:val="clear" w:color="auto" w:fill="F5F9F3"/>
            <w:vAlign w:val="center"/>
          </w:tcPr>
          <w:p w14:paraId="5AB3609B" w14:textId="77777777" w:rsidR="00B60676" w:rsidRPr="00487D35" w:rsidRDefault="00B60676" w:rsidP="000D7019">
            <w:pPr>
              <w:pStyle w:val="TableParagraph"/>
              <w:spacing w:before="91"/>
              <w:ind w:right="90"/>
              <w:jc w:val="right"/>
              <w:rPr>
                <w:sz w:val="18"/>
                <w:szCs w:val="18"/>
              </w:rPr>
            </w:pPr>
            <w:r w:rsidRPr="00487D35">
              <w:rPr>
                <w:color w:val="231F20"/>
                <w:spacing w:val="-2"/>
                <w:sz w:val="18"/>
                <w:szCs w:val="18"/>
              </w:rPr>
              <w:t>34.4%</w:t>
            </w:r>
          </w:p>
        </w:tc>
        <w:tc>
          <w:tcPr>
            <w:tcW w:w="1134" w:type="dxa"/>
            <w:shd w:val="clear" w:color="auto" w:fill="F5F9F3"/>
            <w:vAlign w:val="center"/>
          </w:tcPr>
          <w:p w14:paraId="2E8E0A54" w14:textId="77777777" w:rsidR="00B60676" w:rsidRPr="00487D35" w:rsidRDefault="00B60676" w:rsidP="000D7019">
            <w:pPr>
              <w:pStyle w:val="TableParagraph"/>
              <w:spacing w:before="91"/>
              <w:ind w:right="90"/>
              <w:jc w:val="right"/>
              <w:rPr>
                <w:color w:val="231F20"/>
                <w:spacing w:val="-2"/>
                <w:sz w:val="18"/>
                <w:szCs w:val="18"/>
              </w:rPr>
            </w:pPr>
            <w:r w:rsidRPr="00487D35">
              <w:rPr>
                <w:color w:val="231F20"/>
                <w:spacing w:val="-2"/>
                <w:sz w:val="18"/>
                <w:szCs w:val="18"/>
              </w:rPr>
              <w:t>45.7%</w:t>
            </w:r>
          </w:p>
        </w:tc>
        <w:tc>
          <w:tcPr>
            <w:tcW w:w="1418" w:type="dxa"/>
            <w:shd w:val="clear" w:color="auto" w:fill="F5F9F3"/>
            <w:vAlign w:val="center"/>
          </w:tcPr>
          <w:p w14:paraId="1A2F0133" w14:textId="77777777" w:rsidR="00B60676" w:rsidRPr="00487D35" w:rsidRDefault="00B60676" w:rsidP="000D7019">
            <w:pPr>
              <w:pStyle w:val="TableParagraph"/>
              <w:spacing w:before="91"/>
              <w:ind w:right="90"/>
              <w:jc w:val="right"/>
              <w:rPr>
                <w:color w:val="231F20"/>
                <w:spacing w:val="-2"/>
                <w:sz w:val="18"/>
                <w:szCs w:val="18"/>
              </w:rPr>
            </w:pPr>
            <w:r w:rsidRPr="00487D35">
              <w:rPr>
                <w:color w:val="231F20"/>
                <w:spacing w:val="-2"/>
                <w:sz w:val="18"/>
                <w:szCs w:val="18"/>
              </w:rPr>
              <w:t>40.0%</w:t>
            </w:r>
          </w:p>
        </w:tc>
        <w:tc>
          <w:tcPr>
            <w:tcW w:w="1275" w:type="dxa"/>
            <w:shd w:val="clear" w:color="auto" w:fill="F5F9F3"/>
            <w:vAlign w:val="center"/>
          </w:tcPr>
          <w:p w14:paraId="184DBC59" w14:textId="77777777" w:rsidR="00B60676" w:rsidRPr="00487D35" w:rsidRDefault="00B60676" w:rsidP="000D7019">
            <w:pPr>
              <w:pStyle w:val="TableParagraph"/>
              <w:spacing w:before="91"/>
              <w:ind w:right="90"/>
              <w:jc w:val="right"/>
              <w:rPr>
                <w:color w:val="231F20"/>
                <w:spacing w:val="-2"/>
                <w:sz w:val="18"/>
                <w:szCs w:val="18"/>
              </w:rPr>
            </w:pPr>
            <w:r w:rsidRPr="00487D35">
              <w:rPr>
                <w:color w:val="231F20"/>
                <w:spacing w:val="-2"/>
                <w:sz w:val="18"/>
                <w:szCs w:val="18"/>
              </w:rPr>
              <w:t>41.3%</w:t>
            </w:r>
          </w:p>
        </w:tc>
        <w:tc>
          <w:tcPr>
            <w:tcW w:w="1276" w:type="dxa"/>
            <w:shd w:val="clear" w:color="auto" w:fill="F5F9F3"/>
            <w:vAlign w:val="center"/>
          </w:tcPr>
          <w:p w14:paraId="112CF0F2" w14:textId="41D9B75D" w:rsidR="00B60676" w:rsidRPr="00487D35" w:rsidRDefault="00B60676" w:rsidP="00342D56">
            <w:pPr>
              <w:pStyle w:val="TableParagraph"/>
              <w:spacing w:before="91"/>
              <w:ind w:right="90"/>
              <w:jc w:val="right"/>
              <w:rPr>
                <w:color w:val="231F20"/>
                <w:spacing w:val="-2"/>
                <w:sz w:val="18"/>
                <w:szCs w:val="18"/>
              </w:rPr>
            </w:pPr>
            <w:r w:rsidRPr="00487D35">
              <w:rPr>
                <w:color w:val="231F20"/>
                <w:spacing w:val="-2"/>
                <w:sz w:val="18"/>
                <w:szCs w:val="18"/>
              </w:rPr>
              <w:t>43.4%*</w:t>
            </w:r>
          </w:p>
        </w:tc>
        <w:tc>
          <w:tcPr>
            <w:tcW w:w="1276" w:type="dxa"/>
            <w:shd w:val="clear" w:color="auto" w:fill="F5F9F3"/>
            <w:vAlign w:val="center"/>
          </w:tcPr>
          <w:p w14:paraId="7DCDCD8B" w14:textId="7B3BD0DA" w:rsidR="00B60676" w:rsidRPr="00487D35" w:rsidRDefault="00B60676" w:rsidP="00342D56">
            <w:pPr>
              <w:pStyle w:val="TableParagraph"/>
              <w:spacing w:before="91"/>
              <w:ind w:right="90"/>
              <w:jc w:val="right"/>
              <w:rPr>
                <w:color w:val="231F20"/>
                <w:spacing w:val="-2"/>
                <w:sz w:val="18"/>
                <w:szCs w:val="18"/>
              </w:rPr>
            </w:pPr>
            <w:r w:rsidRPr="00487D35">
              <w:rPr>
                <w:color w:val="231F20"/>
                <w:spacing w:val="-2"/>
                <w:sz w:val="18"/>
                <w:szCs w:val="18"/>
              </w:rPr>
              <w:t>45.5%*</w:t>
            </w:r>
            <w:r w:rsidR="00342D56">
              <w:rPr>
                <w:rStyle w:val="FootnoteReference"/>
                <w:color w:val="231F20"/>
                <w:spacing w:val="-2"/>
                <w:sz w:val="18"/>
                <w:szCs w:val="18"/>
              </w:rPr>
              <w:footnoteReference w:id="1"/>
            </w:r>
          </w:p>
        </w:tc>
        <w:tc>
          <w:tcPr>
            <w:tcW w:w="1276" w:type="dxa"/>
            <w:shd w:val="clear" w:color="auto" w:fill="F5F9F3"/>
            <w:vAlign w:val="center"/>
          </w:tcPr>
          <w:p w14:paraId="253D64C2" w14:textId="3CCC5493" w:rsidR="00B60676" w:rsidRPr="00487D35" w:rsidRDefault="00B60676" w:rsidP="00342D56">
            <w:pPr>
              <w:pStyle w:val="TableParagraph"/>
              <w:spacing w:before="91"/>
              <w:ind w:right="90"/>
              <w:jc w:val="right"/>
              <w:rPr>
                <w:color w:val="231F20"/>
                <w:spacing w:val="-2"/>
                <w:sz w:val="18"/>
                <w:szCs w:val="18"/>
              </w:rPr>
            </w:pPr>
            <w:r w:rsidRPr="00487D35">
              <w:rPr>
                <w:color w:val="231F20"/>
                <w:spacing w:val="-2"/>
                <w:sz w:val="18"/>
                <w:szCs w:val="18"/>
              </w:rPr>
              <w:t>46.8%*</w:t>
            </w:r>
            <w:r w:rsidR="00342D56">
              <w:rPr>
                <w:rStyle w:val="FootnoteReference"/>
                <w:color w:val="231F20"/>
                <w:spacing w:val="-2"/>
                <w:sz w:val="18"/>
                <w:szCs w:val="18"/>
              </w:rPr>
              <w:footnoteReference w:id="2"/>
            </w:r>
          </w:p>
        </w:tc>
      </w:tr>
      <w:tr w:rsidR="00B60676" w14:paraId="478DC1DC" w14:textId="77777777" w:rsidTr="00915292">
        <w:trPr>
          <w:trHeight w:val="263"/>
        </w:trPr>
        <w:tc>
          <w:tcPr>
            <w:tcW w:w="2127" w:type="dxa"/>
            <w:vMerge/>
            <w:tcBorders>
              <w:top w:val="nil"/>
              <w:left w:val="nil"/>
            </w:tcBorders>
            <w:shd w:val="clear" w:color="auto" w:fill="8CBA69"/>
            <w:vAlign w:val="center"/>
          </w:tcPr>
          <w:p w14:paraId="5E381709" w14:textId="77777777" w:rsidR="00B60676" w:rsidRDefault="00B60676" w:rsidP="00B60676">
            <w:pPr>
              <w:rPr>
                <w:sz w:val="2"/>
                <w:szCs w:val="2"/>
              </w:rPr>
            </w:pPr>
          </w:p>
        </w:tc>
        <w:tc>
          <w:tcPr>
            <w:tcW w:w="3969" w:type="dxa"/>
            <w:shd w:val="clear" w:color="auto" w:fill="F5F9F3"/>
            <w:vAlign w:val="center"/>
          </w:tcPr>
          <w:p w14:paraId="28D8A51D" w14:textId="77777777" w:rsidR="00B60676" w:rsidRDefault="00B60676" w:rsidP="00B60676">
            <w:pPr>
              <w:pStyle w:val="TableParagraph"/>
              <w:ind w:left="170"/>
              <w:rPr>
                <w:sz w:val="16"/>
              </w:rPr>
            </w:pPr>
            <w:r>
              <w:rPr>
                <w:color w:val="231F20"/>
                <w:sz w:val="16"/>
              </w:rPr>
              <w:t>Trees</w:t>
            </w:r>
            <w:r>
              <w:rPr>
                <w:color w:val="231F20"/>
                <w:spacing w:val="-3"/>
                <w:sz w:val="16"/>
              </w:rPr>
              <w:t xml:space="preserve"> </w:t>
            </w:r>
            <w:r>
              <w:rPr>
                <w:color w:val="231F20"/>
                <w:spacing w:val="-2"/>
                <w:sz w:val="16"/>
              </w:rPr>
              <w:t>planted</w:t>
            </w:r>
          </w:p>
        </w:tc>
        <w:tc>
          <w:tcPr>
            <w:tcW w:w="1417" w:type="dxa"/>
            <w:shd w:val="clear" w:color="auto" w:fill="F5F9F3"/>
            <w:vAlign w:val="center"/>
          </w:tcPr>
          <w:p w14:paraId="1A431225" w14:textId="77777777" w:rsidR="00B60676" w:rsidRPr="00487D35" w:rsidRDefault="00B60676" w:rsidP="000D7019">
            <w:pPr>
              <w:pStyle w:val="TableParagraph"/>
              <w:ind w:right="90"/>
              <w:jc w:val="right"/>
              <w:rPr>
                <w:sz w:val="18"/>
                <w:szCs w:val="18"/>
              </w:rPr>
            </w:pPr>
            <w:r w:rsidRPr="00487D35">
              <w:rPr>
                <w:color w:val="231F20"/>
                <w:spacing w:val="-2"/>
                <w:sz w:val="18"/>
                <w:szCs w:val="18"/>
              </w:rPr>
              <w:t>1,914</w:t>
            </w:r>
          </w:p>
        </w:tc>
        <w:tc>
          <w:tcPr>
            <w:tcW w:w="1134" w:type="dxa"/>
            <w:shd w:val="clear" w:color="auto" w:fill="F5F9F3"/>
            <w:vAlign w:val="center"/>
          </w:tcPr>
          <w:p w14:paraId="1A1BC94B" w14:textId="77777777" w:rsidR="00B60676" w:rsidRPr="00487D35" w:rsidRDefault="00B60676" w:rsidP="000D7019">
            <w:pPr>
              <w:pStyle w:val="TableParagraph"/>
              <w:ind w:right="90"/>
              <w:jc w:val="right"/>
              <w:rPr>
                <w:color w:val="231F20"/>
                <w:spacing w:val="-2"/>
                <w:sz w:val="18"/>
                <w:szCs w:val="18"/>
              </w:rPr>
            </w:pPr>
            <w:r w:rsidRPr="00487D35">
              <w:rPr>
                <w:color w:val="231F20"/>
                <w:spacing w:val="-2"/>
                <w:sz w:val="18"/>
                <w:szCs w:val="18"/>
              </w:rPr>
              <w:t>1954</w:t>
            </w:r>
          </w:p>
        </w:tc>
        <w:tc>
          <w:tcPr>
            <w:tcW w:w="1418" w:type="dxa"/>
            <w:shd w:val="clear" w:color="auto" w:fill="F5F9F3"/>
            <w:vAlign w:val="center"/>
          </w:tcPr>
          <w:p w14:paraId="37061066" w14:textId="77777777" w:rsidR="00B60676" w:rsidRPr="00487D35" w:rsidRDefault="00B60676" w:rsidP="000D7019">
            <w:pPr>
              <w:pStyle w:val="TableParagraph"/>
              <w:ind w:right="90"/>
              <w:jc w:val="right"/>
              <w:rPr>
                <w:color w:val="231F20"/>
                <w:spacing w:val="-2"/>
                <w:sz w:val="18"/>
                <w:szCs w:val="18"/>
              </w:rPr>
            </w:pPr>
            <w:r w:rsidRPr="00487D35">
              <w:rPr>
                <w:color w:val="231F20"/>
                <w:spacing w:val="-2"/>
                <w:sz w:val="18"/>
                <w:szCs w:val="18"/>
              </w:rPr>
              <w:t>688</w:t>
            </w:r>
          </w:p>
        </w:tc>
        <w:tc>
          <w:tcPr>
            <w:tcW w:w="1275" w:type="dxa"/>
            <w:shd w:val="clear" w:color="auto" w:fill="F5F9F3"/>
            <w:vAlign w:val="center"/>
          </w:tcPr>
          <w:p w14:paraId="7EAFDDD6" w14:textId="77777777" w:rsidR="00B60676" w:rsidRPr="00487D35" w:rsidRDefault="00B60676" w:rsidP="000D7019">
            <w:pPr>
              <w:pStyle w:val="TableParagraph"/>
              <w:ind w:right="90"/>
              <w:jc w:val="right"/>
              <w:rPr>
                <w:color w:val="231F20"/>
                <w:spacing w:val="-2"/>
                <w:sz w:val="18"/>
                <w:szCs w:val="18"/>
              </w:rPr>
            </w:pPr>
            <w:r w:rsidRPr="00487D35">
              <w:rPr>
                <w:color w:val="231F20"/>
                <w:spacing w:val="-2"/>
                <w:sz w:val="18"/>
                <w:szCs w:val="18"/>
              </w:rPr>
              <w:t>2303</w:t>
            </w:r>
          </w:p>
        </w:tc>
        <w:tc>
          <w:tcPr>
            <w:tcW w:w="1276" w:type="dxa"/>
            <w:shd w:val="clear" w:color="auto" w:fill="F5F9F3"/>
            <w:vAlign w:val="center"/>
          </w:tcPr>
          <w:p w14:paraId="3BDE5134" w14:textId="77777777" w:rsidR="00B60676" w:rsidRPr="00487D35" w:rsidRDefault="00B60676" w:rsidP="000D7019">
            <w:pPr>
              <w:pStyle w:val="TableParagraph"/>
              <w:ind w:right="90"/>
              <w:jc w:val="right"/>
              <w:rPr>
                <w:color w:val="231F20"/>
                <w:spacing w:val="-2"/>
                <w:sz w:val="18"/>
                <w:szCs w:val="18"/>
              </w:rPr>
            </w:pPr>
            <w:r w:rsidRPr="00487D35">
              <w:rPr>
                <w:color w:val="231F20"/>
                <w:spacing w:val="-2"/>
                <w:sz w:val="18"/>
                <w:szCs w:val="18"/>
              </w:rPr>
              <w:t>751</w:t>
            </w:r>
          </w:p>
        </w:tc>
        <w:tc>
          <w:tcPr>
            <w:tcW w:w="1276" w:type="dxa"/>
            <w:shd w:val="clear" w:color="auto" w:fill="F5F9F3"/>
            <w:vAlign w:val="center"/>
          </w:tcPr>
          <w:p w14:paraId="5ADE1879" w14:textId="77777777" w:rsidR="00B60676" w:rsidRPr="00487D35" w:rsidRDefault="00B60676" w:rsidP="000D7019">
            <w:pPr>
              <w:pStyle w:val="TableParagraph"/>
              <w:ind w:right="90"/>
              <w:jc w:val="right"/>
              <w:rPr>
                <w:color w:val="231F20"/>
                <w:spacing w:val="-2"/>
                <w:sz w:val="18"/>
                <w:szCs w:val="18"/>
              </w:rPr>
            </w:pPr>
            <w:r w:rsidRPr="00487D35">
              <w:rPr>
                <w:color w:val="231F20"/>
                <w:spacing w:val="-2"/>
                <w:sz w:val="18"/>
                <w:szCs w:val="18"/>
              </w:rPr>
              <w:t>3,500</w:t>
            </w:r>
          </w:p>
        </w:tc>
        <w:tc>
          <w:tcPr>
            <w:tcW w:w="1276" w:type="dxa"/>
            <w:shd w:val="clear" w:color="auto" w:fill="F5F9F3"/>
            <w:vAlign w:val="center"/>
          </w:tcPr>
          <w:p w14:paraId="155DB8F8" w14:textId="77777777" w:rsidR="00B60676" w:rsidRPr="00487D35" w:rsidRDefault="00B60676" w:rsidP="000D7019">
            <w:pPr>
              <w:pStyle w:val="TableParagraph"/>
              <w:ind w:right="90"/>
              <w:jc w:val="right"/>
              <w:rPr>
                <w:color w:val="231F20"/>
                <w:spacing w:val="-2"/>
                <w:sz w:val="18"/>
                <w:szCs w:val="18"/>
              </w:rPr>
            </w:pPr>
            <w:r w:rsidRPr="00487D35">
              <w:rPr>
                <w:color w:val="231F20"/>
                <w:spacing w:val="-2"/>
                <w:sz w:val="18"/>
                <w:szCs w:val="18"/>
              </w:rPr>
              <w:t>3,651</w:t>
            </w:r>
          </w:p>
        </w:tc>
      </w:tr>
      <w:tr w:rsidR="00B60676" w14:paraId="0FF30D78" w14:textId="77777777" w:rsidTr="00915292">
        <w:trPr>
          <w:trHeight w:val="263"/>
        </w:trPr>
        <w:tc>
          <w:tcPr>
            <w:tcW w:w="2127" w:type="dxa"/>
            <w:vMerge/>
            <w:tcBorders>
              <w:top w:val="nil"/>
              <w:left w:val="nil"/>
            </w:tcBorders>
            <w:shd w:val="clear" w:color="auto" w:fill="8CBA69"/>
            <w:vAlign w:val="center"/>
          </w:tcPr>
          <w:p w14:paraId="2452DE81" w14:textId="77777777" w:rsidR="00B60676" w:rsidRDefault="00B60676" w:rsidP="00B60676">
            <w:pPr>
              <w:rPr>
                <w:sz w:val="2"/>
                <w:szCs w:val="2"/>
              </w:rPr>
            </w:pPr>
          </w:p>
        </w:tc>
        <w:tc>
          <w:tcPr>
            <w:tcW w:w="3969" w:type="dxa"/>
            <w:shd w:val="clear" w:color="auto" w:fill="F5F9F3"/>
            <w:vAlign w:val="center"/>
          </w:tcPr>
          <w:p w14:paraId="1A2EBC94" w14:textId="77777777" w:rsidR="00B60676" w:rsidRDefault="00B60676" w:rsidP="00B60676">
            <w:pPr>
              <w:pStyle w:val="TableParagraph"/>
              <w:ind w:left="170"/>
              <w:rPr>
                <w:sz w:val="16"/>
              </w:rPr>
            </w:pPr>
            <w:r>
              <w:rPr>
                <w:color w:val="231F20"/>
                <w:sz w:val="16"/>
              </w:rPr>
              <w:t>Environmental</w:t>
            </w:r>
            <w:r>
              <w:rPr>
                <w:color w:val="231F20"/>
                <w:spacing w:val="28"/>
                <w:sz w:val="16"/>
              </w:rPr>
              <w:t xml:space="preserve"> </w:t>
            </w:r>
            <w:r>
              <w:rPr>
                <w:color w:val="231F20"/>
                <w:sz w:val="16"/>
              </w:rPr>
              <w:t>/</w:t>
            </w:r>
            <w:r>
              <w:rPr>
                <w:color w:val="231F20"/>
                <w:spacing w:val="29"/>
                <w:sz w:val="16"/>
              </w:rPr>
              <w:t xml:space="preserve"> </w:t>
            </w:r>
            <w:r>
              <w:rPr>
                <w:color w:val="231F20"/>
                <w:sz w:val="16"/>
              </w:rPr>
              <w:t>climate</w:t>
            </w:r>
            <w:r>
              <w:rPr>
                <w:color w:val="231F20"/>
                <w:spacing w:val="29"/>
                <w:sz w:val="16"/>
              </w:rPr>
              <w:t xml:space="preserve"> </w:t>
            </w:r>
            <w:r>
              <w:rPr>
                <w:color w:val="231F20"/>
                <w:sz w:val="16"/>
              </w:rPr>
              <w:t>action</w:t>
            </w:r>
            <w:r>
              <w:rPr>
                <w:color w:val="231F20"/>
                <w:spacing w:val="29"/>
                <w:sz w:val="16"/>
              </w:rPr>
              <w:t xml:space="preserve"> </w:t>
            </w:r>
            <w:r>
              <w:rPr>
                <w:color w:val="231F20"/>
                <w:sz w:val="16"/>
              </w:rPr>
              <w:t>awareness</w:t>
            </w:r>
            <w:r>
              <w:rPr>
                <w:color w:val="231F20"/>
                <w:spacing w:val="29"/>
                <w:sz w:val="16"/>
              </w:rPr>
              <w:t xml:space="preserve"> </w:t>
            </w:r>
            <w:r>
              <w:rPr>
                <w:color w:val="231F20"/>
                <w:spacing w:val="-2"/>
                <w:sz w:val="16"/>
              </w:rPr>
              <w:t>sessions</w:t>
            </w:r>
          </w:p>
        </w:tc>
        <w:tc>
          <w:tcPr>
            <w:tcW w:w="1417" w:type="dxa"/>
            <w:shd w:val="clear" w:color="auto" w:fill="F5F9F3"/>
            <w:vAlign w:val="center"/>
          </w:tcPr>
          <w:p w14:paraId="0E0538B5" w14:textId="77777777" w:rsidR="00B60676" w:rsidRPr="00487D35" w:rsidRDefault="00B60676" w:rsidP="000D7019">
            <w:pPr>
              <w:pStyle w:val="TableParagraph"/>
              <w:ind w:right="90"/>
              <w:jc w:val="right"/>
              <w:rPr>
                <w:sz w:val="18"/>
                <w:szCs w:val="18"/>
              </w:rPr>
            </w:pPr>
            <w:r w:rsidRPr="00487D35">
              <w:rPr>
                <w:color w:val="231F20"/>
                <w:spacing w:val="-5"/>
                <w:sz w:val="18"/>
                <w:szCs w:val="18"/>
              </w:rPr>
              <w:t>131</w:t>
            </w:r>
          </w:p>
        </w:tc>
        <w:tc>
          <w:tcPr>
            <w:tcW w:w="1134" w:type="dxa"/>
            <w:shd w:val="clear" w:color="auto" w:fill="F5F9F3"/>
            <w:vAlign w:val="center"/>
          </w:tcPr>
          <w:p w14:paraId="795D4168" w14:textId="77777777" w:rsidR="00B60676" w:rsidRPr="00487D35" w:rsidRDefault="00B60676" w:rsidP="000D7019">
            <w:pPr>
              <w:pStyle w:val="TableParagraph"/>
              <w:ind w:right="90"/>
              <w:jc w:val="right"/>
              <w:rPr>
                <w:color w:val="231F20"/>
                <w:spacing w:val="-5"/>
                <w:sz w:val="18"/>
                <w:szCs w:val="18"/>
              </w:rPr>
            </w:pPr>
            <w:r w:rsidRPr="00487D35">
              <w:rPr>
                <w:color w:val="231F20"/>
                <w:spacing w:val="-5"/>
                <w:sz w:val="18"/>
                <w:szCs w:val="18"/>
              </w:rPr>
              <w:t>66</w:t>
            </w:r>
          </w:p>
        </w:tc>
        <w:tc>
          <w:tcPr>
            <w:tcW w:w="1418" w:type="dxa"/>
            <w:shd w:val="clear" w:color="auto" w:fill="F5F9F3"/>
            <w:vAlign w:val="center"/>
          </w:tcPr>
          <w:p w14:paraId="09A321D4" w14:textId="77777777" w:rsidR="00B60676" w:rsidRPr="00487D35" w:rsidRDefault="00B60676" w:rsidP="000D7019">
            <w:pPr>
              <w:pStyle w:val="TableParagraph"/>
              <w:ind w:right="90"/>
              <w:jc w:val="right"/>
              <w:rPr>
                <w:color w:val="231F20"/>
                <w:spacing w:val="-5"/>
                <w:sz w:val="18"/>
                <w:szCs w:val="18"/>
              </w:rPr>
            </w:pPr>
            <w:r w:rsidRPr="00487D35">
              <w:rPr>
                <w:color w:val="231F20"/>
                <w:spacing w:val="-5"/>
                <w:sz w:val="18"/>
                <w:szCs w:val="18"/>
              </w:rPr>
              <w:t>226</w:t>
            </w:r>
          </w:p>
        </w:tc>
        <w:tc>
          <w:tcPr>
            <w:tcW w:w="1275" w:type="dxa"/>
            <w:shd w:val="clear" w:color="auto" w:fill="F5F9F3"/>
            <w:vAlign w:val="center"/>
          </w:tcPr>
          <w:p w14:paraId="52557CFC" w14:textId="77777777" w:rsidR="00B60676" w:rsidRPr="00487D35" w:rsidRDefault="00B60676" w:rsidP="000D7019">
            <w:pPr>
              <w:pStyle w:val="TableParagraph"/>
              <w:ind w:right="90"/>
              <w:jc w:val="right"/>
              <w:rPr>
                <w:color w:val="231F20"/>
                <w:spacing w:val="-5"/>
                <w:sz w:val="18"/>
                <w:szCs w:val="18"/>
              </w:rPr>
            </w:pPr>
            <w:r w:rsidRPr="00487D35">
              <w:rPr>
                <w:color w:val="231F20"/>
                <w:spacing w:val="-5"/>
                <w:sz w:val="18"/>
                <w:szCs w:val="18"/>
              </w:rPr>
              <w:t>223</w:t>
            </w:r>
          </w:p>
        </w:tc>
        <w:tc>
          <w:tcPr>
            <w:tcW w:w="1276" w:type="dxa"/>
            <w:shd w:val="clear" w:color="auto" w:fill="F5F9F3"/>
            <w:vAlign w:val="center"/>
          </w:tcPr>
          <w:p w14:paraId="34A8A784" w14:textId="77777777" w:rsidR="00B60676" w:rsidRPr="00487D35" w:rsidRDefault="00B60676" w:rsidP="000D7019">
            <w:pPr>
              <w:pStyle w:val="TableParagraph"/>
              <w:ind w:right="90"/>
              <w:jc w:val="right"/>
              <w:rPr>
                <w:color w:val="231F20"/>
                <w:spacing w:val="-5"/>
                <w:sz w:val="18"/>
                <w:szCs w:val="18"/>
              </w:rPr>
            </w:pPr>
            <w:r w:rsidRPr="00487D35">
              <w:rPr>
                <w:color w:val="231F20"/>
                <w:spacing w:val="-5"/>
                <w:sz w:val="18"/>
                <w:szCs w:val="18"/>
              </w:rPr>
              <w:t>179</w:t>
            </w:r>
          </w:p>
        </w:tc>
        <w:tc>
          <w:tcPr>
            <w:tcW w:w="1276" w:type="dxa"/>
            <w:shd w:val="clear" w:color="auto" w:fill="F5F9F3"/>
            <w:vAlign w:val="center"/>
          </w:tcPr>
          <w:p w14:paraId="452F2FDF" w14:textId="77777777" w:rsidR="00B60676" w:rsidRPr="00487D35" w:rsidRDefault="00B60676" w:rsidP="000D7019">
            <w:pPr>
              <w:pStyle w:val="TableParagraph"/>
              <w:ind w:right="90"/>
              <w:jc w:val="right"/>
              <w:rPr>
                <w:color w:val="231F20"/>
                <w:spacing w:val="-5"/>
                <w:sz w:val="18"/>
                <w:szCs w:val="18"/>
              </w:rPr>
            </w:pPr>
            <w:r w:rsidRPr="00487D35">
              <w:rPr>
                <w:color w:val="231F20"/>
                <w:spacing w:val="-5"/>
                <w:sz w:val="18"/>
                <w:szCs w:val="18"/>
              </w:rPr>
              <w:t>225</w:t>
            </w:r>
          </w:p>
        </w:tc>
        <w:tc>
          <w:tcPr>
            <w:tcW w:w="1276" w:type="dxa"/>
            <w:shd w:val="clear" w:color="auto" w:fill="F5F9F3"/>
            <w:vAlign w:val="center"/>
          </w:tcPr>
          <w:p w14:paraId="3E4C4B57" w14:textId="77777777" w:rsidR="00B60676" w:rsidRPr="00487D35" w:rsidRDefault="00B60676" w:rsidP="000D7019">
            <w:pPr>
              <w:pStyle w:val="TableParagraph"/>
              <w:ind w:right="90"/>
              <w:jc w:val="right"/>
              <w:rPr>
                <w:color w:val="231F20"/>
                <w:spacing w:val="-5"/>
                <w:sz w:val="18"/>
                <w:szCs w:val="18"/>
              </w:rPr>
            </w:pPr>
            <w:r w:rsidRPr="00487D35">
              <w:rPr>
                <w:color w:val="231F20"/>
                <w:spacing w:val="-5"/>
                <w:sz w:val="18"/>
                <w:szCs w:val="18"/>
              </w:rPr>
              <w:t>480</w:t>
            </w:r>
          </w:p>
        </w:tc>
      </w:tr>
      <w:tr w:rsidR="00B60676" w14:paraId="1445CC2B" w14:textId="77777777" w:rsidTr="00915292">
        <w:trPr>
          <w:trHeight w:val="263"/>
        </w:trPr>
        <w:tc>
          <w:tcPr>
            <w:tcW w:w="2127" w:type="dxa"/>
            <w:vMerge/>
            <w:tcBorders>
              <w:top w:val="nil"/>
              <w:left w:val="nil"/>
            </w:tcBorders>
            <w:shd w:val="clear" w:color="auto" w:fill="8CBA69"/>
            <w:vAlign w:val="center"/>
          </w:tcPr>
          <w:p w14:paraId="7A58654B" w14:textId="77777777" w:rsidR="00B60676" w:rsidRDefault="00B60676" w:rsidP="00B60676">
            <w:pPr>
              <w:rPr>
                <w:sz w:val="2"/>
                <w:szCs w:val="2"/>
              </w:rPr>
            </w:pPr>
          </w:p>
        </w:tc>
        <w:tc>
          <w:tcPr>
            <w:tcW w:w="3969" w:type="dxa"/>
            <w:tcBorders>
              <w:bottom w:val="single" w:sz="8" w:space="0" w:color="F36F21"/>
            </w:tcBorders>
            <w:shd w:val="clear" w:color="auto" w:fill="F5F9F3"/>
            <w:vAlign w:val="center"/>
          </w:tcPr>
          <w:p w14:paraId="2C32F0FF" w14:textId="77777777" w:rsidR="00B60676" w:rsidRDefault="00B60676" w:rsidP="00B60676">
            <w:pPr>
              <w:pStyle w:val="TableParagraph"/>
              <w:ind w:left="170"/>
              <w:rPr>
                <w:sz w:val="16"/>
              </w:rPr>
            </w:pPr>
            <w:r>
              <w:rPr>
                <w:color w:val="231F20"/>
                <w:sz w:val="16"/>
              </w:rPr>
              <w:t>New</w:t>
            </w:r>
            <w:r>
              <w:rPr>
                <w:color w:val="231F20"/>
                <w:spacing w:val="6"/>
                <w:sz w:val="16"/>
              </w:rPr>
              <w:t xml:space="preserve"> </w:t>
            </w:r>
            <w:r>
              <w:rPr>
                <w:color w:val="231F20"/>
                <w:sz w:val="16"/>
              </w:rPr>
              <w:t>play</w:t>
            </w:r>
            <w:r>
              <w:rPr>
                <w:color w:val="231F20"/>
                <w:spacing w:val="6"/>
                <w:sz w:val="16"/>
              </w:rPr>
              <w:t xml:space="preserve"> </w:t>
            </w:r>
            <w:r>
              <w:rPr>
                <w:color w:val="231F20"/>
                <w:sz w:val="16"/>
              </w:rPr>
              <w:t>spaces</w:t>
            </w:r>
            <w:r>
              <w:rPr>
                <w:color w:val="231F20"/>
                <w:spacing w:val="6"/>
                <w:sz w:val="16"/>
              </w:rPr>
              <w:t xml:space="preserve"> </w:t>
            </w:r>
            <w:r>
              <w:rPr>
                <w:color w:val="231F20"/>
                <w:sz w:val="16"/>
              </w:rPr>
              <w:t>/</w:t>
            </w:r>
            <w:r>
              <w:rPr>
                <w:color w:val="231F20"/>
                <w:spacing w:val="6"/>
                <w:sz w:val="16"/>
              </w:rPr>
              <w:t xml:space="preserve"> </w:t>
            </w:r>
            <w:r>
              <w:rPr>
                <w:color w:val="231F20"/>
                <w:sz w:val="16"/>
              </w:rPr>
              <w:t>teen</w:t>
            </w:r>
            <w:r>
              <w:rPr>
                <w:color w:val="231F20"/>
                <w:spacing w:val="7"/>
                <w:sz w:val="16"/>
              </w:rPr>
              <w:t xml:space="preserve"> </w:t>
            </w:r>
            <w:r>
              <w:rPr>
                <w:color w:val="231F20"/>
                <w:sz w:val="16"/>
              </w:rPr>
              <w:t>spaces</w:t>
            </w:r>
            <w:r>
              <w:rPr>
                <w:color w:val="231F20"/>
                <w:spacing w:val="6"/>
                <w:sz w:val="16"/>
              </w:rPr>
              <w:t xml:space="preserve"> </w:t>
            </w:r>
            <w:r>
              <w:rPr>
                <w:color w:val="231F20"/>
                <w:sz w:val="16"/>
              </w:rPr>
              <w:t>/</w:t>
            </w:r>
            <w:r>
              <w:rPr>
                <w:color w:val="231F20"/>
                <w:spacing w:val="6"/>
                <w:sz w:val="16"/>
              </w:rPr>
              <w:t xml:space="preserve"> </w:t>
            </w:r>
            <w:r>
              <w:rPr>
                <w:color w:val="231F20"/>
                <w:spacing w:val="-2"/>
                <w:sz w:val="16"/>
              </w:rPr>
              <w:t>pitches</w:t>
            </w:r>
          </w:p>
        </w:tc>
        <w:tc>
          <w:tcPr>
            <w:tcW w:w="1417" w:type="dxa"/>
            <w:tcBorders>
              <w:bottom w:val="single" w:sz="8" w:space="0" w:color="F36F21"/>
            </w:tcBorders>
            <w:shd w:val="clear" w:color="auto" w:fill="F5F9F3"/>
            <w:vAlign w:val="center"/>
          </w:tcPr>
          <w:p w14:paraId="39543F21" w14:textId="77777777" w:rsidR="00B60676" w:rsidRPr="00487D35" w:rsidRDefault="00B60676" w:rsidP="000D7019">
            <w:pPr>
              <w:pStyle w:val="TableParagraph"/>
              <w:ind w:right="90"/>
              <w:jc w:val="right"/>
              <w:rPr>
                <w:sz w:val="18"/>
                <w:szCs w:val="18"/>
              </w:rPr>
            </w:pPr>
            <w:r w:rsidRPr="00487D35">
              <w:rPr>
                <w:color w:val="231F20"/>
                <w:spacing w:val="-5"/>
                <w:sz w:val="18"/>
                <w:szCs w:val="18"/>
              </w:rPr>
              <w:t>15</w:t>
            </w:r>
          </w:p>
        </w:tc>
        <w:tc>
          <w:tcPr>
            <w:tcW w:w="1134" w:type="dxa"/>
            <w:tcBorders>
              <w:bottom w:val="single" w:sz="8" w:space="0" w:color="F36F21"/>
            </w:tcBorders>
            <w:shd w:val="clear" w:color="auto" w:fill="F5F9F3"/>
            <w:vAlign w:val="center"/>
          </w:tcPr>
          <w:p w14:paraId="70069C51" w14:textId="77777777" w:rsidR="00B60676" w:rsidRPr="00487D35" w:rsidRDefault="00B60676" w:rsidP="000D7019">
            <w:pPr>
              <w:pStyle w:val="TableParagraph"/>
              <w:ind w:right="90"/>
              <w:jc w:val="right"/>
              <w:rPr>
                <w:color w:val="231F20"/>
                <w:spacing w:val="-5"/>
                <w:sz w:val="18"/>
                <w:szCs w:val="18"/>
              </w:rPr>
            </w:pPr>
            <w:r w:rsidRPr="00487D35">
              <w:rPr>
                <w:color w:val="231F20"/>
                <w:spacing w:val="-5"/>
                <w:sz w:val="18"/>
                <w:szCs w:val="18"/>
              </w:rPr>
              <w:t>12</w:t>
            </w:r>
          </w:p>
        </w:tc>
        <w:tc>
          <w:tcPr>
            <w:tcW w:w="1418" w:type="dxa"/>
            <w:tcBorders>
              <w:bottom w:val="single" w:sz="8" w:space="0" w:color="F36F21"/>
            </w:tcBorders>
            <w:shd w:val="clear" w:color="auto" w:fill="F5F9F3"/>
            <w:vAlign w:val="center"/>
          </w:tcPr>
          <w:p w14:paraId="48A7CCA1" w14:textId="77777777" w:rsidR="00B60676" w:rsidRPr="00487D35" w:rsidRDefault="00B60676" w:rsidP="000D7019">
            <w:pPr>
              <w:pStyle w:val="TableParagraph"/>
              <w:ind w:right="90"/>
              <w:jc w:val="right"/>
              <w:rPr>
                <w:color w:val="231F20"/>
                <w:spacing w:val="-5"/>
                <w:sz w:val="18"/>
                <w:szCs w:val="18"/>
              </w:rPr>
            </w:pPr>
            <w:r w:rsidRPr="00487D35">
              <w:rPr>
                <w:color w:val="231F20"/>
                <w:spacing w:val="-5"/>
                <w:sz w:val="18"/>
                <w:szCs w:val="18"/>
              </w:rPr>
              <w:t>11</w:t>
            </w:r>
          </w:p>
        </w:tc>
        <w:tc>
          <w:tcPr>
            <w:tcW w:w="1275" w:type="dxa"/>
            <w:tcBorders>
              <w:bottom w:val="single" w:sz="8" w:space="0" w:color="F36F21"/>
            </w:tcBorders>
            <w:shd w:val="clear" w:color="auto" w:fill="F5F9F3"/>
            <w:vAlign w:val="center"/>
          </w:tcPr>
          <w:p w14:paraId="68622A68" w14:textId="77777777" w:rsidR="00B60676" w:rsidRPr="00487D35" w:rsidRDefault="00B60676" w:rsidP="000D7019">
            <w:pPr>
              <w:pStyle w:val="TableParagraph"/>
              <w:ind w:right="90"/>
              <w:jc w:val="right"/>
              <w:rPr>
                <w:color w:val="231F20"/>
                <w:spacing w:val="-5"/>
                <w:sz w:val="18"/>
                <w:szCs w:val="18"/>
              </w:rPr>
            </w:pPr>
            <w:r w:rsidRPr="00487D35">
              <w:rPr>
                <w:color w:val="231F20"/>
                <w:spacing w:val="-5"/>
                <w:sz w:val="18"/>
                <w:szCs w:val="18"/>
              </w:rPr>
              <w:t>12</w:t>
            </w:r>
          </w:p>
        </w:tc>
        <w:tc>
          <w:tcPr>
            <w:tcW w:w="1276" w:type="dxa"/>
            <w:tcBorders>
              <w:bottom w:val="single" w:sz="8" w:space="0" w:color="F36F21"/>
            </w:tcBorders>
            <w:shd w:val="clear" w:color="auto" w:fill="F5F9F3"/>
            <w:vAlign w:val="center"/>
          </w:tcPr>
          <w:p w14:paraId="1901C388" w14:textId="77777777" w:rsidR="00B60676" w:rsidRPr="00487D35" w:rsidRDefault="00B60676" w:rsidP="000D7019">
            <w:pPr>
              <w:pStyle w:val="TableParagraph"/>
              <w:ind w:right="90"/>
              <w:jc w:val="right"/>
              <w:rPr>
                <w:color w:val="231F20"/>
                <w:spacing w:val="-5"/>
                <w:sz w:val="18"/>
                <w:szCs w:val="18"/>
              </w:rPr>
            </w:pPr>
            <w:r w:rsidRPr="00487D35">
              <w:rPr>
                <w:color w:val="231F20"/>
                <w:spacing w:val="-5"/>
                <w:sz w:val="18"/>
                <w:szCs w:val="18"/>
              </w:rPr>
              <w:t>21</w:t>
            </w:r>
          </w:p>
        </w:tc>
        <w:tc>
          <w:tcPr>
            <w:tcW w:w="1276" w:type="dxa"/>
            <w:tcBorders>
              <w:bottom w:val="single" w:sz="8" w:space="0" w:color="F36F21"/>
            </w:tcBorders>
            <w:shd w:val="clear" w:color="auto" w:fill="F5F9F3"/>
            <w:vAlign w:val="center"/>
          </w:tcPr>
          <w:p w14:paraId="73B6F386" w14:textId="77777777" w:rsidR="00B60676" w:rsidRPr="00487D35" w:rsidRDefault="00B60676" w:rsidP="000D7019">
            <w:pPr>
              <w:pStyle w:val="TableParagraph"/>
              <w:ind w:right="90"/>
              <w:jc w:val="right"/>
              <w:rPr>
                <w:color w:val="231F20"/>
                <w:spacing w:val="-5"/>
                <w:sz w:val="18"/>
                <w:szCs w:val="18"/>
              </w:rPr>
            </w:pPr>
            <w:r w:rsidRPr="00487D35">
              <w:rPr>
                <w:color w:val="231F20"/>
                <w:spacing w:val="-5"/>
                <w:sz w:val="18"/>
                <w:szCs w:val="18"/>
              </w:rPr>
              <w:t>16</w:t>
            </w:r>
          </w:p>
        </w:tc>
        <w:tc>
          <w:tcPr>
            <w:tcW w:w="1276" w:type="dxa"/>
            <w:tcBorders>
              <w:bottom w:val="single" w:sz="8" w:space="0" w:color="F36F21"/>
            </w:tcBorders>
            <w:shd w:val="clear" w:color="auto" w:fill="F5F9F3"/>
            <w:vAlign w:val="center"/>
          </w:tcPr>
          <w:p w14:paraId="4CA94195" w14:textId="77777777" w:rsidR="00B60676" w:rsidRPr="00487D35" w:rsidRDefault="00B60676" w:rsidP="000D7019">
            <w:pPr>
              <w:pStyle w:val="TableParagraph"/>
              <w:ind w:right="90"/>
              <w:jc w:val="right"/>
              <w:rPr>
                <w:color w:val="231F20"/>
                <w:spacing w:val="-5"/>
                <w:sz w:val="18"/>
                <w:szCs w:val="18"/>
              </w:rPr>
            </w:pPr>
            <w:r w:rsidRPr="00487D35">
              <w:rPr>
                <w:color w:val="231F20"/>
                <w:spacing w:val="-5"/>
                <w:sz w:val="18"/>
                <w:szCs w:val="18"/>
              </w:rPr>
              <w:t>27</w:t>
            </w:r>
          </w:p>
        </w:tc>
      </w:tr>
      <w:tr w:rsidR="00B60676" w14:paraId="0412D2D0" w14:textId="77777777" w:rsidTr="00915292">
        <w:trPr>
          <w:trHeight w:val="395"/>
        </w:trPr>
        <w:tc>
          <w:tcPr>
            <w:tcW w:w="2127" w:type="dxa"/>
            <w:vMerge w:val="restart"/>
            <w:tcBorders>
              <w:left w:val="nil"/>
            </w:tcBorders>
            <w:shd w:val="clear" w:color="auto" w:fill="F69358"/>
            <w:vAlign w:val="center"/>
          </w:tcPr>
          <w:p w14:paraId="55FB2B1A" w14:textId="77777777" w:rsidR="00B60676" w:rsidRDefault="00B60676" w:rsidP="00B60676">
            <w:pPr>
              <w:pStyle w:val="TableParagraph"/>
              <w:spacing w:before="0" w:line="189" w:lineRule="auto"/>
              <w:ind w:left="180"/>
              <w:rPr>
                <w:rFonts w:ascii="Arial Black"/>
                <w:sz w:val="18"/>
              </w:rPr>
            </w:pPr>
            <w:proofErr w:type="spellStart"/>
            <w:r>
              <w:rPr>
                <w:rFonts w:ascii="Arial Black"/>
                <w:color w:val="FFFFFF"/>
                <w:spacing w:val="-2"/>
                <w:w w:val="85"/>
                <w:sz w:val="18"/>
              </w:rPr>
              <w:t>Organisational</w:t>
            </w:r>
            <w:proofErr w:type="spellEnd"/>
            <w:r>
              <w:rPr>
                <w:rFonts w:ascii="Arial Black"/>
                <w:color w:val="FFFFFF"/>
                <w:spacing w:val="-2"/>
                <w:w w:val="85"/>
                <w:sz w:val="18"/>
              </w:rPr>
              <w:t xml:space="preserve"> </w:t>
            </w:r>
            <w:r>
              <w:rPr>
                <w:rFonts w:ascii="Arial Black"/>
                <w:color w:val="FFFFFF"/>
                <w:w w:val="95"/>
                <w:sz w:val="18"/>
              </w:rPr>
              <w:t>capacity</w:t>
            </w:r>
            <w:r>
              <w:rPr>
                <w:rFonts w:ascii="Arial Black"/>
                <w:color w:val="FFFFFF"/>
                <w:spacing w:val="-6"/>
                <w:w w:val="95"/>
                <w:sz w:val="18"/>
              </w:rPr>
              <w:t xml:space="preserve"> </w:t>
            </w:r>
            <w:r>
              <w:rPr>
                <w:rFonts w:ascii="Arial Black"/>
                <w:color w:val="FFFFFF"/>
                <w:w w:val="95"/>
                <w:sz w:val="18"/>
              </w:rPr>
              <w:t xml:space="preserve">and </w:t>
            </w:r>
            <w:r>
              <w:rPr>
                <w:rFonts w:ascii="Arial Black"/>
                <w:color w:val="FFFFFF"/>
                <w:spacing w:val="-2"/>
                <w:w w:val="90"/>
                <w:sz w:val="18"/>
              </w:rPr>
              <w:t>accountability</w:t>
            </w:r>
          </w:p>
        </w:tc>
        <w:tc>
          <w:tcPr>
            <w:tcW w:w="3969" w:type="dxa"/>
            <w:tcBorders>
              <w:top w:val="single" w:sz="8" w:space="0" w:color="F36F21"/>
            </w:tcBorders>
            <w:shd w:val="clear" w:color="auto" w:fill="FFF7F1"/>
            <w:vAlign w:val="center"/>
          </w:tcPr>
          <w:p w14:paraId="1FB15CF0" w14:textId="77777777" w:rsidR="00B60676" w:rsidRDefault="00B60676" w:rsidP="00B60676">
            <w:pPr>
              <w:pStyle w:val="TableParagraph"/>
              <w:spacing w:before="109"/>
              <w:ind w:left="170"/>
              <w:rPr>
                <w:sz w:val="16"/>
              </w:rPr>
            </w:pPr>
            <w:r>
              <w:rPr>
                <w:color w:val="231F20"/>
                <w:w w:val="105"/>
                <w:sz w:val="16"/>
              </w:rPr>
              <w:t>People</w:t>
            </w:r>
            <w:r>
              <w:rPr>
                <w:color w:val="231F20"/>
                <w:spacing w:val="-4"/>
                <w:w w:val="105"/>
                <w:sz w:val="16"/>
              </w:rPr>
              <w:t xml:space="preserve"> </w:t>
            </w:r>
            <w:r>
              <w:rPr>
                <w:color w:val="231F20"/>
                <w:w w:val="105"/>
                <w:sz w:val="16"/>
              </w:rPr>
              <w:t>on</w:t>
            </w:r>
            <w:r>
              <w:rPr>
                <w:color w:val="231F20"/>
                <w:spacing w:val="-3"/>
                <w:w w:val="105"/>
                <w:sz w:val="16"/>
              </w:rPr>
              <w:t xml:space="preserve"> </w:t>
            </w:r>
            <w:r>
              <w:rPr>
                <w:color w:val="231F20"/>
                <w:w w:val="105"/>
                <w:sz w:val="16"/>
              </w:rPr>
              <w:t>the</w:t>
            </w:r>
            <w:r>
              <w:rPr>
                <w:color w:val="231F20"/>
                <w:spacing w:val="-4"/>
                <w:w w:val="105"/>
                <w:sz w:val="16"/>
              </w:rPr>
              <w:t xml:space="preserve"> </w:t>
            </w:r>
            <w:r>
              <w:rPr>
                <w:color w:val="231F20"/>
                <w:w w:val="105"/>
                <w:sz w:val="16"/>
              </w:rPr>
              <w:t>electoral</w:t>
            </w:r>
            <w:r>
              <w:rPr>
                <w:color w:val="231F20"/>
                <w:spacing w:val="-3"/>
                <w:w w:val="105"/>
                <w:sz w:val="16"/>
              </w:rPr>
              <w:t xml:space="preserve"> </w:t>
            </w:r>
            <w:r>
              <w:rPr>
                <w:color w:val="231F20"/>
                <w:spacing w:val="-2"/>
                <w:w w:val="105"/>
                <w:sz w:val="16"/>
              </w:rPr>
              <w:t>register</w:t>
            </w:r>
          </w:p>
        </w:tc>
        <w:tc>
          <w:tcPr>
            <w:tcW w:w="1417" w:type="dxa"/>
            <w:tcBorders>
              <w:top w:val="single" w:sz="8" w:space="0" w:color="F36F21"/>
            </w:tcBorders>
            <w:shd w:val="clear" w:color="auto" w:fill="FFF7F1"/>
            <w:vAlign w:val="center"/>
          </w:tcPr>
          <w:p w14:paraId="6D1A7773" w14:textId="476873A8" w:rsidR="00B60676" w:rsidRPr="00487D35" w:rsidRDefault="00B60676" w:rsidP="00A36287">
            <w:pPr>
              <w:pStyle w:val="TableParagraph"/>
              <w:spacing w:before="16" w:line="180" w:lineRule="exact"/>
              <w:jc w:val="right"/>
              <w:rPr>
                <w:color w:val="231F20"/>
                <w:spacing w:val="-12"/>
                <w:w w:val="105"/>
                <w:sz w:val="18"/>
                <w:szCs w:val="18"/>
              </w:rPr>
            </w:pPr>
            <w:r w:rsidRPr="00487D35">
              <w:rPr>
                <w:color w:val="231F20"/>
                <w:spacing w:val="-2"/>
                <w:w w:val="105"/>
                <w:sz w:val="18"/>
                <w:szCs w:val="18"/>
              </w:rPr>
              <w:t>194,497</w:t>
            </w:r>
          </w:p>
        </w:tc>
        <w:tc>
          <w:tcPr>
            <w:tcW w:w="1134" w:type="dxa"/>
            <w:tcBorders>
              <w:top w:val="single" w:sz="8" w:space="0" w:color="F36F21"/>
            </w:tcBorders>
            <w:shd w:val="clear" w:color="auto" w:fill="FFF7F1"/>
            <w:vAlign w:val="center"/>
          </w:tcPr>
          <w:p w14:paraId="2B656287" w14:textId="77777777" w:rsidR="00B60676" w:rsidRPr="00487D35" w:rsidRDefault="00B60676" w:rsidP="000D7019">
            <w:pPr>
              <w:pStyle w:val="TableParagraph"/>
              <w:spacing w:before="16" w:line="180" w:lineRule="exact"/>
              <w:jc w:val="right"/>
              <w:rPr>
                <w:color w:val="231F20"/>
                <w:spacing w:val="-2"/>
                <w:w w:val="105"/>
                <w:sz w:val="18"/>
                <w:szCs w:val="18"/>
              </w:rPr>
            </w:pPr>
            <w:r w:rsidRPr="00487D35">
              <w:rPr>
                <w:color w:val="231F20"/>
                <w:spacing w:val="-2"/>
                <w:w w:val="105"/>
                <w:sz w:val="18"/>
                <w:szCs w:val="18"/>
              </w:rPr>
              <w:t>196,496</w:t>
            </w:r>
          </w:p>
        </w:tc>
        <w:tc>
          <w:tcPr>
            <w:tcW w:w="1418" w:type="dxa"/>
            <w:tcBorders>
              <w:top w:val="single" w:sz="8" w:space="0" w:color="F36F21"/>
            </w:tcBorders>
            <w:shd w:val="clear" w:color="auto" w:fill="FFF7F1"/>
            <w:vAlign w:val="center"/>
          </w:tcPr>
          <w:p w14:paraId="6B81904F" w14:textId="77777777" w:rsidR="00B60676" w:rsidRPr="00487D35" w:rsidRDefault="00B60676" w:rsidP="000D7019">
            <w:pPr>
              <w:pStyle w:val="TableParagraph"/>
              <w:spacing w:before="16" w:line="180" w:lineRule="exact"/>
              <w:jc w:val="right"/>
              <w:rPr>
                <w:color w:val="231F20"/>
                <w:spacing w:val="-2"/>
                <w:w w:val="105"/>
                <w:sz w:val="18"/>
                <w:szCs w:val="18"/>
              </w:rPr>
            </w:pPr>
            <w:r w:rsidRPr="00487D35">
              <w:rPr>
                <w:color w:val="231F20"/>
                <w:spacing w:val="-2"/>
                <w:w w:val="105"/>
                <w:sz w:val="18"/>
                <w:szCs w:val="18"/>
              </w:rPr>
              <w:t>195,291</w:t>
            </w:r>
          </w:p>
        </w:tc>
        <w:tc>
          <w:tcPr>
            <w:tcW w:w="1275" w:type="dxa"/>
            <w:tcBorders>
              <w:top w:val="single" w:sz="8" w:space="0" w:color="F36F21"/>
            </w:tcBorders>
            <w:shd w:val="clear" w:color="auto" w:fill="FFF7F1"/>
            <w:vAlign w:val="center"/>
          </w:tcPr>
          <w:p w14:paraId="648A1A89" w14:textId="77777777" w:rsidR="00B60676" w:rsidRPr="00487D35" w:rsidRDefault="00B60676" w:rsidP="000D7019">
            <w:pPr>
              <w:pStyle w:val="TableParagraph"/>
              <w:spacing w:before="16" w:line="180" w:lineRule="exact"/>
              <w:jc w:val="right"/>
              <w:rPr>
                <w:color w:val="231F20"/>
                <w:spacing w:val="-2"/>
                <w:w w:val="105"/>
                <w:sz w:val="18"/>
                <w:szCs w:val="18"/>
              </w:rPr>
            </w:pPr>
            <w:r w:rsidRPr="00487D35">
              <w:rPr>
                <w:color w:val="231F20"/>
                <w:spacing w:val="-2"/>
                <w:w w:val="105"/>
                <w:sz w:val="18"/>
                <w:szCs w:val="18"/>
              </w:rPr>
              <w:t>194,007</w:t>
            </w:r>
          </w:p>
        </w:tc>
        <w:tc>
          <w:tcPr>
            <w:tcW w:w="1276" w:type="dxa"/>
            <w:tcBorders>
              <w:top w:val="single" w:sz="8" w:space="0" w:color="F36F21"/>
            </w:tcBorders>
            <w:shd w:val="clear" w:color="auto" w:fill="FFF7F1"/>
            <w:vAlign w:val="center"/>
          </w:tcPr>
          <w:p w14:paraId="2128F315" w14:textId="77777777" w:rsidR="00B60676" w:rsidRPr="00487D35" w:rsidRDefault="00B60676" w:rsidP="000D7019">
            <w:pPr>
              <w:pStyle w:val="TableParagraph"/>
              <w:spacing w:before="16" w:line="180" w:lineRule="exact"/>
              <w:jc w:val="right"/>
              <w:rPr>
                <w:color w:val="231F20"/>
                <w:spacing w:val="-2"/>
                <w:w w:val="105"/>
                <w:sz w:val="18"/>
                <w:szCs w:val="18"/>
              </w:rPr>
            </w:pPr>
            <w:r w:rsidRPr="00487D35">
              <w:rPr>
                <w:color w:val="231F20"/>
                <w:spacing w:val="-2"/>
                <w:w w:val="105"/>
                <w:sz w:val="18"/>
                <w:szCs w:val="18"/>
              </w:rPr>
              <w:t>194,884</w:t>
            </w:r>
          </w:p>
        </w:tc>
        <w:tc>
          <w:tcPr>
            <w:tcW w:w="1276" w:type="dxa"/>
            <w:tcBorders>
              <w:top w:val="single" w:sz="8" w:space="0" w:color="F36F21"/>
            </w:tcBorders>
            <w:shd w:val="clear" w:color="auto" w:fill="FFF7F1"/>
            <w:vAlign w:val="center"/>
          </w:tcPr>
          <w:p w14:paraId="3B022307" w14:textId="77777777" w:rsidR="00B60676" w:rsidRPr="00487D35" w:rsidRDefault="00B60676" w:rsidP="000D7019">
            <w:pPr>
              <w:pStyle w:val="TableParagraph"/>
              <w:spacing w:before="16" w:line="180" w:lineRule="exact"/>
              <w:jc w:val="right"/>
              <w:rPr>
                <w:color w:val="231F20"/>
                <w:spacing w:val="-2"/>
                <w:w w:val="105"/>
                <w:sz w:val="18"/>
                <w:szCs w:val="18"/>
              </w:rPr>
            </w:pPr>
            <w:r w:rsidRPr="00487D35">
              <w:rPr>
                <w:color w:val="231F20"/>
                <w:spacing w:val="-2"/>
                <w:w w:val="105"/>
                <w:sz w:val="18"/>
                <w:szCs w:val="18"/>
              </w:rPr>
              <w:t>199,000</w:t>
            </w:r>
          </w:p>
        </w:tc>
        <w:tc>
          <w:tcPr>
            <w:tcW w:w="1276" w:type="dxa"/>
            <w:tcBorders>
              <w:top w:val="single" w:sz="8" w:space="0" w:color="F36F21"/>
            </w:tcBorders>
            <w:shd w:val="clear" w:color="auto" w:fill="FFF7F1"/>
            <w:vAlign w:val="center"/>
          </w:tcPr>
          <w:p w14:paraId="5C06986F" w14:textId="77777777" w:rsidR="00B60676" w:rsidRPr="00487D35" w:rsidRDefault="00B60676" w:rsidP="000D7019">
            <w:pPr>
              <w:pStyle w:val="TableParagraph"/>
              <w:spacing w:before="16" w:line="180" w:lineRule="exact"/>
              <w:jc w:val="right"/>
              <w:rPr>
                <w:color w:val="231F20"/>
                <w:spacing w:val="-2"/>
                <w:w w:val="105"/>
                <w:sz w:val="18"/>
                <w:szCs w:val="18"/>
              </w:rPr>
            </w:pPr>
            <w:r w:rsidRPr="00487D35">
              <w:rPr>
                <w:color w:val="231F20"/>
                <w:spacing w:val="-2"/>
                <w:w w:val="105"/>
                <w:sz w:val="18"/>
                <w:szCs w:val="18"/>
              </w:rPr>
              <w:t>213.345</w:t>
            </w:r>
          </w:p>
        </w:tc>
      </w:tr>
      <w:tr w:rsidR="00B60676" w14:paraId="5792AB77" w14:textId="77777777" w:rsidTr="00915292">
        <w:trPr>
          <w:trHeight w:val="263"/>
        </w:trPr>
        <w:tc>
          <w:tcPr>
            <w:tcW w:w="2127" w:type="dxa"/>
            <w:vMerge/>
            <w:tcBorders>
              <w:top w:val="nil"/>
              <w:left w:val="nil"/>
            </w:tcBorders>
            <w:shd w:val="clear" w:color="auto" w:fill="F69358"/>
            <w:vAlign w:val="center"/>
          </w:tcPr>
          <w:p w14:paraId="612E2C09" w14:textId="77777777" w:rsidR="00B60676" w:rsidRDefault="00B60676" w:rsidP="00B60676">
            <w:pPr>
              <w:rPr>
                <w:sz w:val="2"/>
                <w:szCs w:val="2"/>
              </w:rPr>
            </w:pPr>
          </w:p>
        </w:tc>
        <w:tc>
          <w:tcPr>
            <w:tcW w:w="3969" w:type="dxa"/>
            <w:shd w:val="clear" w:color="auto" w:fill="FFF7F1"/>
            <w:vAlign w:val="center"/>
          </w:tcPr>
          <w:p w14:paraId="435C3122" w14:textId="77777777" w:rsidR="00B60676" w:rsidRDefault="00B60676" w:rsidP="00B60676">
            <w:pPr>
              <w:pStyle w:val="TableParagraph"/>
              <w:ind w:left="170"/>
              <w:rPr>
                <w:sz w:val="16"/>
              </w:rPr>
            </w:pPr>
            <w:r>
              <w:rPr>
                <w:color w:val="231F20"/>
                <w:w w:val="105"/>
                <w:sz w:val="16"/>
              </w:rPr>
              <w:t>Customer</w:t>
            </w:r>
            <w:r>
              <w:rPr>
                <w:color w:val="231F20"/>
                <w:spacing w:val="-7"/>
                <w:w w:val="105"/>
                <w:sz w:val="16"/>
              </w:rPr>
              <w:t xml:space="preserve"> </w:t>
            </w:r>
            <w:r>
              <w:rPr>
                <w:color w:val="231F20"/>
                <w:w w:val="105"/>
                <w:sz w:val="16"/>
              </w:rPr>
              <w:t>queries</w:t>
            </w:r>
            <w:r>
              <w:rPr>
                <w:color w:val="231F20"/>
                <w:spacing w:val="-6"/>
                <w:w w:val="105"/>
                <w:sz w:val="16"/>
              </w:rPr>
              <w:t xml:space="preserve"> </w:t>
            </w:r>
            <w:r>
              <w:rPr>
                <w:color w:val="231F20"/>
                <w:spacing w:val="-2"/>
                <w:w w:val="105"/>
                <w:sz w:val="16"/>
              </w:rPr>
              <w:t>received</w:t>
            </w:r>
          </w:p>
        </w:tc>
        <w:tc>
          <w:tcPr>
            <w:tcW w:w="1417" w:type="dxa"/>
            <w:shd w:val="clear" w:color="auto" w:fill="FFF7F1"/>
            <w:vAlign w:val="center"/>
          </w:tcPr>
          <w:p w14:paraId="42D5B35A" w14:textId="77777777" w:rsidR="00B60676" w:rsidRPr="00487D35" w:rsidRDefault="00B60676" w:rsidP="000D7019">
            <w:pPr>
              <w:pStyle w:val="TableParagraph"/>
              <w:ind w:right="90"/>
              <w:jc w:val="right"/>
              <w:rPr>
                <w:sz w:val="18"/>
                <w:szCs w:val="18"/>
              </w:rPr>
            </w:pPr>
            <w:r w:rsidRPr="00487D35">
              <w:rPr>
                <w:color w:val="231F20"/>
                <w:spacing w:val="-2"/>
                <w:sz w:val="18"/>
                <w:szCs w:val="18"/>
              </w:rPr>
              <w:t>78,006</w:t>
            </w:r>
          </w:p>
        </w:tc>
        <w:tc>
          <w:tcPr>
            <w:tcW w:w="1134" w:type="dxa"/>
            <w:shd w:val="clear" w:color="auto" w:fill="FFF7F1"/>
            <w:vAlign w:val="center"/>
          </w:tcPr>
          <w:p w14:paraId="1B4E60E9" w14:textId="77777777" w:rsidR="00B60676" w:rsidRPr="00487D35" w:rsidRDefault="00B60676" w:rsidP="000D7019">
            <w:pPr>
              <w:pStyle w:val="TableParagraph"/>
              <w:ind w:right="90"/>
              <w:jc w:val="right"/>
              <w:rPr>
                <w:color w:val="231F20"/>
                <w:spacing w:val="-2"/>
                <w:sz w:val="18"/>
                <w:szCs w:val="18"/>
              </w:rPr>
            </w:pPr>
            <w:r w:rsidRPr="00487D35">
              <w:rPr>
                <w:color w:val="231F20"/>
                <w:spacing w:val="-2"/>
                <w:sz w:val="18"/>
                <w:szCs w:val="18"/>
              </w:rPr>
              <w:t>83,578</w:t>
            </w:r>
          </w:p>
        </w:tc>
        <w:tc>
          <w:tcPr>
            <w:tcW w:w="1418" w:type="dxa"/>
            <w:shd w:val="clear" w:color="auto" w:fill="FFF7F1"/>
            <w:vAlign w:val="center"/>
          </w:tcPr>
          <w:p w14:paraId="28E87CA0" w14:textId="77777777" w:rsidR="00B60676" w:rsidRPr="00487D35" w:rsidRDefault="00B60676" w:rsidP="000D7019">
            <w:pPr>
              <w:pStyle w:val="TableParagraph"/>
              <w:ind w:right="90"/>
              <w:jc w:val="right"/>
              <w:rPr>
                <w:color w:val="231F20"/>
                <w:spacing w:val="-2"/>
                <w:sz w:val="18"/>
                <w:szCs w:val="18"/>
              </w:rPr>
            </w:pPr>
            <w:r w:rsidRPr="00487D35">
              <w:rPr>
                <w:color w:val="231F20"/>
                <w:spacing w:val="-2"/>
                <w:sz w:val="18"/>
                <w:szCs w:val="18"/>
              </w:rPr>
              <w:t>83,715</w:t>
            </w:r>
          </w:p>
        </w:tc>
        <w:tc>
          <w:tcPr>
            <w:tcW w:w="1275" w:type="dxa"/>
            <w:shd w:val="clear" w:color="auto" w:fill="FFF7F1"/>
            <w:vAlign w:val="center"/>
          </w:tcPr>
          <w:p w14:paraId="7A01BF84" w14:textId="77777777" w:rsidR="00B60676" w:rsidRPr="00487D35" w:rsidRDefault="00B60676" w:rsidP="000D7019">
            <w:pPr>
              <w:pStyle w:val="TableParagraph"/>
              <w:ind w:right="90"/>
              <w:jc w:val="right"/>
              <w:rPr>
                <w:color w:val="231F20"/>
                <w:spacing w:val="-2"/>
                <w:sz w:val="18"/>
                <w:szCs w:val="18"/>
              </w:rPr>
            </w:pPr>
            <w:r w:rsidRPr="00487D35">
              <w:rPr>
                <w:color w:val="231F20"/>
                <w:spacing w:val="-2"/>
                <w:sz w:val="18"/>
                <w:szCs w:val="18"/>
              </w:rPr>
              <w:t>56,490</w:t>
            </w:r>
          </w:p>
        </w:tc>
        <w:tc>
          <w:tcPr>
            <w:tcW w:w="1276" w:type="dxa"/>
            <w:shd w:val="clear" w:color="auto" w:fill="FFF7F1"/>
            <w:vAlign w:val="center"/>
          </w:tcPr>
          <w:p w14:paraId="301D3067" w14:textId="77777777" w:rsidR="00B60676" w:rsidRPr="00487D35" w:rsidRDefault="00B60676" w:rsidP="000D7019">
            <w:pPr>
              <w:pStyle w:val="TableParagraph"/>
              <w:ind w:right="90"/>
              <w:jc w:val="right"/>
              <w:rPr>
                <w:color w:val="231F20"/>
                <w:spacing w:val="-2"/>
                <w:sz w:val="18"/>
                <w:szCs w:val="18"/>
              </w:rPr>
            </w:pPr>
            <w:r w:rsidRPr="00487D35">
              <w:rPr>
                <w:sz w:val="18"/>
                <w:szCs w:val="18"/>
                <w:lang w:eastAsia="en-IE"/>
              </w:rPr>
              <w:t>38,371</w:t>
            </w:r>
          </w:p>
        </w:tc>
        <w:tc>
          <w:tcPr>
            <w:tcW w:w="1276" w:type="dxa"/>
            <w:shd w:val="clear" w:color="auto" w:fill="FFF7F1"/>
            <w:vAlign w:val="center"/>
          </w:tcPr>
          <w:p w14:paraId="6AD6A639" w14:textId="77777777" w:rsidR="00B60676" w:rsidRPr="00487D35" w:rsidRDefault="00B60676" w:rsidP="000D7019">
            <w:pPr>
              <w:pStyle w:val="TableParagraph"/>
              <w:ind w:right="90"/>
              <w:jc w:val="right"/>
              <w:rPr>
                <w:color w:val="231F20"/>
                <w:spacing w:val="-2"/>
                <w:sz w:val="18"/>
                <w:szCs w:val="18"/>
              </w:rPr>
            </w:pPr>
            <w:r w:rsidRPr="00487D35">
              <w:rPr>
                <w:color w:val="231F20"/>
                <w:spacing w:val="-2"/>
                <w:sz w:val="18"/>
                <w:szCs w:val="18"/>
              </w:rPr>
              <w:t>32,083</w:t>
            </w:r>
          </w:p>
        </w:tc>
        <w:tc>
          <w:tcPr>
            <w:tcW w:w="1276" w:type="dxa"/>
            <w:shd w:val="clear" w:color="auto" w:fill="FFF7F1"/>
            <w:vAlign w:val="center"/>
          </w:tcPr>
          <w:p w14:paraId="47B3CB7F" w14:textId="77777777" w:rsidR="00B60676" w:rsidRPr="00487D35" w:rsidRDefault="00B60676" w:rsidP="000D7019">
            <w:pPr>
              <w:pStyle w:val="TableParagraph"/>
              <w:ind w:right="90"/>
              <w:jc w:val="right"/>
              <w:rPr>
                <w:color w:val="231F20"/>
                <w:spacing w:val="-2"/>
                <w:sz w:val="18"/>
                <w:szCs w:val="18"/>
              </w:rPr>
            </w:pPr>
            <w:r w:rsidRPr="00487D35">
              <w:rPr>
                <w:color w:val="231F20"/>
                <w:spacing w:val="-2"/>
                <w:sz w:val="18"/>
                <w:szCs w:val="18"/>
              </w:rPr>
              <w:t>27,144</w:t>
            </w:r>
          </w:p>
        </w:tc>
      </w:tr>
      <w:tr w:rsidR="00B60676" w14:paraId="31194C3D" w14:textId="77777777" w:rsidTr="00915292">
        <w:trPr>
          <w:trHeight w:val="263"/>
        </w:trPr>
        <w:tc>
          <w:tcPr>
            <w:tcW w:w="2127" w:type="dxa"/>
            <w:vMerge/>
            <w:tcBorders>
              <w:top w:val="nil"/>
              <w:left w:val="nil"/>
            </w:tcBorders>
            <w:shd w:val="clear" w:color="auto" w:fill="F69358"/>
            <w:vAlign w:val="center"/>
          </w:tcPr>
          <w:p w14:paraId="30C8D663" w14:textId="77777777" w:rsidR="00B60676" w:rsidRDefault="00B60676" w:rsidP="00B60676">
            <w:pPr>
              <w:rPr>
                <w:sz w:val="2"/>
                <w:szCs w:val="2"/>
              </w:rPr>
            </w:pPr>
          </w:p>
        </w:tc>
        <w:tc>
          <w:tcPr>
            <w:tcW w:w="3969" w:type="dxa"/>
            <w:shd w:val="clear" w:color="auto" w:fill="FFF7F1"/>
            <w:vAlign w:val="center"/>
          </w:tcPr>
          <w:p w14:paraId="23D56BDC" w14:textId="77777777" w:rsidR="00B60676" w:rsidRDefault="00B60676" w:rsidP="00B60676">
            <w:pPr>
              <w:pStyle w:val="TableParagraph"/>
              <w:ind w:left="170"/>
              <w:rPr>
                <w:sz w:val="16"/>
              </w:rPr>
            </w:pPr>
            <w:r>
              <w:rPr>
                <w:color w:val="231F20"/>
                <w:w w:val="105"/>
                <w:sz w:val="16"/>
              </w:rPr>
              <w:t>Customer</w:t>
            </w:r>
            <w:r>
              <w:rPr>
                <w:color w:val="231F20"/>
                <w:spacing w:val="-1"/>
                <w:w w:val="105"/>
                <w:sz w:val="16"/>
              </w:rPr>
              <w:t xml:space="preserve"> </w:t>
            </w:r>
            <w:r>
              <w:rPr>
                <w:color w:val="231F20"/>
                <w:w w:val="105"/>
                <w:sz w:val="16"/>
              </w:rPr>
              <w:t>queries</w:t>
            </w:r>
            <w:r>
              <w:rPr>
                <w:color w:val="231F20"/>
                <w:spacing w:val="-1"/>
                <w:w w:val="105"/>
                <w:sz w:val="16"/>
              </w:rPr>
              <w:t xml:space="preserve"> </w:t>
            </w:r>
            <w:proofErr w:type="gramStart"/>
            <w:r>
              <w:rPr>
                <w:color w:val="231F20"/>
                <w:w w:val="105"/>
                <w:sz w:val="16"/>
              </w:rPr>
              <w:t>closed</w:t>
            </w:r>
            <w:proofErr w:type="gramEnd"/>
            <w:r>
              <w:rPr>
                <w:color w:val="231F20"/>
                <w:spacing w:val="-1"/>
                <w:w w:val="105"/>
                <w:sz w:val="16"/>
              </w:rPr>
              <w:t xml:space="preserve"> </w:t>
            </w:r>
            <w:r>
              <w:rPr>
                <w:color w:val="231F20"/>
                <w:w w:val="105"/>
                <w:sz w:val="16"/>
              </w:rPr>
              <w:t>within</w:t>
            </w:r>
            <w:r>
              <w:rPr>
                <w:color w:val="231F20"/>
                <w:spacing w:val="-1"/>
                <w:w w:val="105"/>
                <w:sz w:val="16"/>
              </w:rPr>
              <w:t xml:space="preserve"> </w:t>
            </w:r>
            <w:r>
              <w:rPr>
                <w:color w:val="231F20"/>
                <w:spacing w:val="-2"/>
                <w:w w:val="105"/>
                <w:sz w:val="16"/>
              </w:rPr>
              <w:t>deadline</w:t>
            </w:r>
          </w:p>
        </w:tc>
        <w:tc>
          <w:tcPr>
            <w:tcW w:w="1417" w:type="dxa"/>
            <w:shd w:val="clear" w:color="auto" w:fill="FFF7F1"/>
            <w:vAlign w:val="center"/>
          </w:tcPr>
          <w:p w14:paraId="4D978CDF" w14:textId="77777777" w:rsidR="00B60676" w:rsidRPr="00487D35" w:rsidRDefault="00B60676" w:rsidP="000D7019">
            <w:pPr>
              <w:pStyle w:val="TableParagraph"/>
              <w:ind w:right="90"/>
              <w:jc w:val="right"/>
              <w:rPr>
                <w:sz w:val="18"/>
                <w:szCs w:val="18"/>
              </w:rPr>
            </w:pPr>
            <w:r w:rsidRPr="00487D35">
              <w:rPr>
                <w:color w:val="231F20"/>
                <w:sz w:val="18"/>
                <w:szCs w:val="18"/>
              </w:rPr>
              <w:t>72,814</w:t>
            </w:r>
            <w:r w:rsidRPr="00487D35">
              <w:rPr>
                <w:color w:val="231F20"/>
                <w:spacing w:val="1"/>
                <w:sz w:val="18"/>
                <w:szCs w:val="18"/>
              </w:rPr>
              <w:t xml:space="preserve"> </w:t>
            </w:r>
            <w:r w:rsidRPr="00487D35">
              <w:rPr>
                <w:color w:val="231F20"/>
                <w:spacing w:val="-2"/>
                <w:sz w:val="18"/>
                <w:szCs w:val="18"/>
              </w:rPr>
              <w:t>(93%)</w:t>
            </w:r>
          </w:p>
        </w:tc>
        <w:tc>
          <w:tcPr>
            <w:tcW w:w="1134" w:type="dxa"/>
            <w:shd w:val="clear" w:color="auto" w:fill="FFF7F1"/>
            <w:vAlign w:val="center"/>
          </w:tcPr>
          <w:p w14:paraId="4A041875" w14:textId="77777777" w:rsidR="00B60676" w:rsidRPr="00487D35" w:rsidRDefault="00B60676" w:rsidP="000D7019">
            <w:pPr>
              <w:pStyle w:val="TableParagraph"/>
              <w:ind w:right="90"/>
              <w:jc w:val="right"/>
              <w:rPr>
                <w:color w:val="231F20"/>
                <w:sz w:val="18"/>
                <w:szCs w:val="18"/>
              </w:rPr>
            </w:pPr>
            <w:r w:rsidRPr="00487D35">
              <w:rPr>
                <w:color w:val="231F20"/>
                <w:sz w:val="18"/>
                <w:szCs w:val="18"/>
              </w:rPr>
              <w:t>90%</w:t>
            </w:r>
          </w:p>
        </w:tc>
        <w:tc>
          <w:tcPr>
            <w:tcW w:w="1418" w:type="dxa"/>
            <w:shd w:val="clear" w:color="auto" w:fill="FFF7F1"/>
            <w:vAlign w:val="center"/>
          </w:tcPr>
          <w:p w14:paraId="1A2B2B5B" w14:textId="77777777" w:rsidR="00B60676" w:rsidRPr="00487D35" w:rsidRDefault="00B60676" w:rsidP="000D7019">
            <w:pPr>
              <w:pStyle w:val="TableParagraph"/>
              <w:ind w:right="90"/>
              <w:jc w:val="right"/>
              <w:rPr>
                <w:color w:val="231F20"/>
                <w:sz w:val="18"/>
                <w:szCs w:val="18"/>
              </w:rPr>
            </w:pPr>
            <w:r w:rsidRPr="00487D35">
              <w:rPr>
                <w:color w:val="231F20"/>
                <w:sz w:val="18"/>
                <w:szCs w:val="18"/>
              </w:rPr>
              <w:t>74,269</w:t>
            </w:r>
          </w:p>
        </w:tc>
        <w:tc>
          <w:tcPr>
            <w:tcW w:w="1275" w:type="dxa"/>
            <w:shd w:val="clear" w:color="auto" w:fill="FFF7F1"/>
            <w:vAlign w:val="center"/>
          </w:tcPr>
          <w:p w14:paraId="052AF64A" w14:textId="77777777" w:rsidR="00B60676" w:rsidRPr="00487D35" w:rsidRDefault="00B60676" w:rsidP="000D7019">
            <w:pPr>
              <w:pStyle w:val="TableParagraph"/>
              <w:ind w:right="90"/>
              <w:jc w:val="right"/>
              <w:rPr>
                <w:color w:val="231F20"/>
                <w:sz w:val="18"/>
                <w:szCs w:val="18"/>
              </w:rPr>
            </w:pPr>
            <w:r w:rsidRPr="00487D35">
              <w:rPr>
                <w:color w:val="231F20"/>
                <w:sz w:val="18"/>
                <w:szCs w:val="18"/>
              </w:rPr>
              <w:t>50,088</w:t>
            </w:r>
          </w:p>
        </w:tc>
        <w:tc>
          <w:tcPr>
            <w:tcW w:w="1276" w:type="dxa"/>
            <w:shd w:val="clear" w:color="auto" w:fill="FFF7F1"/>
            <w:vAlign w:val="center"/>
          </w:tcPr>
          <w:p w14:paraId="5C371926" w14:textId="77777777" w:rsidR="00B60676" w:rsidRPr="00487D35" w:rsidRDefault="00B60676" w:rsidP="000D7019">
            <w:pPr>
              <w:pStyle w:val="TableParagraph"/>
              <w:ind w:right="90"/>
              <w:jc w:val="right"/>
              <w:rPr>
                <w:color w:val="231F20"/>
                <w:sz w:val="18"/>
                <w:szCs w:val="18"/>
              </w:rPr>
            </w:pPr>
            <w:r w:rsidRPr="00487D35">
              <w:rPr>
                <w:sz w:val="18"/>
                <w:szCs w:val="18"/>
                <w:lang w:eastAsia="en-IE"/>
              </w:rPr>
              <w:t>29,541</w:t>
            </w:r>
          </w:p>
        </w:tc>
        <w:tc>
          <w:tcPr>
            <w:tcW w:w="1276" w:type="dxa"/>
            <w:shd w:val="clear" w:color="auto" w:fill="FFF7F1"/>
            <w:vAlign w:val="center"/>
          </w:tcPr>
          <w:p w14:paraId="48CC9D59" w14:textId="77777777" w:rsidR="00B60676" w:rsidRPr="00487D35" w:rsidRDefault="00B60676" w:rsidP="000D7019">
            <w:pPr>
              <w:pStyle w:val="TableParagraph"/>
              <w:ind w:right="90"/>
              <w:jc w:val="right"/>
              <w:rPr>
                <w:color w:val="231F20"/>
                <w:sz w:val="18"/>
                <w:szCs w:val="18"/>
              </w:rPr>
            </w:pPr>
            <w:r w:rsidRPr="00487D35">
              <w:rPr>
                <w:color w:val="231F20"/>
                <w:sz w:val="18"/>
                <w:szCs w:val="18"/>
              </w:rPr>
              <w:t>24,704</w:t>
            </w:r>
          </w:p>
        </w:tc>
        <w:tc>
          <w:tcPr>
            <w:tcW w:w="1276" w:type="dxa"/>
            <w:shd w:val="clear" w:color="auto" w:fill="FFF7F1"/>
            <w:vAlign w:val="center"/>
          </w:tcPr>
          <w:p w14:paraId="6CBD314D" w14:textId="77777777" w:rsidR="00B60676" w:rsidRPr="00487D35" w:rsidRDefault="00B60676" w:rsidP="000D7019">
            <w:pPr>
              <w:pStyle w:val="TableParagraph"/>
              <w:ind w:right="90"/>
              <w:jc w:val="right"/>
              <w:rPr>
                <w:color w:val="231F20"/>
                <w:sz w:val="18"/>
                <w:szCs w:val="18"/>
              </w:rPr>
            </w:pPr>
            <w:r w:rsidRPr="00487D35">
              <w:rPr>
                <w:color w:val="231F20"/>
                <w:sz w:val="18"/>
                <w:szCs w:val="18"/>
              </w:rPr>
              <w:t>17.312</w:t>
            </w:r>
          </w:p>
        </w:tc>
      </w:tr>
      <w:tr w:rsidR="00B60676" w14:paraId="4412CCDF" w14:textId="77777777" w:rsidTr="00915292">
        <w:trPr>
          <w:trHeight w:val="263"/>
        </w:trPr>
        <w:tc>
          <w:tcPr>
            <w:tcW w:w="2127" w:type="dxa"/>
            <w:vMerge/>
            <w:tcBorders>
              <w:top w:val="nil"/>
              <w:left w:val="nil"/>
            </w:tcBorders>
            <w:shd w:val="clear" w:color="auto" w:fill="F69358"/>
            <w:vAlign w:val="center"/>
          </w:tcPr>
          <w:p w14:paraId="328E7DFA" w14:textId="77777777" w:rsidR="00B60676" w:rsidRDefault="00B60676" w:rsidP="00B60676">
            <w:pPr>
              <w:rPr>
                <w:sz w:val="2"/>
                <w:szCs w:val="2"/>
              </w:rPr>
            </w:pPr>
          </w:p>
        </w:tc>
        <w:tc>
          <w:tcPr>
            <w:tcW w:w="3969" w:type="dxa"/>
            <w:shd w:val="clear" w:color="auto" w:fill="FFF7F1"/>
            <w:vAlign w:val="center"/>
          </w:tcPr>
          <w:p w14:paraId="1F83B40B" w14:textId="77777777" w:rsidR="00B60676" w:rsidRDefault="00B60676" w:rsidP="00B60676">
            <w:pPr>
              <w:pStyle w:val="TableParagraph"/>
              <w:ind w:left="170"/>
              <w:rPr>
                <w:sz w:val="16"/>
              </w:rPr>
            </w:pPr>
            <w:r>
              <w:rPr>
                <w:color w:val="231F20"/>
                <w:w w:val="105"/>
                <w:sz w:val="16"/>
              </w:rPr>
              <w:t>Members</w:t>
            </w:r>
            <w:r>
              <w:rPr>
                <w:color w:val="231F20"/>
                <w:spacing w:val="-10"/>
                <w:w w:val="105"/>
                <w:sz w:val="16"/>
              </w:rPr>
              <w:t xml:space="preserve"> </w:t>
            </w:r>
            <w:r>
              <w:rPr>
                <w:color w:val="231F20"/>
                <w:w w:val="105"/>
                <w:sz w:val="16"/>
              </w:rPr>
              <w:t>Reps</w:t>
            </w:r>
            <w:r>
              <w:rPr>
                <w:color w:val="231F20"/>
                <w:spacing w:val="-10"/>
                <w:w w:val="105"/>
                <w:sz w:val="16"/>
              </w:rPr>
              <w:t xml:space="preserve"> </w:t>
            </w:r>
            <w:r>
              <w:rPr>
                <w:color w:val="231F20"/>
                <w:w w:val="105"/>
                <w:sz w:val="16"/>
              </w:rPr>
              <w:t>(matters</w:t>
            </w:r>
            <w:r>
              <w:rPr>
                <w:color w:val="231F20"/>
                <w:spacing w:val="-10"/>
                <w:w w:val="105"/>
                <w:sz w:val="16"/>
              </w:rPr>
              <w:t xml:space="preserve"> </w:t>
            </w:r>
            <w:r>
              <w:rPr>
                <w:color w:val="231F20"/>
                <w:w w:val="105"/>
                <w:sz w:val="16"/>
              </w:rPr>
              <w:t>raised</w:t>
            </w:r>
            <w:r>
              <w:rPr>
                <w:color w:val="231F20"/>
                <w:spacing w:val="-10"/>
                <w:w w:val="105"/>
                <w:sz w:val="16"/>
              </w:rPr>
              <w:t xml:space="preserve"> </w:t>
            </w:r>
            <w:r>
              <w:rPr>
                <w:color w:val="231F20"/>
                <w:w w:val="105"/>
                <w:sz w:val="16"/>
              </w:rPr>
              <w:t>by</w:t>
            </w:r>
            <w:r>
              <w:rPr>
                <w:color w:val="231F20"/>
                <w:spacing w:val="-10"/>
                <w:w w:val="105"/>
                <w:sz w:val="16"/>
              </w:rPr>
              <w:t xml:space="preserve"> </w:t>
            </w:r>
            <w:r>
              <w:rPr>
                <w:color w:val="231F20"/>
                <w:w w:val="105"/>
                <w:sz w:val="16"/>
              </w:rPr>
              <w:t>Elected</w:t>
            </w:r>
            <w:r>
              <w:rPr>
                <w:color w:val="231F20"/>
                <w:spacing w:val="-10"/>
                <w:w w:val="105"/>
                <w:sz w:val="16"/>
              </w:rPr>
              <w:t xml:space="preserve"> </w:t>
            </w:r>
            <w:r>
              <w:rPr>
                <w:color w:val="231F20"/>
                <w:w w:val="105"/>
                <w:sz w:val="16"/>
              </w:rPr>
              <w:t>Members)</w:t>
            </w:r>
            <w:r>
              <w:rPr>
                <w:color w:val="231F20"/>
                <w:spacing w:val="-10"/>
                <w:w w:val="105"/>
                <w:sz w:val="16"/>
              </w:rPr>
              <w:t xml:space="preserve"> </w:t>
            </w:r>
            <w:r>
              <w:rPr>
                <w:color w:val="231F20"/>
                <w:spacing w:val="-2"/>
                <w:w w:val="105"/>
                <w:sz w:val="16"/>
              </w:rPr>
              <w:t>received</w:t>
            </w:r>
          </w:p>
        </w:tc>
        <w:tc>
          <w:tcPr>
            <w:tcW w:w="1417" w:type="dxa"/>
            <w:shd w:val="clear" w:color="auto" w:fill="FFF7F1"/>
            <w:vAlign w:val="center"/>
          </w:tcPr>
          <w:p w14:paraId="1A9EC3C5" w14:textId="77777777" w:rsidR="00B60676" w:rsidRPr="00487D35" w:rsidRDefault="00B60676" w:rsidP="000D7019">
            <w:pPr>
              <w:pStyle w:val="TableParagraph"/>
              <w:ind w:right="90"/>
              <w:jc w:val="right"/>
              <w:rPr>
                <w:sz w:val="18"/>
                <w:szCs w:val="18"/>
              </w:rPr>
            </w:pPr>
            <w:r w:rsidRPr="00487D35">
              <w:rPr>
                <w:color w:val="231F20"/>
                <w:spacing w:val="-2"/>
                <w:sz w:val="18"/>
                <w:szCs w:val="18"/>
              </w:rPr>
              <w:t>9,609</w:t>
            </w:r>
          </w:p>
        </w:tc>
        <w:tc>
          <w:tcPr>
            <w:tcW w:w="1134" w:type="dxa"/>
            <w:shd w:val="clear" w:color="auto" w:fill="FFF7F1"/>
            <w:vAlign w:val="center"/>
          </w:tcPr>
          <w:p w14:paraId="57C911C4" w14:textId="77777777" w:rsidR="00B60676" w:rsidRPr="00487D35" w:rsidRDefault="00B60676" w:rsidP="000D7019">
            <w:pPr>
              <w:pStyle w:val="TableParagraph"/>
              <w:ind w:right="90"/>
              <w:jc w:val="right"/>
              <w:rPr>
                <w:color w:val="231F20"/>
                <w:spacing w:val="-2"/>
                <w:sz w:val="18"/>
                <w:szCs w:val="18"/>
              </w:rPr>
            </w:pPr>
          </w:p>
        </w:tc>
        <w:tc>
          <w:tcPr>
            <w:tcW w:w="1418" w:type="dxa"/>
            <w:shd w:val="clear" w:color="auto" w:fill="FFF7F1"/>
            <w:vAlign w:val="center"/>
          </w:tcPr>
          <w:p w14:paraId="57BB64B1" w14:textId="77777777" w:rsidR="00B60676" w:rsidRPr="00487D35" w:rsidRDefault="00B60676" w:rsidP="000D7019">
            <w:pPr>
              <w:pStyle w:val="TableParagraph"/>
              <w:ind w:right="90"/>
              <w:jc w:val="right"/>
              <w:rPr>
                <w:color w:val="231F20"/>
                <w:spacing w:val="-2"/>
                <w:sz w:val="18"/>
                <w:szCs w:val="18"/>
              </w:rPr>
            </w:pPr>
            <w:r w:rsidRPr="00487D35">
              <w:rPr>
                <w:color w:val="231F20"/>
                <w:spacing w:val="-2"/>
                <w:sz w:val="18"/>
                <w:szCs w:val="18"/>
              </w:rPr>
              <w:t>10,233</w:t>
            </w:r>
          </w:p>
        </w:tc>
        <w:tc>
          <w:tcPr>
            <w:tcW w:w="1275" w:type="dxa"/>
            <w:shd w:val="clear" w:color="auto" w:fill="FFF7F1"/>
            <w:vAlign w:val="center"/>
          </w:tcPr>
          <w:p w14:paraId="4B12C7FF" w14:textId="77777777" w:rsidR="00B60676" w:rsidRPr="00487D35" w:rsidRDefault="00B60676" w:rsidP="000D7019">
            <w:pPr>
              <w:pStyle w:val="TableParagraph"/>
              <w:ind w:right="90"/>
              <w:jc w:val="right"/>
              <w:rPr>
                <w:color w:val="231F20"/>
                <w:spacing w:val="-2"/>
                <w:sz w:val="18"/>
                <w:szCs w:val="18"/>
              </w:rPr>
            </w:pPr>
            <w:r w:rsidRPr="00487D35">
              <w:rPr>
                <w:color w:val="231F20"/>
                <w:spacing w:val="-2"/>
                <w:sz w:val="18"/>
                <w:szCs w:val="18"/>
              </w:rPr>
              <w:t>9,343</w:t>
            </w:r>
          </w:p>
        </w:tc>
        <w:tc>
          <w:tcPr>
            <w:tcW w:w="1276" w:type="dxa"/>
            <w:shd w:val="clear" w:color="auto" w:fill="FFF7F1"/>
            <w:vAlign w:val="center"/>
          </w:tcPr>
          <w:p w14:paraId="2A8F587B" w14:textId="77777777" w:rsidR="00B60676" w:rsidRPr="00487D35" w:rsidRDefault="00B60676" w:rsidP="000D7019">
            <w:pPr>
              <w:pStyle w:val="TableParagraph"/>
              <w:ind w:right="90"/>
              <w:jc w:val="right"/>
              <w:rPr>
                <w:color w:val="231F20"/>
                <w:spacing w:val="-2"/>
                <w:sz w:val="18"/>
                <w:szCs w:val="18"/>
              </w:rPr>
            </w:pPr>
            <w:r w:rsidRPr="00487D35">
              <w:rPr>
                <w:sz w:val="18"/>
                <w:szCs w:val="18"/>
                <w:lang w:eastAsia="en-IE"/>
              </w:rPr>
              <w:t>12,258</w:t>
            </w:r>
          </w:p>
        </w:tc>
        <w:tc>
          <w:tcPr>
            <w:tcW w:w="1276" w:type="dxa"/>
            <w:shd w:val="clear" w:color="auto" w:fill="FFF7F1"/>
            <w:vAlign w:val="center"/>
          </w:tcPr>
          <w:p w14:paraId="58422E2A" w14:textId="77777777" w:rsidR="00B60676" w:rsidRPr="00487D35" w:rsidRDefault="00B60676" w:rsidP="000D7019">
            <w:pPr>
              <w:pStyle w:val="TableParagraph"/>
              <w:ind w:right="90"/>
              <w:jc w:val="right"/>
              <w:rPr>
                <w:color w:val="231F20"/>
                <w:spacing w:val="-2"/>
                <w:sz w:val="18"/>
                <w:szCs w:val="18"/>
              </w:rPr>
            </w:pPr>
            <w:r w:rsidRPr="00487D35">
              <w:rPr>
                <w:color w:val="231F20"/>
                <w:spacing w:val="-2"/>
                <w:sz w:val="18"/>
                <w:szCs w:val="18"/>
              </w:rPr>
              <w:t>12,000</w:t>
            </w:r>
          </w:p>
        </w:tc>
        <w:tc>
          <w:tcPr>
            <w:tcW w:w="1276" w:type="dxa"/>
            <w:shd w:val="clear" w:color="auto" w:fill="FFF7F1"/>
            <w:vAlign w:val="center"/>
          </w:tcPr>
          <w:p w14:paraId="7DF1E608" w14:textId="77777777" w:rsidR="00B60676" w:rsidRPr="00487D35" w:rsidRDefault="00B60676" w:rsidP="000D7019">
            <w:pPr>
              <w:pStyle w:val="TableParagraph"/>
              <w:ind w:right="90"/>
              <w:jc w:val="right"/>
              <w:rPr>
                <w:color w:val="231F20"/>
                <w:spacing w:val="-2"/>
                <w:sz w:val="18"/>
                <w:szCs w:val="18"/>
              </w:rPr>
            </w:pPr>
            <w:r w:rsidRPr="00487D35">
              <w:rPr>
                <w:color w:val="231F20"/>
                <w:spacing w:val="-2"/>
                <w:sz w:val="18"/>
                <w:szCs w:val="18"/>
              </w:rPr>
              <w:t>15,553</w:t>
            </w:r>
          </w:p>
        </w:tc>
      </w:tr>
      <w:tr w:rsidR="00B60676" w14:paraId="535849B1" w14:textId="77777777" w:rsidTr="00915292">
        <w:trPr>
          <w:trHeight w:val="263"/>
        </w:trPr>
        <w:tc>
          <w:tcPr>
            <w:tcW w:w="2127" w:type="dxa"/>
            <w:vMerge/>
            <w:tcBorders>
              <w:top w:val="nil"/>
              <w:left w:val="nil"/>
            </w:tcBorders>
            <w:shd w:val="clear" w:color="auto" w:fill="F69358"/>
            <w:vAlign w:val="center"/>
          </w:tcPr>
          <w:p w14:paraId="204A6C8B" w14:textId="77777777" w:rsidR="00B60676" w:rsidRDefault="00B60676" w:rsidP="00B60676">
            <w:pPr>
              <w:rPr>
                <w:sz w:val="2"/>
                <w:szCs w:val="2"/>
              </w:rPr>
            </w:pPr>
          </w:p>
        </w:tc>
        <w:tc>
          <w:tcPr>
            <w:tcW w:w="3969" w:type="dxa"/>
            <w:shd w:val="clear" w:color="auto" w:fill="FFF7F1"/>
            <w:vAlign w:val="center"/>
          </w:tcPr>
          <w:p w14:paraId="6232C8B1" w14:textId="77777777" w:rsidR="00B60676" w:rsidRDefault="00B60676" w:rsidP="00B60676">
            <w:pPr>
              <w:pStyle w:val="TableParagraph"/>
              <w:ind w:left="170"/>
              <w:rPr>
                <w:sz w:val="16"/>
              </w:rPr>
            </w:pPr>
            <w:r>
              <w:rPr>
                <w:color w:val="231F20"/>
                <w:w w:val="105"/>
                <w:sz w:val="16"/>
              </w:rPr>
              <w:t>Members</w:t>
            </w:r>
            <w:r>
              <w:rPr>
                <w:color w:val="231F20"/>
                <w:spacing w:val="1"/>
                <w:w w:val="105"/>
                <w:sz w:val="16"/>
              </w:rPr>
              <w:t xml:space="preserve"> </w:t>
            </w:r>
            <w:r>
              <w:rPr>
                <w:color w:val="231F20"/>
                <w:w w:val="105"/>
                <w:sz w:val="16"/>
              </w:rPr>
              <w:t>reps</w:t>
            </w:r>
            <w:r>
              <w:rPr>
                <w:color w:val="231F20"/>
                <w:spacing w:val="1"/>
                <w:w w:val="105"/>
                <w:sz w:val="16"/>
              </w:rPr>
              <w:t xml:space="preserve"> </w:t>
            </w:r>
            <w:r>
              <w:rPr>
                <w:color w:val="231F20"/>
                <w:w w:val="105"/>
                <w:sz w:val="16"/>
              </w:rPr>
              <w:t>closed</w:t>
            </w:r>
            <w:r>
              <w:rPr>
                <w:color w:val="231F20"/>
                <w:spacing w:val="1"/>
                <w:w w:val="105"/>
                <w:sz w:val="16"/>
              </w:rPr>
              <w:t xml:space="preserve"> </w:t>
            </w:r>
            <w:r>
              <w:rPr>
                <w:color w:val="231F20"/>
                <w:w w:val="105"/>
                <w:sz w:val="16"/>
              </w:rPr>
              <w:t>within</w:t>
            </w:r>
            <w:r>
              <w:rPr>
                <w:color w:val="231F20"/>
                <w:spacing w:val="2"/>
                <w:w w:val="105"/>
                <w:sz w:val="16"/>
              </w:rPr>
              <w:t xml:space="preserve"> </w:t>
            </w:r>
            <w:r>
              <w:rPr>
                <w:color w:val="231F20"/>
                <w:spacing w:val="-2"/>
                <w:w w:val="105"/>
                <w:sz w:val="16"/>
              </w:rPr>
              <w:t>deadline</w:t>
            </w:r>
          </w:p>
        </w:tc>
        <w:tc>
          <w:tcPr>
            <w:tcW w:w="1417" w:type="dxa"/>
            <w:shd w:val="clear" w:color="auto" w:fill="FFF7F1"/>
            <w:vAlign w:val="center"/>
          </w:tcPr>
          <w:p w14:paraId="514A10FB" w14:textId="77777777" w:rsidR="00B60676" w:rsidRPr="00487D35" w:rsidRDefault="00B60676" w:rsidP="000D7019">
            <w:pPr>
              <w:pStyle w:val="TableParagraph"/>
              <w:ind w:right="90"/>
              <w:jc w:val="right"/>
              <w:rPr>
                <w:sz w:val="18"/>
                <w:szCs w:val="18"/>
              </w:rPr>
            </w:pPr>
            <w:r w:rsidRPr="00487D35">
              <w:rPr>
                <w:color w:val="231F20"/>
                <w:sz w:val="18"/>
                <w:szCs w:val="18"/>
              </w:rPr>
              <w:t>4,925</w:t>
            </w:r>
            <w:r w:rsidRPr="00487D35">
              <w:rPr>
                <w:color w:val="231F20"/>
                <w:spacing w:val="1"/>
                <w:sz w:val="18"/>
                <w:szCs w:val="18"/>
              </w:rPr>
              <w:t xml:space="preserve"> </w:t>
            </w:r>
            <w:r w:rsidRPr="00487D35">
              <w:rPr>
                <w:color w:val="231F20"/>
                <w:spacing w:val="-2"/>
                <w:sz w:val="18"/>
                <w:szCs w:val="18"/>
              </w:rPr>
              <w:t>(51%)</w:t>
            </w:r>
          </w:p>
        </w:tc>
        <w:tc>
          <w:tcPr>
            <w:tcW w:w="1134" w:type="dxa"/>
            <w:shd w:val="clear" w:color="auto" w:fill="FFF7F1"/>
            <w:vAlign w:val="center"/>
          </w:tcPr>
          <w:p w14:paraId="217A4F7E" w14:textId="77777777" w:rsidR="00B60676" w:rsidRPr="00487D35" w:rsidRDefault="00B60676" w:rsidP="000D7019">
            <w:pPr>
              <w:pStyle w:val="TableParagraph"/>
              <w:ind w:right="90"/>
              <w:jc w:val="right"/>
              <w:rPr>
                <w:color w:val="231F20"/>
                <w:sz w:val="18"/>
                <w:szCs w:val="18"/>
              </w:rPr>
            </w:pPr>
          </w:p>
        </w:tc>
        <w:tc>
          <w:tcPr>
            <w:tcW w:w="1418" w:type="dxa"/>
            <w:shd w:val="clear" w:color="auto" w:fill="FFF7F1"/>
            <w:vAlign w:val="center"/>
          </w:tcPr>
          <w:p w14:paraId="6C48543C" w14:textId="77777777" w:rsidR="00B60676" w:rsidRPr="00487D35" w:rsidRDefault="00B60676" w:rsidP="000D7019">
            <w:pPr>
              <w:pStyle w:val="TableParagraph"/>
              <w:ind w:right="90"/>
              <w:jc w:val="right"/>
              <w:rPr>
                <w:color w:val="231F20"/>
                <w:sz w:val="18"/>
                <w:szCs w:val="18"/>
              </w:rPr>
            </w:pPr>
            <w:r w:rsidRPr="00487D35">
              <w:rPr>
                <w:color w:val="231F20"/>
                <w:sz w:val="18"/>
                <w:szCs w:val="18"/>
              </w:rPr>
              <w:t>5,580</w:t>
            </w:r>
          </w:p>
        </w:tc>
        <w:tc>
          <w:tcPr>
            <w:tcW w:w="1275" w:type="dxa"/>
            <w:shd w:val="clear" w:color="auto" w:fill="FFF7F1"/>
            <w:vAlign w:val="center"/>
          </w:tcPr>
          <w:p w14:paraId="2DD47C3B" w14:textId="77777777" w:rsidR="00B60676" w:rsidRPr="00487D35" w:rsidRDefault="00B60676" w:rsidP="000D7019">
            <w:pPr>
              <w:pStyle w:val="TableParagraph"/>
              <w:ind w:right="90"/>
              <w:jc w:val="right"/>
              <w:rPr>
                <w:color w:val="231F20"/>
                <w:sz w:val="18"/>
                <w:szCs w:val="18"/>
              </w:rPr>
            </w:pPr>
            <w:r w:rsidRPr="00487D35">
              <w:rPr>
                <w:color w:val="231F20"/>
                <w:sz w:val="18"/>
                <w:szCs w:val="18"/>
              </w:rPr>
              <w:t>5,283</w:t>
            </w:r>
          </w:p>
        </w:tc>
        <w:tc>
          <w:tcPr>
            <w:tcW w:w="1276" w:type="dxa"/>
            <w:shd w:val="clear" w:color="auto" w:fill="FFF7F1"/>
            <w:vAlign w:val="center"/>
          </w:tcPr>
          <w:p w14:paraId="4BAEB5C8" w14:textId="77777777" w:rsidR="00B60676" w:rsidRPr="00487D35" w:rsidRDefault="00B60676" w:rsidP="000D7019">
            <w:pPr>
              <w:pStyle w:val="TableParagraph"/>
              <w:ind w:right="90"/>
              <w:jc w:val="right"/>
              <w:rPr>
                <w:color w:val="231F20"/>
                <w:sz w:val="18"/>
                <w:szCs w:val="18"/>
              </w:rPr>
            </w:pPr>
            <w:r w:rsidRPr="00487D35">
              <w:rPr>
                <w:color w:val="000000"/>
                <w:sz w:val="18"/>
                <w:szCs w:val="18"/>
                <w:lang w:eastAsia="en-IE"/>
              </w:rPr>
              <w:t>3,934</w:t>
            </w:r>
          </w:p>
        </w:tc>
        <w:tc>
          <w:tcPr>
            <w:tcW w:w="1276" w:type="dxa"/>
            <w:shd w:val="clear" w:color="auto" w:fill="FFF7F1"/>
            <w:vAlign w:val="center"/>
          </w:tcPr>
          <w:p w14:paraId="0880850A" w14:textId="77777777" w:rsidR="00B60676" w:rsidRPr="00487D35" w:rsidRDefault="00B60676" w:rsidP="000D7019">
            <w:pPr>
              <w:pStyle w:val="TableParagraph"/>
              <w:ind w:right="90"/>
              <w:jc w:val="right"/>
              <w:rPr>
                <w:color w:val="231F20"/>
                <w:sz w:val="18"/>
                <w:szCs w:val="18"/>
              </w:rPr>
            </w:pPr>
            <w:r w:rsidRPr="00487D35">
              <w:rPr>
                <w:color w:val="231F20"/>
                <w:sz w:val="18"/>
                <w:szCs w:val="18"/>
              </w:rPr>
              <w:t>11,400</w:t>
            </w:r>
          </w:p>
        </w:tc>
        <w:tc>
          <w:tcPr>
            <w:tcW w:w="1276" w:type="dxa"/>
            <w:shd w:val="clear" w:color="auto" w:fill="FFF7F1"/>
            <w:vAlign w:val="center"/>
          </w:tcPr>
          <w:p w14:paraId="457C79C5" w14:textId="77777777" w:rsidR="00B60676" w:rsidRPr="00487D35" w:rsidRDefault="00B60676" w:rsidP="000D7019">
            <w:pPr>
              <w:pStyle w:val="TableParagraph"/>
              <w:ind w:right="90"/>
              <w:jc w:val="right"/>
              <w:rPr>
                <w:color w:val="231F20"/>
                <w:sz w:val="18"/>
                <w:szCs w:val="18"/>
              </w:rPr>
            </w:pPr>
            <w:r w:rsidRPr="00487D35">
              <w:rPr>
                <w:color w:val="231F20"/>
                <w:sz w:val="18"/>
                <w:szCs w:val="18"/>
              </w:rPr>
              <w:t>5.332</w:t>
            </w:r>
          </w:p>
        </w:tc>
      </w:tr>
      <w:tr w:rsidR="00B60676" w14:paraId="7EB45194" w14:textId="77777777" w:rsidTr="00915292">
        <w:trPr>
          <w:trHeight w:val="263"/>
        </w:trPr>
        <w:tc>
          <w:tcPr>
            <w:tcW w:w="2127" w:type="dxa"/>
            <w:vMerge/>
            <w:tcBorders>
              <w:top w:val="nil"/>
              <w:left w:val="nil"/>
            </w:tcBorders>
            <w:shd w:val="clear" w:color="auto" w:fill="F69358"/>
            <w:vAlign w:val="center"/>
          </w:tcPr>
          <w:p w14:paraId="7D0FDDF1" w14:textId="77777777" w:rsidR="00B60676" w:rsidRDefault="00B60676" w:rsidP="00B60676">
            <w:pPr>
              <w:rPr>
                <w:sz w:val="2"/>
                <w:szCs w:val="2"/>
              </w:rPr>
            </w:pPr>
          </w:p>
        </w:tc>
        <w:tc>
          <w:tcPr>
            <w:tcW w:w="3969" w:type="dxa"/>
            <w:shd w:val="clear" w:color="auto" w:fill="FFF7F1"/>
            <w:vAlign w:val="center"/>
          </w:tcPr>
          <w:p w14:paraId="64C2742A" w14:textId="77777777" w:rsidR="00B60676" w:rsidRDefault="00B60676" w:rsidP="00B60676">
            <w:pPr>
              <w:pStyle w:val="TableParagraph"/>
              <w:ind w:left="170"/>
              <w:rPr>
                <w:sz w:val="16"/>
              </w:rPr>
            </w:pPr>
            <w:r>
              <w:rPr>
                <w:color w:val="231F20"/>
                <w:sz w:val="16"/>
              </w:rPr>
              <w:t>Freedom</w:t>
            </w:r>
            <w:r>
              <w:rPr>
                <w:color w:val="231F20"/>
                <w:spacing w:val="23"/>
                <w:sz w:val="16"/>
              </w:rPr>
              <w:t xml:space="preserve"> </w:t>
            </w:r>
            <w:r>
              <w:rPr>
                <w:color w:val="231F20"/>
                <w:sz w:val="16"/>
              </w:rPr>
              <w:t>of</w:t>
            </w:r>
            <w:r>
              <w:rPr>
                <w:color w:val="231F20"/>
                <w:spacing w:val="23"/>
                <w:sz w:val="16"/>
              </w:rPr>
              <w:t xml:space="preserve"> </w:t>
            </w:r>
            <w:r>
              <w:rPr>
                <w:color w:val="231F20"/>
                <w:sz w:val="16"/>
              </w:rPr>
              <w:t>Information</w:t>
            </w:r>
            <w:r>
              <w:rPr>
                <w:color w:val="231F20"/>
                <w:spacing w:val="23"/>
                <w:sz w:val="16"/>
              </w:rPr>
              <w:t xml:space="preserve"> </w:t>
            </w:r>
            <w:r>
              <w:rPr>
                <w:color w:val="231F20"/>
                <w:sz w:val="16"/>
              </w:rPr>
              <w:t>/</w:t>
            </w:r>
            <w:r>
              <w:rPr>
                <w:color w:val="231F20"/>
                <w:spacing w:val="23"/>
                <w:sz w:val="16"/>
              </w:rPr>
              <w:t xml:space="preserve"> </w:t>
            </w:r>
            <w:r>
              <w:rPr>
                <w:color w:val="231F20"/>
                <w:sz w:val="16"/>
              </w:rPr>
              <w:t>Data</w:t>
            </w:r>
            <w:r>
              <w:rPr>
                <w:color w:val="231F20"/>
                <w:spacing w:val="23"/>
                <w:sz w:val="16"/>
              </w:rPr>
              <w:t xml:space="preserve"> </w:t>
            </w:r>
            <w:r>
              <w:rPr>
                <w:color w:val="231F20"/>
                <w:sz w:val="16"/>
              </w:rPr>
              <w:t>Access</w:t>
            </w:r>
            <w:r>
              <w:rPr>
                <w:color w:val="231F20"/>
                <w:spacing w:val="24"/>
                <w:sz w:val="16"/>
              </w:rPr>
              <w:t xml:space="preserve"> </w:t>
            </w:r>
            <w:r>
              <w:rPr>
                <w:color w:val="231F20"/>
                <w:sz w:val="16"/>
              </w:rPr>
              <w:t>requests</w:t>
            </w:r>
            <w:r>
              <w:rPr>
                <w:color w:val="231F20"/>
                <w:spacing w:val="23"/>
                <w:sz w:val="16"/>
              </w:rPr>
              <w:t xml:space="preserve"> </w:t>
            </w:r>
            <w:r>
              <w:rPr>
                <w:color w:val="231F20"/>
                <w:sz w:val="16"/>
              </w:rPr>
              <w:t>responded</w:t>
            </w:r>
            <w:r>
              <w:rPr>
                <w:color w:val="231F20"/>
                <w:spacing w:val="23"/>
                <w:sz w:val="16"/>
              </w:rPr>
              <w:t xml:space="preserve"> </w:t>
            </w:r>
            <w:r>
              <w:rPr>
                <w:color w:val="231F20"/>
                <w:spacing w:val="-5"/>
                <w:sz w:val="16"/>
              </w:rPr>
              <w:t>to</w:t>
            </w:r>
          </w:p>
        </w:tc>
        <w:tc>
          <w:tcPr>
            <w:tcW w:w="1417" w:type="dxa"/>
            <w:shd w:val="clear" w:color="auto" w:fill="FFF7F1"/>
            <w:vAlign w:val="center"/>
          </w:tcPr>
          <w:p w14:paraId="12EF54CA" w14:textId="77777777" w:rsidR="00B60676" w:rsidRPr="00487D35" w:rsidRDefault="00B60676" w:rsidP="000D7019">
            <w:pPr>
              <w:pStyle w:val="TableParagraph"/>
              <w:ind w:right="90"/>
              <w:jc w:val="right"/>
              <w:rPr>
                <w:sz w:val="18"/>
                <w:szCs w:val="18"/>
              </w:rPr>
            </w:pPr>
            <w:r w:rsidRPr="00487D35">
              <w:rPr>
                <w:color w:val="231F20"/>
                <w:spacing w:val="-5"/>
                <w:sz w:val="18"/>
                <w:szCs w:val="18"/>
              </w:rPr>
              <w:t>287</w:t>
            </w:r>
          </w:p>
        </w:tc>
        <w:tc>
          <w:tcPr>
            <w:tcW w:w="1134" w:type="dxa"/>
            <w:shd w:val="clear" w:color="auto" w:fill="FFF7F1"/>
            <w:vAlign w:val="center"/>
          </w:tcPr>
          <w:p w14:paraId="02948195" w14:textId="77777777" w:rsidR="00B60676" w:rsidRPr="00487D35" w:rsidRDefault="00B60676" w:rsidP="000D7019">
            <w:pPr>
              <w:pStyle w:val="TableParagraph"/>
              <w:ind w:right="90"/>
              <w:jc w:val="right"/>
              <w:rPr>
                <w:color w:val="231F20"/>
                <w:spacing w:val="-5"/>
                <w:sz w:val="18"/>
                <w:szCs w:val="18"/>
              </w:rPr>
            </w:pPr>
            <w:r w:rsidRPr="00487D35">
              <w:rPr>
                <w:color w:val="231F20"/>
                <w:spacing w:val="-5"/>
                <w:sz w:val="18"/>
                <w:szCs w:val="18"/>
              </w:rPr>
              <w:t>273</w:t>
            </w:r>
          </w:p>
        </w:tc>
        <w:tc>
          <w:tcPr>
            <w:tcW w:w="1418" w:type="dxa"/>
            <w:shd w:val="clear" w:color="auto" w:fill="FFF7F1"/>
            <w:vAlign w:val="center"/>
          </w:tcPr>
          <w:p w14:paraId="163BED73" w14:textId="77777777" w:rsidR="00B60676" w:rsidRPr="00487D35" w:rsidRDefault="00B60676" w:rsidP="000D7019">
            <w:pPr>
              <w:pStyle w:val="TableParagraph"/>
              <w:ind w:right="90"/>
              <w:jc w:val="right"/>
              <w:rPr>
                <w:color w:val="231F20"/>
                <w:spacing w:val="-5"/>
                <w:sz w:val="18"/>
                <w:szCs w:val="18"/>
              </w:rPr>
            </w:pPr>
            <w:r w:rsidRPr="00487D35">
              <w:rPr>
                <w:color w:val="231F20"/>
                <w:spacing w:val="-5"/>
                <w:sz w:val="18"/>
                <w:szCs w:val="18"/>
              </w:rPr>
              <w:t>295</w:t>
            </w:r>
          </w:p>
        </w:tc>
        <w:tc>
          <w:tcPr>
            <w:tcW w:w="1275" w:type="dxa"/>
            <w:shd w:val="clear" w:color="auto" w:fill="FFF7F1"/>
            <w:vAlign w:val="center"/>
          </w:tcPr>
          <w:p w14:paraId="141110BA" w14:textId="77777777" w:rsidR="00B60676" w:rsidRPr="00487D35" w:rsidRDefault="00B60676" w:rsidP="000D7019">
            <w:pPr>
              <w:pStyle w:val="TableParagraph"/>
              <w:ind w:right="90"/>
              <w:jc w:val="right"/>
              <w:rPr>
                <w:color w:val="231F20"/>
                <w:spacing w:val="-5"/>
                <w:sz w:val="18"/>
                <w:szCs w:val="18"/>
              </w:rPr>
            </w:pPr>
            <w:r w:rsidRPr="00487D35">
              <w:rPr>
                <w:color w:val="231F20"/>
                <w:spacing w:val="-5"/>
                <w:sz w:val="18"/>
                <w:szCs w:val="18"/>
              </w:rPr>
              <w:t>269</w:t>
            </w:r>
          </w:p>
        </w:tc>
        <w:tc>
          <w:tcPr>
            <w:tcW w:w="1276" w:type="dxa"/>
            <w:shd w:val="clear" w:color="auto" w:fill="FFF7F1"/>
            <w:vAlign w:val="center"/>
          </w:tcPr>
          <w:p w14:paraId="6DBB5FAC" w14:textId="77777777" w:rsidR="00B60676" w:rsidRPr="00487D35" w:rsidRDefault="00B60676" w:rsidP="000D7019">
            <w:pPr>
              <w:pStyle w:val="TableParagraph"/>
              <w:ind w:right="90"/>
              <w:jc w:val="right"/>
              <w:rPr>
                <w:color w:val="231F20"/>
                <w:spacing w:val="-5"/>
                <w:sz w:val="18"/>
                <w:szCs w:val="18"/>
              </w:rPr>
            </w:pPr>
            <w:r w:rsidRPr="00487D35">
              <w:rPr>
                <w:color w:val="231F20"/>
                <w:spacing w:val="-5"/>
                <w:sz w:val="18"/>
                <w:szCs w:val="18"/>
              </w:rPr>
              <w:t>338</w:t>
            </w:r>
          </w:p>
        </w:tc>
        <w:tc>
          <w:tcPr>
            <w:tcW w:w="1276" w:type="dxa"/>
            <w:shd w:val="clear" w:color="auto" w:fill="FFF7F1"/>
            <w:vAlign w:val="center"/>
          </w:tcPr>
          <w:p w14:paraId="48523ADA" w14:textId="77777777" w:rsidR="00B60676" w:rsidRPr="00487D35" w:rsidRDefault="00B60676" w:rsidP="000D7019">
            <w:pPr>
              <w:pStyle w:val="TableParagraph"/>
              <w:ind w:right="90"/>
              <w:jc w:val="right"/>
              <w:rPr>
                <w:color w:val="231F20"/>
                <w:spacing w:val="-5"/>
                <w:sz w:val="18"/>
                <w:szCs w:val="18"/>
              </w:rPr>
            </w:pPr>
            <w:r w:rsidRPr="00487D35">
              <w:rPr>
                <w:color w:val="231F20"/>
                <w:spacing w:val="-5"/>
                <w:sz w:val="18"/>
                <w:szCs w:val="18"/>
              </w:rPr>
              <w:t>350</w:t>
            </w:r>
          </w:p>
        </w:tc>
        <w:tc>
          <w:tcPr>
            <w:tcW w:w="1276" w:type="dxa"/>
            <w:shd w:val="clear" w:color="auto" w:fill="FFF7F1"/>
            <w:vAlign w:val="center"/>
          </w:tcPr>
          <w:p w14:paraId="15A8904B" w14:textId="77777777" w:rsidR="00B60676" w:rsidRPr="00487D35" w:rsidRDefault="00B60676" w:rsidP="000D7019">
            <w:pPr>
              <w:pStyle w:val="TableParagraph"/>
              <w:ind w:right="90"/>
              <w:jc w:val="right"/>
              <w:rPr>
                <w:color w:val="231F20"/>
                <w:spacing w:val="-5"/>
                <w:sz w:val="18"/>
                <w:szCs w:val="18"/>
              </w:rPr>
            </w:pPr>
            <w:r w:rsidRPr="00487D35">
              <w:rPr>
                <w:color w:val="231F20"/>
                <w:spacing w:val="-5"/>
                <w:sz w:val="18"/>
                <w:szCs w:val="18"/>
              </w:rPr>
              <w:t>337</w:t>
            </w:r>
          </w:p>
        </w:tc>
      </w:tr>
      <w:tr w:rsidR="00B60676" w14:paraId="275791E6" w14:textId="77777777" w:rsidTr="00915292">
        <w:trPr>
          <w:trHeight w:val="395"/>
        </w:trPr>
        <w:tc>
          <w:tcPr>
            <w:tcW w:w="2127" w:type="dxa"/>
            <w:vMerge/>
            <w:tcBorders>
              <w:top w:val="nil"/>
              <w:left w:val="nil"/>
            </w:tcBorders>
            <w:shd w:val="clear" w:color="auto" w:fill="F69358"/>
            <w:vAlign w:val="center"/>
          </w:tcPr>
          <w:p w14:paraId="66AA8DC7" w14:textId="77777777" w:rsidR="00B60676" w:rsidRDefault="00B60676" w:rsidP="00B60676">
            <w:pPr>
              <w:rPr>
                <w:sz w:val="2"/>
                <w:szCs w:val="2"/>
              </w:rPr>
            </w:pPr>
          </w:p>
        </w:tc>
        <w:tc>
          <w:tcPr>
            <w:tcW w:w="3969" w:type="dxa"/>
            <w:shd w:val="clear" w:color="auto" w:fill="FFF7F1"/>
            <w:vAlign w:val="center"/>
          </w:tcPr>
          <w:p w14:paraId="380E049A" w14:textId="77777777" w:rsidR="00B60676" w:rsidRDefault="00B60676" w:rsidP="00B60676">
            <w:pPr>
              <w:pStyle w:val="TableParagraph"/>
              <w:spacing w:before="16" w:line="180" w:lineRule="exact"/>
              <w:ind w:left="170"/>
              <w:rPr>
                <w:sz w:val="16"/>
              </w:rPr>
            </w:pPr>
            <w:r>
              <w:rPr>
                <w:color w:val="231F20"/>
                <w:w w:val="105"/>
                <w:sz w:val="16"/>
              </w:rPr>
              <w:t>Citizens</w:t>
            </w:r>
            <w:r>
              <w:rPr>
                <w:color w:val="231F20"/>
                <w:spacing w:val="-1"/>
                <w:w w:val="105"/>
                <w:sz w:val="16"/>
              </w:rPr>
              <w:t xml:space="preserve"> </w:t>
            </w:r>
            <w:r>
              <w:rPr>
                <w:color w:val="231F20"/>
                <w:w w:val="105"/>
                <w:sz w:val="16"/>
              </w:rPr>
              <w:t>who</w:t>
            </w:r>
            <w:r>
              <w:rPr>
                <w:color w:val="231F20"/>
                <w:spacing w:val="-1"/>
                <w:w w:val="105"/>
                <w:sz w:val="16"/>
              </w:rPr>
              <w:t xml:space="preserve"> </w:t>
            </w:r>
            <w:r>
              <w:rPr>
                <w:color w:val="231F20"/>
                <w:w w:val="105"/>
                <w:sz w:val="16"/>
              </w:rPr>
              <w:t>actively</w:t>
            </w:r>
            <w:r>
              <w:rPr>
                <w:color w:val="231F20"/>
                <w:spacing w:val="-1"/>
                <w:w w:val="105"/>
                <w:sz w:val="16"/>
              </w:rPr>
              <w:t xml:space="preserve"> </w:t>
            </w:r>
            <w:r>
              <w:rPr>
                <w:color w:val="231F20"/>
                <w:w w:val="105"/>
                <w:sz w:val="16"/>
              </w:rPr>
              <w:t>engaged</w:t>
            </w:r>
            <w:r>
              <w:rPr>
                <w:color w:val="231F20"/>
                <w:spacing w:val="-1"/>
                <w:w w:val="105"/>
                <w:sz w:val="16"/>
              </w:rPr>
              <w:t xml:space="preserve"> </w:t>
            </w:r>
            <w:r>
              <w:rPr>
                <w:color w:val="231F20"/>
                <w:w w:val="105"/>
                <w:sz w:val="16"/>
              </w:rPr>
              <w:t>with</w:t>
            </w:r>
            <w:r>
              <w:rPr>
                <w:color w:val="231F20"/>
                <w:spacing w:val="-1"/>
                <w:w w:val="105"/>
                <w:sz w:val="16"/>
              </w:rPr>
              <w:t xml:space="preserve"> </w:t>
            </w:r>
            <w:r>
              <w:rPr>
                <w:color w:val="231F20"/>
                <w:w w:val="105"/>
                <w:sz w:val="16"/>
              </w:rPr>
              <w:t>us</w:t>
            </w:r>
            <w:r>
              <w:rPr>
                <w:color w:val="231F20"/>
                <w:spacing w:val="-1"/>
                <w:w w:val="105"/>
                <w:sz w:val="16"/>
              </w:rPr>
              <w:t xml:space="preserve"> </w:t>
            </w:r>
            <w:r>
              <w:rPr>
                <w:color w:val="231F20"/>
                <w:w w:val="105"/>
                <w:sz w:val="16"/>
              </w:rPr>
              <w:t>through</w:t>
            </w:r>
            <w:r>
              <w:rPr>
                <w:color w:val="231F20"/>
                <w:spacing w:val="-1"/>
                <w:w w:val="105"/>
                <w:sz w:val="16"/>
              </w:rPr>
              <w:t xml:space="preserve"> </w:t>
            </w:r>
            <w:r>
              <w:rPr>
                <w:color w:val="231F20"/>
                <w:w w:val="105"/>
                <w:sz w:val="16"/>
              </w:rPr>
              <w:t>our</w:t>
            </w:r>
            <w:r>
              <w:rPr>
                <w:color w:val="231F20"/>
                <w:spacing w:val="-1"/>
                <w:w w:val="105"/>
                <w:sz w:val="16"/>
              </w:rPr>
              <w:t xml:space="preserve"> </w:t>
            </w:r>
            <w:r>
              <w:rPr>
                <w:color w:val="231F20"/>
                <w:w w:val="105"/>
                <w:sz w:val="16"/>
              </w:rPr>
              <w:t>consultation</w:t>
            </w:r>
            <w:r>
              <w:rPr>
                <w:color w:val="231F20"/>
                <w:spacing w:val="-1"/>
                <w:w w:val="105"/>
                <w:sz w:val="16"/>
              </w:rPr>
              <w:t xml:space="preserve"> </w:t>
            </w:r>
            <w:r>
              <w:rPr>
                <w:color w:val="231F20"/>
                <w:w w:val="105"/>
                <w:sz w:val="16"/>
              </w:rPr>
              <w:t>portal, citizens survey, and participatory budgeting votes cast.</w:t>
            </w:r>
          </w:p>
        </w:tc>
        <w:tc>
          <w:tcPr>
            <w:tcW w:w="1417" w:type="dxa"/>
            <w:shd w:val="clear" w:color="auto" w:fill="FFF7F1"/>
            <w:vAlign w:val="center"/>
          </w:tcPr>
          <w:p w14:paraId="0CD364B6" w14:textId="77777777" w:rsidR="00B60676" w:rsidRPr="00487D35" w:rsidRDefault="00B60676" w:rsidP="000D7019">
            <w:pPr>
              <w:pStyle w:val="TableParagraph"/>
              <w:spacing w:before="109"/>
              <w:ind w:right="90"/>
              <w:jc w:val="right"/>
              <w:rPr>
                <w:sz w:val="18"/>
                <w:szCs w:val="18"/>
              </w:rPr>
            </w:pPr>
            <w:r w:rsidRPr="00487D35">
              <w:rPr>
                <w:color w:val="231F20"/>
                <w:spacing w:val="-2"/>
                <w:sz w:val="18"/>
                <w:szCs w:val="18"/>
              </w:rPr>
              <w:t>6,164</w:t>
            </w:r>
          </w:p>
        </w:tc>
        <w:tc>
          <w:tcPr>
            <w:tcW w:w="1134" w:type="dxa"/>
            <w:shd w:val="clear" w:color="auto" w:fill="FFF7F1"/>
            <w:vAlign w:val="center"/>
          </w:tcPr>
          <w:p w14:paraId="24CB48A6" w14:textId="77777777" w:rsidR="00B60676" w:rsidRPr="00487D35" w:rsidRDefault="00B60676" w:rsidP="000D7019">
            <w:pPr>
              <w:pStyle w:val="TableParagraph"/>
              <w:spacing w:before="109"/>
              <w:ind w:right="90"/>
              <w:jc w:val="right"/>
              <w:rPr>
                <w:color w:val="231F20"/>
                <w:spacing w:val="-2"/>
                <w:sz w:val="18"/>
                <w:szCs w:val="18"/>
              </w:rPr>
            </w:pPr>
            <w:r w:rsidRPr="00487D35">
              <w:rPr>
                <w:color w:val="231F20"/>
                <w:spacing w:val="-2"/>
                <w:sz w:val="18"/>
                <w:szCs w:val="18"/>
              </w:rPr>
              <w:t>2,469</w:t>
            </w:r>
          </w:p>
        </w:tc>
        <w:tc>
          <w:tcPr>
            <w:tcW w:w="1418" w:type="dxa"/>
            <w:shd w:val="clear" w:color="auto" w:fill="FFF7F1"/>
            <w:vAlign w:val="center"/>
          </w:tcPr>
          <w:p w14:paraId="25AEDA6E" w14:textId="77777777" w:rsidR="00B60676" w:rsidRPr="00487D35" w:rsidRDefault="00B60676" w:rsidP="000D7019">
            <w:pPr>
              <w:pStyle w:val="TableParagraph"/>
              <w:spacing w:before="109"/>
              <w:ind w:right="90"/>
              <w:jc w:val="right"/>
              <w:rPr>
                <w:color w:val="231F20"/>
                <w:spacing w:val="-2"/>
                <w:sz w:val="18"/>
                <w:szCs w:val="18"/>
              </w:rPr>
            </w:pPr>
            <w:r w:rsidRPr="00487D35">
              <w:rPr>
                <w:color w:val="231F20"/>
                <w:spacing w:val="-2"/>
                <w:sz w:val="18"/>
                <w:szCs w:val="18"/>
              </w:rPr>
              <w:t>9,410</w:t>
            </w:r>
          </w:p>
        </w:tc>
        <w:tc>
          <w:tcPr>
            <w:tcW w:w="1275" w:type="dxa"/>
            <w:shd w:val="clear" w:color="auto" w:fill="FFF7F1"/>
            <w:vAlign w:val="center"/>
          </w:tcPr>
          <w:p w14:paraId="3FFE646F" w14:textId="77777777" w:rsidR="00B60676" w:rsidRPr="00487D35" w:rsidRDefault="00B60676" w:rsidP="000D7019">
            <w:pPr>
              <w:pStyle w:val="TableParagraph"/>
              <w:spacing w:before="109"/>
              <w:ind w:right="90"/>
              <w:jc w:val="right"/>
              <w:rPr>
                <w:color w:val="231F20"/>
                <w:spacing w:val="-2"/>
                <w:sz w:val="18"/>
                <w:szCs w:val="18"/>
              </w:rPr>
            </w:pPr>
            <w:r w:rsidRPr="00487D35">
              <w:rPr>
                <w:color w:val="231F20"/>
                <w:spacing w:val="-2"/>
                <w:sz w:val="18"/>
                <w:szCs w:val="18"/>
              </w:rPr>
              <w:t>13,219</w:t>
            </w:r>
          </w:p>
        </w:tc>
        <w:tc>
          <w:tcPr>
            <w:tcW w:w="1276" w:type="dxa"/>
            <w:shd w:val="clear" w:color="auto" w:fill="FFF7F1"/>
            <w:vAlign w:val="center"/>
          </w:tcPr>
          <w:p w14:paraId="1D5FD230" w14:textId="77777777" w:rsidR="00B60676" w:rsidRPr="00487D35" w:rsidRDefault="00B60676" w:rsidP="000D7019">
            <w:pPr>
              <w:pStyle w:val="TableParagraph"/>
              <w:spacing w:before="109"/>
              <w:ind w:right="90"/>
              <w:jc w:val="right"/>
              <w:rPr>
                <w:color w:val="231F20"/>
                <w:spacing w:val="-2"/>
                <w:sz w:val="18"/>
                <w:szCs w:val="18"/>
              </w:rPr>
            </w:pPr>
            <w:r w:rsidRPr="00487D35">
              <w:rPr>
                <w:color w:val="231F20"/>
                <w:spacing w:val="-2"/>
                <w:sz w:val="18"/>
                <w:szCs w:val="18"/>
              </w:rPr>
              <w:t>2,038</w:t>
            </w:r>
          </w:p>
        </w:tc>
        <w:tc>
          <w:tcPr>
            <w:tcW w:w="1276" w:type="dxa"/>
            <w:shd w:val="clear" w:color="auto" w:fill="FFF7F1"/>
            <w:vAlign w:val="center"/>
          </w:tcPr>
          <w:p w14:paraId="000F4971" w14:textId="77777777" w:rsidR="00B60676" w:rsidRPr="00487D35" w:rsidRDefault="00B60676" w:rsidP="000D7019">
            <w:pPr>
              <w:pStyle w:val="TableParagraph"/>
              <w:spacing w:before="109"/>
              <w:ind w:right="90"/>
              <w:jc w:val="right"/>
              <w:rPr>
                <w:color w:val="231F20"/>
                <w:spacing w:val="-2"/>
                <w:sz w:val="18"/>
                <w:szCs w:val="18"/>
              </w:rPr>
            </w:pPr>
            <w:r w:rsidRPr="00487D35">
              <w:rPr>
                <w:color w:val="231F20"/>
                <w:spacing w:val="-2"/>
                <w:sz w:val="18"/>
                <w:szCs w:val="18"/>
              </w:rPr>
              <w:t>6,660</w:t>
            </w:r>
          </w:p>
        </w:tc>
        <w:tc>
          <w:tcPr>
            <w:tcW w:w="1276" w:type="dxa"/>
            <w:shd w:val="clear" w:color="auto" w:fill="FFF7F1"/>
            <w:vAlign w:val="center"/>
          </w:tcPr>
          <w:p w14:paraId="65812AE5" w14:textId="77777777" w:rsidR="00B60676" w:rsidRPr="00487D35" w:rsidRDefault="00B60676" w:rsidP="000D7019">
            <w:pPr>
              <w:pStyle w:val="TableParagraph"/>
              <w:spacing w:before="109"/>
              <w:ind w:right="90"/>
              <w:jc w:val="right"/>
              <w:rPr>
                <w:color w:val="231F20"/>
                <w:spacing w:val="-2"/>
                <w:sz w:val="18"/>
                <w:szCs w:val="18"/>
              </w:rPr>
            </w:pPr>
            <w:r w:rsidRPr="00487D35">
              <w:rPr>
                <w:color w:val="231F20"/>
                <w:spacing w:val="-2"/>
                <w:sz w:val="18"/>
                <w:szCs w:val="18"/>
              </w:rPr>
              <w:t>3.094</w:t>
            </w:r>
          </w:p>
        </w:tc>
      </w:tr>
      <w:tr w:rsidR="00B60676" w14:paraId="48FC58F1" w14:textId="77777777" w:rsidTr="00915292">
        <w:trPr>
          <w:trHeight w:val="263"/>
        </w:trPr>
        <w:tc>
          <w:tcPr>
            <w:tcW w:w="2127" w:type="dxa"/>
            <w:vMerge/>
            <w:tcBorders>
              <w:top w:val="nil"/>
              <w:left w:val="nil"/>
            </w:tcBorders>
            <w:shd w:val="clear" w:color="auto" w:fill="F69358"/>
            <w:vAlign w:val="center"/>
          </w:tcPr>
          <w:p w14:paraId="6584EB96" w14:textId="77777777" w:rsidR="00B60676" w:rsidRDefault="00B60676" w:rsidP="00B60676">
            <w:pPr>
              <w:rPr>
                <w:sz w:val="2"/>
                <w:szCs w:val="2"/>
              </w:rPr>
            </w:pPr>
          </w:p>
        </w:tc>
        <w:tc>
          <w:tcPr>
            <w:tcW w:w="3969" w:type="dxa"/>
            <w:shd w:val="clear" w:color="auto" w:fill="FFF7F1"/>
            <w:vAlign w:val="center"/>
          </w:tcPr>
          <w:p w14:paraId="374EBAD3" w14:textId="77777777" w:rsidR="00B60676" w:rsidRDefault="00B60676" w:rsidP="00B60676">
            <w:pPr>
              <w:pStyle w:val="TableParagraph"/>
              <w:ind w:left="170"/>
              <w:rPr>
                <w:rFonts w:ascii="Trebuchet MS"/>
                <w:sz w:val="16"/>
              </w:rPr>
            </w:pPr>
            <w:r>
              <w:rPr>
                <w:rFonts w:ascii="Trebuchet MS"/>
                <w:color w:val="231F20"/>
                <w:w w:val="105"/>
                <w:sz w:val="16"/>
              </w:rPr>
              <w:t>Learning</w:t>
            </w:r>
            <w:r>
              <w:rPr>
                <w:rFonts w:ascii="Trebuchet MS"/>
                <w:color w:val="231F20"/>
                <w:spacing w:val="-9"/>
                <w:w w:val="105"/>
                <w:sz w:val="16"/>
              </w:rPr>
              <w:t xml:space="preserve"> </w:t>
            </w:r>
            <w:r>
              <w:rPr>
                <w:rFonts w:ascii="Trebuchet MS"/>
                <w:color w:val="231F20"/>
                <w:w w:val="105"/>
                <w:sz w:val="16"/>
              </w:rPr>
              <w:t>and</w:t>
            </w:r>
            <w:r>
              <w:rPr>
                <w:rFonts w:ascii="Trebuchet MS"/>
                <w:color w:val="231F20"/>
                <w:spacing w:val="-9"/>
                <w:w w:val="105"/>
                <w:sz w:val="16"/>
              </w:rPr>
              <w:t xml:space="preserve"> </w:t>
            </w:r>
            <w:r>
              <w:rPr>
                <w:rFonts w:ascii="Trebuchet MS"/>
                <w:color w:val="231F20"/>
                <w:w w:val="105"/>
                <w:sz w:val="16"/>
              </w:rPr>
              <w:t>development</w:t>
            </w:r>
            <w:r>
              <w:rPr>
                <w:rFonts w:ascii="Trebuchet MS"/>
                <w:color w:val="231F20"/>
                <w:spacing w:val="-9"/>
                <w:w w:val="105"/>
                <w:sz w:val="16"/>
              </w:rPr>
              <w:t xml:space="preserve"> </w:t>
            </w:r>
            <w:r>
              <w:rPr>
                <w:rFonts w:ascii="Trebuchet MS"/>
                <w:color w:val="231F20"/>
                <w:w w:val="105"/>
                <w:sz w:val="16"/>
              </w:rPr>
              <w:t>courses</w:t>
            </w:r>
            <w:r>
              <w:rPr>
                <w:rFonts w:ascii="Trebuchet MS"/>
                <w:color w:val="231F20"/>
                <w:spacing w:val="-9"/>
                <w:w w:val="105"/>
                <w:sz w:val="16"/>
              </w:rPr>
              <w:t xml:space="preserve"> </w:t>
            </w:r>
            <w:r>
              <w:rPr>
                <w:rFonts w:ascii="Trebuchet MS"/>
                <w:color w:val="231F20"/>
                <w:w w:val="105"/>
                <w:sz w:val="16"/>
              </w:rPr>
              <w:t>per</w:t>
            </w:r>
            <w:r>
              <w:rPr>
                <w:rFonts w:ascii="Trebuchet MS"/>
                <w:color w:val="231F20"/>
                <w:spacing w:val="-9"/>
                <w:w w:val="105"/>
                <w:sz w:val="16"/>
              </w:rPr>
              <w:t xml:space="preserve"> </w:t>
            </w:r>
            <w:r>
              <w:rPr>
                <w:rFonts w:ascii="Trebuchet MS"/>
                <w:color w:val="231F20"/>
                <w:w w:val="105"/>
                <w:sz w:val="16"/>
              </w:rPr>
              <w:t>staff</w:t>
            </w:r>
            <w:r>
              <w:rPr>
                <w:rFonts w:ascii="Trebuchet MS"/>
                <w:color w:val="231F20"/>
                <w:spacing w:val="-9"/>
                <w:w w:val="105"/>
                <w:sz w:val="16"/>
              </w:rPr>
              <w:t xml:space="preserve"> </w:t>
            </w:r>
            <w:r>
              <w:rPr>
                <w:rFonts w:ascii="Trebuchet MS"/>
                <w:color w:val="231F20"/>
                <w:spacing w:val="-2"/>
                <w:w w:val="105"/>
                <w:sz w:val="16"/>
              </w:rPr>
              <w:t>member</w:t>
            </w:r>
          </w:p>
        </w:tc>
        <w:tc>
          <w:tcPr>
            <w:tcW w:w="1417" w:type="dxa"/>
            <w:shd w:val="clear" w:color="auto" w:fill="FFF7F1"/>
            <w:vAlign w:val="center"/>
          </w:tcPr>
          <w:p w14:paraId="6262089E" w14:textId="77777777" w:rsidR="00B60676" w:rsidRPr="00487D35" w:rsidRDefault="00B60676" w:rsidP="000D7019">
            <w:pPr>
              <w:pStyle w:val="TableParagraph"/>
              <w:ind w:right="90"/>
              <w:jc w:val="right"/>
              <w:rPr>
                <w:sz w:val="18"/>
                <w:szCs w:val="18"/>
              </w:rPr>
            </w:pPr>
            <w:r w:rsidRPr="00487D35">
              <w:rPr>
                <w:color w:val="231F20"/>
                <w:sz w:val="18"/>
                <w:szCs w:val="18"/>
              </w:rPr>
              <w:t xml:space="preserve">2.78 </w:t>
            </w:r>
            <w:r w:rsidRPr="00487D35">
              <w:rPr>
                <w:color w:val="231F20"/>
                <w:spacing w:val="-2"/>
                <w:sz w:val="18"/>
                <w:szCs w:val="18"/>
              </w:rPr>
              <w:t>(average)</w:t>
            </w:r>
          </w:p>
        </w:tc>
        <w:tc>
          <w:tcPr>
            <w:tcW w:w="1134" w:type="dxa"/>
            <w:shd w:val="clear" w:color="auto" w:fill="FFF7F1"/>
            <w:vAlign w:val="center"/>
          </w:tcPr>
          <w:p w14:paraId="65F178AD" w14:textId="77777777" w:rsidR="00B60676" w:rsidRPr="00487D35" w:rsidRDefault="00B60676" w:rsidP="000D7019">
            <w:pPr>
              <w:pStyle w:val="TableParagraph"/>
              <w:ind w:right="90"/>
              <w:jc w:val="right"/>
              <w:rPr>
                <w:color w:val="231F20"/>
                <w:sz w:val="18"/>
                <w:szCs w:val="18"/>
              </w:rPr>
            </w:pPr>
            <w:r w:rsidRPr="00487D35">
              <w:rPr>
                <w:color w:val="231F20"/>
                <w:sz w:val="18"/>
                <w:szCs w:val="18"/>
              </w:rPr>
              <w:t>2</w:t>
            </w:r>
          </w:p>
        </w:tc>
        <w:tc>
          <w:tcPr>
            <w:tcW w:w="1418" w:type="dxa"/>
            <w:shd w:val="clear" w:color="auto" w:fill="FFF7F1"/>
            <w:vAlign w:val="center"/>
          </w:tcPr>
          <w:p w14:paraId="7BAF7889" w14:textId="77777777" w:rsidR="00B60676" w:rsidRPr="00487D35" w:rsidRDefault="00B60676" w:rsidP="000D7019">
            <w:pPr>
              <w:pStyle w:val="TableParagraph"/>
              <w:ind w:right="90"/>
              <w:jc w:val="right"/>
              <w:rPr>
                <w:color w:val="231F20"/>
                <w:sz w:val="18"/>
                <w:szCs w:val="18"/>
              </w:rPr>
            </w:pPr>
            <w:r w:rsidRPr="00487D35">
              <w:rPr>
                <w:color w:val="231F20"/>
                <w:sz w:val="18"/>
                <w:szCs w:val="18"/>
              </w:rPr>
              <w:t>2</w:t>
            </w:r>
          </w:p>
        </w:tc>
        <w:tc>
          <w:tcPr>
            <w:tcW w:w="1275" w:type="dxa"/>
            <w:shd w:val="clear" w:color="auto" w:fill="FFF7F1"/>
            <w:vAlign w:val="center"/>
          </w:tcPr>
          <w:p w14:paraId="15B00AFF" w14:textId="77777777" w:rsidR="00B60676" w:rsidRPr="00487D35" w:rsidRDefault="00B60676" w:rsidP="000D7019">
            <w:pPr>
              <w:pStyle w:val="TableParagraph"/>
              <w:ind w:right="90"/>
              <w:jc w:val="right"/>
              <w:rPr>
                <w:color w:val="231F20"/>
                <w:sz w:val="18"/>
                <w:szCs w:val="18"/>
              </w:rPr>
            </w:pPr>
            <w:r w:rsidRPr="00487D35">
              <w:rPr>
                <w:color w:val="231F20"/>
                <w:sz w:val="18"/>
                <w:szCs w:val="18"/>
              </w:rPr>
              <w:t>3</w:t>
            </w:r>
          </w:p>
        </w:tc>
        <w:tc>
          <w:tcPr>
            <w:tcW w:w="1276" w:type="dxa"/>
            <w:shd w:val="clear" w:color="auto" w:fill="FFF7F1"/>
            <w:vAlign w:val="center"/>
          </w:tcPr>
          <w:p w14:paraId="1DA2896B" w14:textId="77777777" w:rsidR="00B60676" w:rsidRPr="00487D35" w:rsidRDefault="00B60676" w:rsidP="000D7019">
            <w:pPr>
              <w:pStyle w:val="TableParagraph"/>
              <w:ind w:right="90"/>
              <w:jc w:val="right"/>
              <w:rPr>
                <w:color w:val="231F20"/>
                <w:sz w:val="18"/>
                <w:szCs w:val="18"/>
              </w:rPr>
            </w:pPr>
            <w:r w:rsidRPr="00487D35">
              <w:rPr>
                <w:color w:val="231F20"/>
                <w:sz w:val="18"/>
                <w:szCs w:val="18"/>
              </w:rPr>
              <w:t>2.6</w:t>
            </w:r>
          </w:p>
        </w:tc>
        <w:tc>
          <w:tcPr>
            <w:tcW w:w="1276" w:type="dxa"/>
            <w:shd w:val="clear" w:color="auto" w:fill="FFF7F1"/>
            <w:vAlign w:val="center"/>
          </w:tcPr>
          <w:p w14:paraId="7F7E8ADC" w14:textId="77777777" w:rsidR="00B60676" w:rsidRPr="00487D35" w:rsidRDefault="00B60676" w:rsidP="000D7019">
            <w:pPr>
              <w:pStyle w:val="TableParagraph"/>
              <w:ind w:right="90"/>
              <w:jc w:val="right"/>
              <w:rPr>
                <w:color w:val="231F20"/>
                <w:sz w:val="18"/>
                <w:szCs w:val="18"/>
              </w:rPr>
            </w:pPr>
            <w:r w:rsidRPr="00487D35">
              <w:rPr>
                <w:color w:val="231F20"/>
                <w:sz w:val="18"/>
                <w:szCs w:val="18"/>
              </w:rPr>
              <w:t>4</w:t>
            </w:r>
          </w:p>
        </w:tc>
        <w:tc>
          <w:tcPr>
            <w:tcW w:w="1276" w:type="dxa"/>
            <w:shd w:val="clear" w:color="auto" w:fill="FFF7F1"/>
            <w:vAlign w:val="center"/>
          </w:tcPr>
          <w:p w14:paraId="34A21495" w14:textId="77777777" w:rsidR="00B60676" w:rsidRPr="00487D35" w:rsidRDefault="00B60676" w:rsidP="000D7019">
            <w:pPr>
              <w:pStyle w:val="TableParagraph"/>
              <w:ind w:right="90"/>
              <w:jc w:val="right"/>
              <w:rPr>
                <w:color w:val="231F20"/>
                <w:sz w:val="18"/>
                <w:szCs w:val="18"/>
              </w:rPr>
            </w:pPr>
            <w:r w:rsidRPr="00487D35">
              <w:rPr>
                <w:color w:val="231F20"/>
                <w:sz w:val="18"/>
                <w:szCs w:val="18"/>
              </w:rPr>
              <w:t>2.13</w:t>
            </w:r>
          </w:p>
        </w:tc>
      </w:tr>
    </w:tbl>
    <w:p w14:paraId="5786A480" w14:textId="77777777" w:rsidR="00A45EAB" w:rsidRDefault="00A45EAB" w:rsidP="00B60676">
      <w:pPr>
        <w:jc w:val="both"/>
        <w:sectPr w:rsidR="00A45EAB" w:rsidSect="001903F2">
          <w:pgSz w:w="16838" w:h="11906" w:orient="landscape"/>
          <w:pgMar w:top="1440" w:right="1440" w:bottom="1440" w:left="1440" w:header="708" w:footer="708" w:gutter="0"/>
          <w:cols w:space="708"/>
          <w:docGrid w:linePitch="360"/>
        </w:sectPr>
      </w:pPr>
    </w:p>
    <w:p w14:paraId="29F2ACDF" w14:textId="0056E433" w:rsidR="00A45EAB" w:rsidRPr="00121548" w:rsidRDefault="00A45EAB" w:rsidP="00121548">
      <w:pPr>
        <w:pStyle w:val="Heading2"/>
      </w:pPr>
      <w:bookmarkStart w:id="172" w:name="_Toc199244587"/>
      <w:r w:rsidRPr="00121548">
        <w:lastRenderedPageBreak/>
        <w:t xml:space="preserve">Appendix </w:t>
      </w:r>
      <w:r w:rsidR="003B3846">
        <w:t>5</w:t>
      </w:r>
      <w:r w:rsidR="007C7CE4" w:rsidRPr="00121548">
        <w:t xml:space="preserve">: </w:t>
      </w:r>
      <w:r w:rsidRPr="00121548">
        <w:t>Senior Management Team</w:t>
      </w:r>
      <w:r w:rsidR="00871415" w:rsidRPr="00121548">
        <w:t xml:space="preserve"> 2024</w:t>
      </w:r>
      <w:bookmarkEnd w:id="172"/>
    </w:p>
    <w:p w14:paraId="5A0210EB" w14:textId="77777777" w:rsidR="00487013" w:rsidRDefault="00487013" w:rsidP="00EB3D7E"/>
    <w:p w14:paraId="51FBBD74" w14:textId="48C8CA34" w:rsidR="00A45EAB" w:rsidRPr="00A45EAB" w:rsidRDefault="00A45EAB" w:rsidP="00EB3D7E">
      <w:r w:rsidRPr="00A45EAB">
        <w:t>Chief Executive</w:t>
      </w:r>
      <w:r w:rsidR="00EB3D7E">
        <w:t xml:space="preserve"> </w:t>
      </w:r>
      <w:r w:rsidR="00EA2403">
        <w:t>(appointed March 2024)</w:t>
      </w:r>
      <w:r w:rsidR="001600B1">
        <w:tab/>
      </w:r>
      <w:r w:rsidR="001600B1">
        <w:tab/>
      </w:r>
      <w:r w:rsidR="001600B1">
        <w:tab/>
      </w:r>
      <w:r w:rsidR="001600B1">
        <w:tab/>
      </w:r>
      <w:r w:rsidRPr="00A45EAB">
        <w:t>Colm Ward</w:t>
      </w:r>
    </w:p>
    <w:p w14:paraId="419FFBE8" w14:textId="021B4B06" w:rsidR="00A45EAB" w:rsidRPr="00A45EAB" w:rsidRDefault="00A45EAB" w:rsidP="00EB3D7E">
      <w:r w:rsidRPr="00A45EAB">
        <w:t>Director of Corporate Performance and Change Management</w:t>
      </w:r>
      <w:r w:rsidR="001600B1">
        <w:tab/>
      </w:r>
      <w:r w:rsidRPr="00A45EAB">
        <w:t>Lorna Maxwell</w:t>
      </w:r>
    </w:p>
    <w:p w14:paraId="318FDB48" w14:textId="0431A63E" w:rsidR="00A45EAB" w:rsidRPr="00A45EAB" w:rsidRDefault="00A45EAB" w:rsidP="00EB3D7E">
      <w:r w:rsidRPr="00A45EAB">
        <w:t>Director of Economic, Enterprise and Tourism Development</w:t>
      </w:r>
      <w:r w:rsidR="001600B1">
        <w:tab/>
      </w:r>
      <w:r w:rsidRPr="00A45EAB">
        <w:t>Jason Frehill</w:t>
      </w:r>
    </w:p>
    <w:p w14:paraId="76DC377D" w14:textId="254EB73A" w:rsidR="00A45EAB" w:rsidRPr="00A45EAB" w:rsidRDefault="00A45EAB" w:rsidP="00EB3D7E">
      <w:r w:rsidRPr="00A45EAB">
        <w:t>Director of Environment, Water and Climate Change</w:t>
      </w:r>
      <w:r w:rsidR="001600B1">
        <w:tab/>
      </w:r>
      <w:r w:rsidR="001600B1">
        <w:tab/>
      </w:r>
      <w:r w:rsidRPr="00A45EAB">
        <w:t>Teresa Walsh</w:t>
      </w:r>
    </w:p>
    <w:p w14:paraId="7949AA8C" w14:textId="0BD89DA9" w:rsidR="00A45EAB" w:rsidRPr="00A45EAB" w:rsidRDefault="00871415" w:rsidP="00EB3D7E">
      <w:r>
        <w:t>A/</w:t>
      </w:r>
      <w:r w:rsidR="00A45EAB" w:rsidRPr="00A45EAB">
        <w:t>Director of Housing, Social and Community Development</w:t>
      </w:r>
      <w:r w:rsidR="001600B1">
        <w:tab/>
      </w:r>
      <w:r w:rsidR="00A45EAB" w:rsidRPr="00A45EAB">
        <w:t>Elaine Leech</w:t>
      </w:r>
    </w:p>
    <w:p w14:paraId="1A20ABAE" w14:textId="6956F4D9" w:rsidR="00A45EAB" w:rsidRPr="00A45EAB" w:rsidRDefault="00871415" w:rsidP="00EB3D7E">
      <w:r>
        <w:t>A/</w:t>
      </w:r>
      <w:r w:rsidR="00A45EAB" w:rsidRPr="00A45EAB">
        <w:t>Director of Land Use, Planning and Transportation</w:t>
      </w:r>
      <w:r w:rsidR="001600B1">
        <w:tab/>
      </w:r>
      <w:r w:rsidR="001600B1">
        <w:tab/>
      </w:r>
      <w:r>
        <w:t>Mick McAdam</w:t>
      </w:r>
    </w:p>
    <w:p w14:paraId="7266FE8F" w14:textId="058BCB2D" w:rsidR="00A45EAB" w:rsidRPr="00A45EAB" w:rsidRDefault="00A45EAB" w:rsidP="00EB3D7E">
      <w:r w:rsidRPr="00A45EAB">
        <w:t>Head of Finance</w:t>
      </w:r>
      <w:r w:rsidR="001600B1">
        <w:tab/>
      </w:r>
      <w:r w:rsidR="001600B1">
        <w:tab/>
      </w:r>
      <w:r w:rsidR="001600B1">
        <w:tab/>
      </w:r>
      <w:r w:rsidR="001600B1">
        <w:tab/>
      </w:r>
      <w:r w:rsidR="001600B1">
        <w:tab/>
      </w:r>
      <w:r w:rsidR="001600B1">
        <w:tab/>
      </w:r>
      <w:r w:rsidR="001600B1">
        <w:tab/>
      </w:r>
      <w:r w:rsidRPr="00A45EAB">
        <w:t>Ronan Fitzgerald</w:t>
      </w:r>
    </w:p>
    <w:p w14:paraId="7440B7AC" w14:textId="07FD3E2E" w:rsidR="00A45EAB" w:rsidRPr="00A45EAB" w:rsidRDefault="00A45EAB" w:rsidP="00EB3D7E">
      <w:r w:rsidRPr="00A45EAB">
        <w:t>Head of Information Systems</w:t>
      </w:r>
      <w:r w:rsidR="001600B1">
        <w:tab/>
      </w:r>
      <w:r w:rsidR="001600B1">
        <w:tab/>
      </w:r>
      <w:r w:rsidR="001600B1">
        <w:tab/>
      </w:r>
      <w:r w:rsidR="001600B1">
        <w:tab/>
      </w:r>
      <w:r w:rsidR="001600B1">
        <w:tab/>
      </w:r>
      <w:r w:rsidRPr="00A45EAB">
        <w:t>Tommy Kavanagh</w:t>
      </w:r>
    </w:p>
    <w:p w14:paraId="3BBE2C72" w14:textId="63D785CD" w:rsidR="00806671" w:rsidRDefault="00A45EAB" w:rsidP="00EB3D7E">
      <w:pPr>
        <w:jc w:val="both"/>
      </w:pPr>
      <w:r w:rsidRPr="00A45EAB">
        <w:t>Law Agent</w:t>
      </w:r>
      <w:r w:rsidR="001600B1">
        <w:tab/>
      </w:r>
      <w:r w:rsidR="001600B1">
        <w:tab/>
      </w:r>
      <w:r w:rsidR="001600B1">
        <w:tab/>
      </w:r>
      <w:r w:rsidR="001600B1">
        <w:tab/>
      </w:r>
      <w:r w:rsidR="001600B1">
        <w:tab/>
      </w:r>
      <w:r w:rsidR="001600B1">
        <w:tab/>
      </w:r>
      <w:r w:rsidR="001600B1">
        <w:tab/>
      </w:r>
      <w:r w:rsidR="001600B1">
        <w:tab/>
      </w:r>
      <w:r w:rsidRPr="00A45EAB">
        <w:t>Sean O’Shea</w:t>
      </w:r>
    </w:p>
    <w:p w14:paraId="2B7AF049" w14:textId="77777777" w:rsidR="00D36B0E" w:rsidRPr="00A45EAB" w:rsidRDefault="00D36B0E" w:rsidP="00D36B0E">
      <w:r w:rsidRPr="00A45EAB">
        <w:t>County Architect</w:t>
      </w:r>
      <w:r>
        <w:tab/>
      </w:r>
      <w:r>
        <w:tab/>
      </w:r>
      <w:r>
        <w:tab/>
      </w:r>
      <w:r>
        <w:tab/>
      </w:r>
      <w:r>
        <w:tab/>
      </w:r>
      <w:r>
        <w:tab/>
      </w:r>
      <w:r>
        <w:tab/>
      </w:r>
      <w:r w:rsidRPr="00A45EAB">
        <w:t>Cian Harte</w:t>
      </w:r>
    </w:p>
    <w:p w14:paraId="78B74FBD" w14:textId="77777777" w:rsidR="00D36B0E" w:rsidRPr="00806671" w:rsidRDefault="00D36B0E" w:rsidP="00EB3D7E">
      <w:pPr>
        <w:jc w:val="both"/>
      </w:pPr>
    </w:p>
    <w:sectPr w:rsidR="00D36B0E" w:rsidRPr="00806671" w:rsidSect="00A45E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7E1D1" w14:textId="77777777" w:rsidR="000854AA" w:rsidRDefault="000854AA" w:rsidP="001740C1">
      <w:pPr>
        <w:spacing w:after="0" w:line="240" w:lineRule="auto"/>
      </w:pPr>
      <w:r>
        <w:separator/>
      </w:r>
    </w:p>
  </w:endnote>
  <w:endnote w:type="continuationSeparator" w:id="0">
    <w:p w14:paraId="1C02ACB9" w14:textId="77777777" w:rsidR="000854AA" w:rsidRDefault="000854AA" w:rsidP="00174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Gotham">
    <w:panose1 w:val="00000000000000000000"/>
    <w:charset w:val="00"/>
    <w:family w:val="modern"/>
    <w:notTrueType/>
    <w:pitch w:val="variable"/>
    <w:sig w:usb0="A10002FF" w:usb1="4000005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9885457"/>
      <w:docPartObj>
        <w:docPartGallery w:val="Page Numbers (Bottom of Page)"/>
        <w:docPartUnique/>
      </w:docPartObj>
    </w:sdtPr>
    <w:sdtEndPr>
      <w:rPr>
        <w:noProof/>
      </w:rPr>
    </w:sdtEndPr>
    <w:sdtContent>
      <w:p w14:paraId="17600941" w14:textId="42A41884" w:rsidR="001740C1" w:rsidRDefault="001740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14CC40" w14:textId="77777777" w:rsidR="001740C1" w:rsidRDefault="00174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2F57C" w14:textId="77777777" w:rsidR="000854AA" w:rsidRDefault="000854AA" w:rsidP="001740C1">
      <w:pPr>
        <w:spacing w:after="0" w:line="240" w:lineRule="auto"/>
      </w:pPr>
      <w:r>
        <w:separator/>
      </w:r>
    </w:p>
  </w:footnote>
  <w:footnote w:type="continuationSeparator" w:id="0">
    <w:p w14:paraId="23EFE9EA" w14:textId="77777777" w:rsidR="000854AA" w:rsidRDefault="000854AA" w:rsidP="001740C1">
      <w:pPr>
        <w:spacing w:after="0" w:line="240" w:lineRule="auto"/>
      </w:pPr>
      <w:r>
        <w:continuationSeparator/>
      </w:r>
    </w:p>
  </w:footnote>
  <w:footnote w:id="1">
    <w:p w14:paraId="3DF3A67E" w14:textId="504BD13E" w:rsidR="00342D56" w:rsidRDefault="00342D56">
      <w:pPr>
        <w:pStyle w:val="FootnoteText"/>
      </w:pPr>
      <w:r>
        <w:rPr>
          <w:rStyle w:val="FootnoteReference"/>
        </w:rPr>
        <w:footnoteRef/>
      </w:r>
      <w:r>
        <w:t xml:space="preserve"> </w:t>
      </w:r>
      <w:r w:rsidRPr="00487D35">
        <w:rPr>
          <w:rFonts w:ascii="Calibri" w:hAnsi="Calibri" w:cs="Calibri"/>
          <w:sz w:val="18"/>
          <w:szCs w:val="18"/>
        </w:rPr>
        <w:t>2024 figure is an estimate based on SDCC 2030 glidepath</w:t>
      </w:r>
    </w:p>
  </w:footnote>
  <w:footnote w:id="2">
    <w:p w14:paraId="2B751F36" w14:textId="2D27097B" w:rsidR="00342D56" w:rsidRDefault="00342D56">
      <w:pPr>
        <w:pStyle w:val="FootnoteText"/>
      </w:pPr>
      <w:r>
        <w:rPr>
          <w:rStyle w:val="FootnoteReference"/>
        </w:rPr>
        <w:footnoteRef/>
      </w:r>
      <w:r>
        <w:t xml:space="preserve"> </w:t>
      </w:r>
      <w:r w:rsidRPr="00487D35">
        <w:rPr>
          <w:rFonts w:ascii="Calibri" w:hAnsi="Calibri" w:cs="Calibri"/>
          <w:color w:val="231F20"/>
          <w:spacing w:val="-2"/>
          <w:sz w:val="18"/>
          <w:szCs w:val="18"/>
        </w:rPr>
        <w:t>Final 2024 figure to be confirmed by SEAI in Q2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04C4"/>
    <w:multiLevelType w:val="hybridMultilevel"/>
    <w:tmpl w:val="08A61A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BF42AF"/>
    <w:multiLevelType w:val="hybridMultilevel"/>
    <w:tmpl w:val="D3389EDE"/>
    <w:lvl w:ilvl="0" w:tplc="0DB8C23E">
      <w:numFmt w:val="bullet"/>
      <w:lvlText w:val="-"/>
      <w:lvlJc w:val="left"/>
      <w:pPr>
        <w:ind w:left="1080" w:hanging="720"/>
      </w:pPr>
      <w:rPr>
        <w:rFonts w:ascii="Aptos" w:eastAsiaTheme="minorHAnsi" w:hAnsi="Apto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1212BA"/>
    <w:multiLevelType w:val="hybridMultilevel"/>
    <w:tmpl w:val="1B4C87E6"/>
    <w:lvl w:ilvl="0" w:tplc="22FC9A6C">
      <w:start w:val="1"/>
      <w:numFmt w:val="decimal"/>
      <w:lvlText w:val="%1."/>
      <w:lvlJc w:val="left"/>
      <w:pPr>
        <w:tabs>
          <w:tab w:val="num" w:pos="720"/>
        </w:tabs>
        <w:ind w:left="720" w:hanging="360"/>
      </w:pPr>
    </w:lvl>
    <w:lvl w:ilvl="1" w:tplc="B5448E14" w:tentative="1">
      <w:start w:val="1"/>
      <w:numFmt w:val="decimal"/>
      <w:lvlText w:val="%2."/>
      <w:lvlJc w:val="left"/>
      <w:pPr>
        <w:tabs>
          <w:tab w:val="num" w:pos="1440"/>
        </w:tabs>
        <w:ind w:left="1440" w:hanging="360"/>
      </w:pPr>
    </w:lvl>
    <w:lvl w:ilvl="2" w:tplc="38569A24" w:tentative="1">
      <w:start w:val="1"/>
      <w:numFmt w:val="decimal"/>
      <w:lvlText w:val="%3."/>
      <w:lvlJc w:val="left"/>
      <w:pPr>
        <w:tabs>
          <w:tab w:val="num" w:pos="2160"/>
        </w:tabs>
        <w:ind w:left="2160" w:hanging="360"/>
      </w:pPr>
    </w:lvl>
    <w:lvl w:ilvl="3" w:tplc="DAD60742" w:tentative="1">
      <w:start w:val="1"/>
      <w:numFmt w:val="decimal"/>
      <w:lvlText w:val="%4."/>
      <w:lvlJc w:val="left"/>
      <w:pPr>
        <w:tabs>
          <w:tab w:val="num" w:pos="2880"/>
        </w:tabs>
        <w:ind w:left="2880" w:hanging="360"/>
      </w:pPr>
    </w:lvl>
    <w:lvl w:ilvl="4" w:tplc="BB309004" w:tentative="1">
      <w:start w:val="1"/>
      <w:numFmt w:val="decimal"/>
      <w:lvlText w:val="%5."/>
      <w:lvlJc w:val="left"/>
      <w:pPr>
        <w:tabs>
          <w:tab w:val="num" w:pos="3600"/>
        </w:tabs>
        <w:ind w:left="3600" w:hanging="360"/>
      </w:pPr>
    </w:lvl>
    <w:lvl w:ilvl="5" w:tplc="59545E44" w:tentative="1">
      <w:start w:val="1"/>
      <w:numFmt w:val="decimal"/>
      <w:lvlText w:val="%6."/>
      <w:lvlJc w:val="left"/>
      <w:pPr>
        <w:tabs>
          <w:tab w:val="num" w:pos="4320"/>
        </w:tabs>
        <w:ind w:left="4320" w:hanging="360"/>
      </w:pPr>
    </w:lvl>
    <w:lvl w:ilvl="6" w:tplc="EDB28E06" w:tentative="1">
      <w:start w:val="1"/>
      <w:numFmt w:val="decimal"/>
      <w:lvlText w:val="%7."/>
      <w:lvlJc w:val="left"/>
      <w:pPr>
        <w:tabs>
          <w:tab w:val="num" w:pos="5040"/>
        </w:tabs>
        <w:ind w:left="5040" w:hanging="360"/>
      </w:pPr>
    </w:lvl>
    <w:lvl w:ilvl="7" w:tplc="01348C62" w:tentative="1">
      <w:start w:val="1"/>
      <w:numFmt w:val="decimal"/>
      <w:lvlText w:val="%8."/>
      <w:lvlJc w:val="left"/>
      <w:pPr>
        <w:tabs>
          <w:tab w:val="num" w:pos="5760"/>
        </w:tabs>
        <w:ind w:left="5760" w:hanging="360"/>
      </w:pPr>
    </w:lvl>
    <w:lvl w:ilvl="8" w:tplc="ED02FFD0" w:tentative="1">
      <w:start w:val="1"/>
      <w:numFmt w:val="decimal"/>
      <w:lvlText w:val="%9."/>
      <w:lvlJc w:val="left"/>
      <w:pPr>
        <w:tabs>
          <w:tab w:val="num" w:pos="6480"/>
        </w:tabs>
        <w:ind w:left="6480" w:hanging="360"/>
      </w:pPr>
    </w:lvl>
  </w:abstractNum>
  <w:abstractNum w:abstractNumId="3" w15:restartNumberingAfterBreak="0">
    <w:nsid w:val="1972589E"/>
    <w:multiLevelType w:val="hybridMultilevel"/>
    <w:tmpl w:val="D286F2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D6F573E"/>
    <w:multiLevelType w:val="hybridMultilevel"/>
    <w:tmpl w:val="75060954"/>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5" w15:restartNumberingAfterBreak="0">
    <w:nsid w:val="1E7F2F08"/>
    <w:multiLevelType w:val="hybridMultilevel"/>
    <w:tmpl w:val="083C3F7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F3B5A10"/>
    <w:multiLevelType w:val="hybridMultilevel"/>
    <w:tmpl w:val="63D41316"/>
    <w:lvl w:ilvl="0" w:tplc="0DB8C23E">
      <w:numFmt w:val="bullet"/>
      <w:lvlText w:val="-"/>
      <w:lvlJc w:val="left"/>
      <w:pPr>
        <w:ind w:left="1080" w:hanging="720"/>
      </w:pPr>
      <w:rPr>
        <w:rFonts w:ascii="Aptos" w:eastAsiaTheme="minorHAnsi" w:hAnsi="Apto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41F70F9"/>
    <w:multiLevelType w:val="hybridMultilevel"/>
    <w:tmpl w:val="8E061DE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9265E8A"/>
    <w:multiLevelType w:val="hybridMultilevel"/>
    <w:tmpl w:val="BB0C495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29B968AF"/>
    <w:multiLevelType w:val="hybridMultilevel"/>
    <w:tmpl w:val="84C88E1E"/>
    <w:lvl w:ilvl="0" w:tplc="0DB8C23E">
      <w:numFmt w:val="bullet"/>
      <w:lvlText w:val="-"/>
      <w:lvlJc w:val="left"/>
      <w:pPr>
        <w:ind w:left="1080" w:hanging="720"/>
      </w:pPr>
      <w:rPr>
        <w:rFonts w:ascii="Aptos" w:eastAsiaTheme="minorHAnsi" w:hAnsi="Apto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A472439"/>
    <w:multiLevelType w:val="hybridMultilevel"/>
    <w:tmpl w:val="9384B5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75A3723"/>
    <w:multiLevelType w:val="hybridMultilevel"/>
    <w:tmpl w:val="CDF239B2"/>
    <w:lvl w:ilvl="0" w:tplc="0DB8C23E">
      <w:numFmt w:val="bullet"/>
      <w:lvlText w:val="-"/>
      <w:lvlJc w:val="left"/>
      <w:pPr>
        <w:ind w:left="1080" w:hanging="720"/>
      </w:pPr>
      <w:rPr>
        <w:rFonts w:ascii="Aptos" w:eastAsiaTheme="minorHAnsi" w:hAnsi="Apto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E366901"/>
    <w:multiLevelType w:val="hybridMultilevel"/>
    <w:tmpl w:val="F67452F8"/>
    <w:lvl w:ilvl="0" w:tplc="58F881E0">
      <w:numFmt w:val="bullet"/>
      <w:lvlText w:val="-"/>
      <w:lvlJc w:val="left"/>
      <w:pPr>
        <w:ind w:left="408" w:hanging="360"/>
      </w:pPr>
      <w:rPr>
        <w:rFonts w:ascii="Aptos" w:eastAsiaTheme="minorHAnsi" w:hAnsi="Aptos" w:cstheme="minorBidi" w:hint="default"/>
      </w:rPr>
    </w:lvl>
    <w:lvl w:ilvl="1" w:tplc="083C0003">
      <w:start w:val="1"/>
      <w:numFmt w:val="bullet"/>
      <w:lvlText w:val="o"/>
      <w:lvlJc w:val="left"/>
      <w:pPr>
        <w:ind w:left="1128" w:hanging="360"/>
      </w:pPr>
      <w:rPr>
        <w:rFonts w:ascii="Courier New" w:hAnsi="Courier New" w:cs="Courier New" w:hint="default"/>
      </w:rPr>
    </w:lvl>
    <w:lvl w:ilvl="2" w:tplc="083C0005">
      <w:start w:val="1"/>
      <w:numFmt w:val="bullet"/>
      <w:lvlText w:val=""/>
      <w:lvlJc w:val="left"/>
      <w:pPr>
        <w:ind w:left="1848" w:hanging="360"/>
      </w:pPr>
      <w:rPr>
        <w:rFonts w:ascii="Wingdings" w:hAnsi="Wingdings" w:hint="default"/>
      </w:rPr>
    </w:lvl>
    <w:lvl w:ilvl="3" w:tplc="083C0001">
      <w:start w:val="1"/>
      <w:numFmt w:val="bullet"/>
      <w:lvlText w:val=""/>
      <w:lvlJc w:val="left"/>
      <w:pPr>
        <w:ind w:left="2568" w:hanging="360"/>
      </w:pPr>
      <w:rPr>
        <w:rFonts w:ascii="Symbol" w:hAnsi="Symbol" w:hint="default"/>
      </w:rPr>
    </w:lvl>
    <w:lvl w:ilvl="4" w:tplc="083C0003">
      <w:start w:val="1"/>
      <w:numFmt w:val="bullet"/>
      <w:lvlText w:val="o"/>
      <w:lvlJc w:val="left"/>
      <w:pPr>
        <w:ind w:left="3288" w:hanging="360"/>
      </w:pPr>
      <w:rPr>
        <w:rFonts w:ascii="Courier New" w:hAnsi="Courier New" w:cs="Courier New" w:hint="default"/>
      </w:rPr>
    </w:lvl>
    <w:lvl w:ilvl="5" w:tplc="083C0005">
      <w:start w:val="1"/>
      <w:numFmt w:val="bullet"/>
      <w:lvlText w:val=""/>
      <w:lvlJc w:val="left"/>
      <w:pPr>
        <w:ind w:left="4008" w:hanging="360"/>
      </w:pPr>
      <w:rPr>
        <w:rFonts w:ascii="Wingdings" w:hAnsi="Wingdings" w:hint="default"/>
      </w:rPr>
    </w:lvl>
    <w:lvl w:ilvl="6" w:tplc="083C0001">
      <w:start w:val="1"/>
      <w:numFmt w:val="bullet"/>
      <w:lvlText w:val=""/>
      <w:lvlJc w:val="left"/>
      <w:pPr>
        <w:ind w:left="4728" w:hanging="360"/>
      </w:pPr>
      <w:rPr>
        <w:rFonts w:ascii="Symbol" w:hAnsi="Symbol" w:hint="default"/>
      </w:rPr>
    </w:lvl>
    <w:lvl w:ilvl="7" w:tplc="083C0003">
      <w:start w:val="1"/>
      <w:numFmt w:val="bullet"/>
      <w:lvlText w:val="o"/>
      <w:lvlJc w:val="left"/>
      <w:pPr>
        <w:ind w:left="5448" w:hanging="360"/>
      </w:pPr>
      <w:rPr>
        <w:rFonts w:ascii="Courier New" w:hAnsi="Courier New" w:cs="Courier New" w:hint="default"/>
      </w:rPr>
    </w:lvl>
    <w:lvl w:ilvl="8" w:tplc="083C0005">
      <w:start w:val="1"/>
      <w:numFmt w:val="bullet"/>
      <w:lvlText w:val=""/>
      <w:lvlJc w:val="left"/>
      <w:pPr>
        <w:ind w:left="6168" w:hanging="360"/>
      </w:pPr>
      <w:rPr>
        <w:rFonts w:ascii="Wingdings" w:hAnsi="Wingdings" w:hint="default"/>
      </w:rPr>
    </w:lvl>
  </w:abstractNum>
  <w:abstractNum w:abstractNumId="13" w15:restartNumberingAfterBreak="0">
    <w:nsid w:val="3F7F3D6F"/>
    <w:multiLevelType w:val="hybridMultilevel"/>
    <w:tmpl w:val="FB626FC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28E7BF6"/>
    <w:multiLevelType w:val="hybridMultilevel"/>
    <w:tmpl w:val="9E78FC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6A01E15"/>
    <w:multiLevelType w:val="hybridMultilevel"/>
    <w:tmpl w:val="698C9518"/>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B280D74"/>
    <w:multiLevelType w:val="hybridMultilevel"/>
    <w:tmpl w:val="CD8CF3EE"/>
    <w:lvl w:ilvl="0" w:tplc="1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C620962"/>
    <w:multiLevelType w:val="hybridMultilevel"/>
    <w:tmpl w:val="6DE678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060441A"/>
    <w:multiLevelType w:val="hybridMultilevel"/>
    <w:tmpl w:val="A578864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C88066A"/>
    <w:multiLevelType w:val="hybridMultilevel"/>
    <w:tmpl w:val="73CCFD42"/>
    <w:lvl w:ilvl="0" w:tplc="0DB8C23E">
      <w:numFmt w:val="bullet"/>
      <w:lvlText w:val="-"/>
      <w:lvlJc w:val="left"/>
      <w:pPr>
        <w:ind w:left="1080" w:hanging="720"/>
      </w:pPr>
      <w:rPr>
        <w:rFonts w:ascii="Aptos" w:eastAsiaTheme="minorHAnsi" w:hAnsi="Apto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7200135"/>
    <w:multiLevelType w:val="multilevel"/>
    <w:tmpl w:val="F264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F82030"/>
    <w:multiLevelType w:val="hybridMultilevel"/>
    <w:tmpl w:val="F40C051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A186B14"/>
    <w:multiLevelType w:val="hybridMultilevel"/>
    <w:tmpl w:val="0E288E12"/>
    <w:lvl w:ilvl="0" w:tplc="18090001">
      <w:start w:val="1"/>
      <w:numFmt w:val="bullet"/>
      <w:lvlText w:val=""/>
      <w:lvlJc w:val="left"/>
      <w:pPr>
        <w:ind w:left="502" w:hanging="360"/>
      </w:pPr>
      <w:rPr>
        <w:rFonts w:ascii="Symbol" w:hAnsi="Symbol" w:hint="default"/>
      </w:rPr>
    </w:lvl>
    <w:lvl w:ilvl="1" w:tplc="18090003">
      <w:start w:val="1"/>
      <w:numFmt w:val="bullet"/>
      <w:lvlText w:val="o"/>
      <w:lvlJc w:val="left"/>
      <w:pPr>
        <w:ind w:left="1222" w:hanging="360"/>
      </w:pPr>
      <w:rPr>
        <w:rFonts w:ascii="Courier New" w:hAnsi="Courier New" w:cs="Courier New" w:hint="default"/>
      </w:rPr>
    </w:lvl>
    <w:lvl w:ilvl="2" w:tplc="18090005">
      <w:start w:val="1"/>
      <w:numFmt w:val="bullet"/>
      <w:lvlText w:val=""/>
      <w:lvlJc w:val="left"/>
      <w:pPr>
        <w:ind w:left="1942" w:hanging="360"/>
      </w:pPr>
      <w:rPr>
        <w:rFonts w:ascii="Wingdings" w:hAnsi="Wingdings" w:hint="default"/>
      </w:rPr>
    </w:lvl>
    <w:lvl w:ilvl="3" w:tplc="18090001">
      <w:start w:val="1"/>
      <w:numFmt w:val="bullet"/>
      <w:lvlText w:val=""/>
      <w:lvlJc w:val="left"/>
      <w:pPr>
        <w:ind w:left="2662" w:hanging="360"/>
      </w:pPr>
      <w:rPr>
        <w:rFonts w:ascii="Symbol" w:hAnsi="Symbol" w:hint="default"/>
      </w:rPr>
    </w:lvl>
    <w:lvl w:ilvl="4" w:tplc="18090003">
      <w:start w:val="1"/>
      <w:numFmt w:val="bullet"/>
      <w:lvlText w:val="o"/>
      <w:lvlJc w:val="left"/>
      <w:pPr>
        <w:ind w:left="3382" w:hanging="360"/>
      </w:pPr>
      <w:rPr>
        <w:rFonts w:ascii="Courier New" w:hAnsi="Courier New" w:cs="Courier New" w:hint="default"/>
      </w:rPr>
    </w:lvl>
    <w:lvl w:ilvl="5" w:tplc="18090005">
      <w:start w:val="1"/>
      <w:numFmt w:val="bullet"/>
      <w:lvlText w:val=""/>
      <w:lvlJc w:val="left"/>
      <w:pPr>
        <w:ind w:left="4102" w:hanging="360"/>
      </w:pPr>
      <w:rPr>
        <w:rFonts w:ascii="Wingdings" w:hAnsi="Wingdings" w:hint="default"/>
      </w:rPr>
    </w:lvl>
    <w:lvl w:ilvl="6" w:tplc="18090001">
      <w:start w:val="1"/>
      <w:numFmt w:val="bullet"/>
      <w:lvlText w:val=""/>
      <w:lvlJc w:val="left"/>
      <w:pPr>
        <w:ind w:left="4822" w:hanging="360"/>
      </w:pPr>
      <w:rPr>
        <w:rFonts w:ascii="Symbol" w:hAnsi="Symbol" w:hint="default"/>
      </w:rPr>
    </w:lvl>
    <w:lvl w:ilvl="7" w:tplc="18090003">
      <w:start w:val="1"/>
      <w:numFmt w:val="bullet"/>
      <w:lvlText w:val="o"/>
      <w:lvlJc w:val="left"/>
      <w:pPr>
        <w:ind w:left="5542" w:hanging="360"/>
      </w:pPr>
      <w:rPr>
        <w:rFonts w:ascii="Courier New" w:hAnsi="Courier New" w:cs="Courier New" w:hint="default"/>
      </w:rPr>
    </w:lvl>
    <w:lvl w:ilvl="8" w:tplc="18090005">
      <w:start w:val="1"/>
      <w:numFmt w:val="bullet"/>
      <w:lvlText w:val=""/>
      <w:lvlJc w:val="left"/>
      <w:pPr>
        <w:ind w:left="6262" w:hanging="360"/>
      </w:pPr>
      <w:rPr>
        <w:rFonts w:ascii="Wingdings" w:hAnsi="Wingdings" w:hint="default"/>
      </w:rPr>
    </w:lvl>
  </w:abstractNum>
  <w:abstractNum w:abstractNumId="23" w15:restartNumberingAfterBreak="0">
    <w:nsid w:val="6F904A09"/>
    <w:multiLevelType w:val="hybridMultilevel"/>
    <w:tmpl w:val="0E5077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721603D5"/>
    <w:multiLevelType w:val="hybridMultilevel"/>
    <w:tmpl w:val="4D94B7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AB70F1B"/>
    <w:multiLevelType w:val="hybridMultilevel"/>
    <w:tmpl w:val="6130CF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D951956"/>
    <w:multiLevelType w:val="multilevel"/>
    <w:tmpl w:val="5F54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3466731">
    <w:abstractNumId w:val="6"/>
  </w:num>
  <w:num w:numId="2" w16cid:durableId="2032030020">
    <w:abstractNumId w:val="19"/>
  </w:num>
  <w:num w:numId="3" w16cid:durableId="1578631508">
    <w:abstractNumId w:val="9"/>
  </w:num>
  <w:num w:numId="4" w16cid:durableId="655184914">
    <w:abstractNumId w:val="1"/>
  </w:num>
  <w:num w:numId="5" w16cid:durableId="1252272835">
    <w:abstractNumId w:val="11"/>
  </w:num>
  <w:num w:numId="6" w16cid:durableId="937560119">
    <w:abstractNumId w:val="22"/>
  </w:num>
  <w:num w:numId="7" w16cid:durableId="67462545">
    <w:abstractNumId w:val="12"/>
  </w:num>
  <w:num w:numId="8" w16cid:durableId="1842768723">
    <w:abstractNumId w:val="3"/>
  </w:num>
  <w:num w:numId="9" w16cid:durableId="545873519">
    <w:abstractNumId w:val="4"/>
  </w:num>
  <w:num w:numId="10" w16cid:durableId="1971786035">
    <w:abstractNumId w:val="8"/>
  </w:num>
  <w:num w:numId="11" w16cid:durableId="1304505726">
    <w:abstractNumId w:val="2"/>
  </w:num>
  <w:num w:numId="12" w16cid:durableId="396128773">
    <w:abstractNumId w:val="20"/>
  </w:num>
  <w:num w:numId="13" w16cid:durableId="1199852852">
    <w:abstractNumId w:val="26"/>
  </w:num>
  <w:num w:numId="14" w16cid:durableId="1117989896">
    <w:abstractNumId w:val="14"/>
  </w:num>
  <w:num w:numId="15" w16cid:durableId="1598520477">
    <w:abstractNumId w:val="23"/>
  </w:num>
  <w:num w:numId="16" w16cid:durableId="1368599474">
    <w:abstractNumId w:val="15"/>
  </w:num>
  <w:num w:numId="17" w16cid:durableId="1593124198">
    <w:abstractNumId w:val="16"/>
  </w:num>
  <w:num w:numId="18" w16cid:durableId="512114213">
    <w:abstractNumId w:val="17"/>
  </w:num>
  <w:num w:numId="19" w16cid:durableId="1889416975">
    <w:abstractNumId w:val="24"/>
  </w:num>
  <w:num w:numId="20" w16cid:durableId="1422485024">
    <w:abstractNumId w:val="7"/>
  </w:num>
  <w:num w:numId="21" w16cid:durableId="1954167732">
    <w:abstractNumId w:val="5"/>
  </w:num>
  <w:num w:numId="22" w16cid:durableId="504518971">
    <w:abstractNumId w:val="0"/>
  </w:num>
  <w:num w:numId="23" w16cid:durableId="1776904568">
    <w:abstractNumId w:val="21"/>
  </w:num>
  <w:num w:numId="24" w16cid:durableId="1645893730">
    <w:abstractNumId w:val="25"/>
  </w:num>
  <w:num w:numId="25" w16cid:durableId="1229077052">
    <w:abstractNumId w:val="18"/>
  </w:num>
  <w:num w:numId="26" w16cid:durableId="1458379007">
    <w:abstractNumId w:val="10"/>
  </w:num>
  <w:num w:numId="27" w16cid:durableId="50878826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0C1"/>
    <w:rsid w:val="00017B51"/>
    <w:rsid w:val="00047D8B"/>
    <w:rsid w:val="00051661"/>
    <w:rsid w:val="00060FB5"/>
    <w:rsid w:val="00077437"/>
    <w:rsid w:val="000854AA"/>
    <w:rsid w:val="00086F12"/>
    <w:rsid w:val="000A56C6"/>
    <w:rsid w:val="000A681D"/>
    <w:rsid w:val="000B4494"/>
    <w:rsid w:val="000D49C1"/>
    <w:rsid w:val="000D7019"/>
    <w:rsid w:val="000E42FD"/>
    <w:rsid w:val="000E66E7"/>
    <w:rsid w:val="000F0BE8"/>
    <w:rsid w:val="000F3A23"/>
    <w:rsid w:val="00101C7F"/>
    <w:rsid w:val="0011261A"/>
    <w:rsid w:val="00121548"/>
    <w:rsid w:val="00150C18"/>
    <w:rsid w:val="001600B1"/>
    <w:rsid w:val="001608A2"/>
    <w:rsid w:val="00172EB8"/>
    <w:rsid w:val="001740C1"/>
    <w:rsid w:val="001748A8"/>
    <w:rsid w:val="00181595"/>
    <w:rsid w:val="001873BC"/>
    <w:rsid w:val="001903F2"/>
    <w:rsid w:val="001926C9"/>
    <w:rsid w:val="001B0B3F"/>
    <w:rsid w:val="001B281A"/>
    <w:rsid w:val="001C2162"/>
    <w:rsid w:val="001C36E2"/>
    <w:rsid w:val="0020222A"/>
    <w:rsid w:val="002100DD"/>
    <w:rsid w:val="0021325E"/>
    <w:rsid w:val="00214CB6"/>
    <w:rsid w:val="00215CB0"/>
    <w:rsid w:val="00226C2E"/>
    <w:rsid w:val="00255800"/>
    <w:rsid w:val="00261FF1"/>
    <w:rsid w:val="00273068"/>
    <w:rsid w:val="00276ED4"/>
    <w:rsid w:val="00281776"/>
    <w:rsid w:val="0028716E"/>
    <w:rsid w:val="002A3D64"/>
    <w:rsid w:val="002A44C9"/>
    <w:rsid w:val="002B13EE"/>
    <w:rsid w:val="002C6483"/>
    <w:rsid w:val="002D0AA2"/>
    <w:rsid w:val="002E642C"/>
    <w:rsid w:val="003103D3"/>
    <w:rsid w:val="00311449"/>
    <w:rsid w:val="00334496"/>
    <w:rsid w:val="0033566A"/>
    <w:rsid w:val="00342D56"/>
    <w:rsid w:val="003432D7"/>
    <w:rsid w:val="003464C8"/>
    <w:rsid w:val="0037035F"/>
    <w:rsid w:val="0038049D"/>
    <w:rsid w:val="00384B28"/>
    <w:rsid w:val="003A3352"/>
    <w:rsid w:val="003B1180"/>
    <w:rsid w:val="003B3460"/>
    <w:rsid w:val="003B3846"/>
    <w:rsid w:val="003D0E54"/>
    <w:rsid w:val="003E00EF"/>
    <w:rsid w:val="003E63E3"/>
    <w:rsid w:val="004079C1"/>
    <w:rsid w:val="00411E2E"/>
    <w:rsid w:val="00412351"/>
    <w:rsid w:val="00413328"/>
    <w:rsid w:val="004335B7"/>
    <w:rsid w:val="0046572E"/>
    <w:rsid w:val="00487013"/>
    <w:rsid w:val="00487D35"/>
    <w:rsid w:val="00496976"/>
    <w:rsid w:val="004A2AF0"/>
    <w:rsid w:val="004A40B1"/>
    <w:rsid w:val="004A6D19"/>
    <w:rsid w:val="004B4265"/>
    <w:rsid w:val="004D72F4"/>
    <w:rsid w:val="0050220C"/>
    <w:rsid w:val="005110FB"/>
    <w:rsid w:val="00527648"/>
    <w:rsid w:val="0055068B"/>
    <w:rsid w:val="00574C4D"/>
    <w:rsid w:val="00577DBA"/>
    <w:rsid w:val="00593958"/>
    <w:rsid w:val="005A1838"/>
    <w:rsid w:val="005A4576"/>
    <w:rsid w:val="005B296A"/>
    <w:rsid w:val="005B432B"/>
    <w:rsid w:val="005C14AD"/>
    <w:rsid w:val="005C7678"/>
    <w:rsid w:val="005E0E4C"/>
    <w:rsid w:val="005E51A5"/>
    <w:rsid w:val="006114AB"/>
    <w:rsid w:val="00622DB9"/>
    <w:rsid w:val="0062605A"/>
    <w:rsid w:val="0065632A"/>
    <w:rsid w:val="00666B68"/>
    <w:rsid w:val="006B1FA9"/>
    <w:rsid w:val="006C5EF9"/>
    <w:rsid w:val="006C6B83"/>
    <w:rsid w:val="006D4A29"/>
    <w:rsid w:val="006E7E48"/>
    <w:rsid w:val="00701433"/>
    <w:rsid w:val="00707C7F"/>
    <w:rsid w:val="00717598"/>
    <w:rsid w:val="007715D2"/>
    <w:rsid w:val="00773577"/>
    <w:rsid w:val="007C3964"/>
    <w:rsid w:val="007C5F31"/>
    <w:rsid w:val="007C7CE4"/>
    <w:rsid w:val="007F544A"/>
    <w:rsid w:val="00806671"/>
    <w:rsid w:val="00814A35"/>
    <w:rsid w:val="008248DA"/>
    <w:rsid w:val="00830D96"/>
    <w:rsid w:val="00833FEA"/>
    <w:rsid w:val="00841829"/>
    <w:rsid w:val="008654C7"/>
    <w:rsid w:val="00871415"/>
    <w:rsid w:val="008B74E6"/>
    <w:rsid w:val="008C283A"/>
    <w:rsid w:val="008C5CAA"/>
    <w:rsid w:val="008D47A8"/>
    <w:rsid w:val="008E71F8"/>
    <w:rsid w:val="009073D2"/>
    <w:rsid w:val="00915292"/>
    <w:rsid w:val="009167C6"/>
    <w:rsid w:val="00936D63"/>
    <w:rsid w:val="00941813"/>
    <w:rsid w:val="009736E4"/>
    <w:rsid w:val="00977269"/>
    <w:rsid w:val="0097747F"/>
    <w:rsid w:val="00983077"/>
    <w:rsid w:val="009834DC"/>
    <w:rsid w:val="00986C66"/>
    <w:rsid w:val="009A59B2"/>
    <w:rsid w:val="009B3537"/>
    <w:rsid w:val="009C0DF3"/>
    <w:rsid w:val="009C4CE2"/>
    <w:rsid w:val="009E27AF"/>
    <w:rsid w:val="00A05C00"/>
    <w:rsid w:val="00A36287"/>
    <w:rsid w:val="00A37D66"/>
    <w:rsid w:val="00A45EAB"/>
    <w:rsid w:val="00A711B4"/>
    <w:rsid w:val="00A757BF"/>
    <w:rsid w:val="00A76F6A"/>
    <w:rsid w:val="00A77A15"/>
    <w:rsid w:val="00A95279"/>
    <w:rsid w:val="00AA0156"/>
    <w:rsid w:val="00AB67D9"/>
    <w:rsid w:val="00AD5F4F"/>
    <w:rsid w:val="00B048EE"/>
    <w:rsid w:val="00B05FD3"/>
    <w:rsid w:val="00B12A0F"/>
    <w:rsid w:val="00B2603E"/>
    <w:rsid w:val="00B31D95"/>
    <w:rsid w:val="00B32157"/>
    <w:rsid w:val="00B417B6"/>
    <w:rsid w:val="00B46922"/>
    <w:rsid w:val="00B60676"/>
    <w:rsid w:val="00B623CC"/>
    <w:rsid w:val="00B63FC9"/>
    <w:rsid w:val="00B64F8C"/>
    <w:rsid w:val="00BA0645"/>
    <w:rsid w:val="00BA5AA8"/>
    <w:rsid w:val="00BC3897"/>
    <w:rsid w:val="00BE262C"/>
    <w:rsid w:val="00BE4EDC"/>
    <w:rsid w:val="00BF1621"/>
    <w:rsid w:val="00BF7729"/>
    <w:rsid w:val="00C05018"/>
    <w:rsid w:val="00C222D9"/>
    <w:rsid w:val="00C24669"/>
    <w:rsid w:val="00C25579"/>
    <w:rsid w:val="00C310F5"/>
    <w:rsid w:val="00C61A23"/>
    <w:rsid w:val="00C70A95"/>
    <w:rsid w:val="00C81681"/>
    <w:rsid w:val="00CB0432"/>
    <w:rsid w:val="00CB1656"/>
    <w:rsid w:val="00CB3F77"/>
    <w:rsid w:val="00CE0520"/>
    <w:rsid w:val="00CF20E0"/>
    <w:rsid w:val="00D277CE"/>
    <w:rsid w:val="00D36B0E"/>
    <w:rsid w:val="00D409F8"/>
    <w:rsid w:val="00D756D4"/>
    <w:rsid w:val="00D83EFC"/>
    <w:rsid w:val="00D84AB5"/>
    <w:rsid w:val="00D974FC"/>
    <w:rsid w:val="00DB4E00"/>
    <w:rsid w:val="00DC05B4"/>
    <w:rsid w:val="00DD7A30"/>
    <w:rsid w:val="00DE35BF"/>
    <w:rsid w:val="00DF7B7E"/>
    <w:rsid w:val="00E04DA3"/>
    <w:rsid w:val="00E053B7"/>
    <w:rsid w:val="00E20215"/>
    <w:rsid w:val="00E2065C"/>
    <w:rsid w:val="00E24F07"/>
    <w:rsid w:val="00E660BC"/>
    <w:rsid w:val="00E91EF8"/>
    <w:rsid w:val="00EA2403"/>
    <w:rsid w:val="00EB3D7E"/>
    <w:rsid w:val="00EC44E0"/>
    <w:rsid w:val="00ED1ADC"/>
    <w:rsid w:val="00EE32F9"/>
    <w:rsid w:val="00EE72B6"/>
    <w:rsid w:val="00EF0400"/>
    <w:rsid w:val="00EF31BB"/>
    <w:rsid w:val="00F05867"/>
    <w:rsid w:val="00F30164"/>
    <w:rsid w:val="00F3236E"/>
    <w:rsid w:val="00F416F3"/>
    <w:rsid w:val="00F42537"/>
    <w:rsid w:val="00F4313D"/>
    <w:rsid w:val="00F44EB5"/>
    <w:rsid w:val="00F56B7F"/>
    <w:rsid w:val="00F64238"/>
    <w:rsid w:val="00FE4625"/>
    <w:rsid w:val="00FE7E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8EBAD"/>
  <w15:chartTrackingRefBased/>
  <w15:docId w15:val="{F0DB88C5-8D0D-4752-AFA9-EB7072D6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3D3"/>
  </w:style>
  <w:style w:type="paragraph" w:styleId="Heading1">
    <w:name w:val="heading 1"/>
    <w:basedOn w:val="Normal"/>
    <w:next w:val="Normal"/>
    <w:link w:val="Heading1Char"/>
    <w:uiPriority w:val="9"/>
    <w:qFormat/>
    <w:rsid w:val="001740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740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740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40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40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40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40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40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40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0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740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740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40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40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40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40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40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40C1"/>
    <w:rPr>
      <w:rFonts w:eastAsiaTheme="majorEastAsia" w:cstheme="majorBidi"/>
      <w:color w:val="272727" w:themeColor="text1" w:themeTint="D8"/>
    </w:rPr>
  </w:style>
  <w:style w:type="paragraph" w:styleId="Title">
    <w:name w:val="Title"/>
    <w:basedOn w:val="Normal"/>
    <w:next w:val="Normal"/>
    <w:link w:val="TitleChar"/>
    <w:uiPriority w:val="10"/>
    <w:qFormat/>
    <w:rsid w:val="001740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0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40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40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40C1"/>
    <w:pPr>
      <w:spacing w:before="160"/>
      <w:jc w:val="center"/>
    </w:pPr>
    <w:rPr>
      <w:i/>
      <w:iCs/>
      <w:color w:val="404040" w:themeColor="text1" w:themeTint="BF"/>
    </w:rPr>
  </w:style>
  <w:style w:type="character" w:customStyle="1" w:styleId="QuoteChar">
    <w:name w:val="Quote Char"/>
    <w:basedOn w:val="DefaultParagraphFont"/>
    <w:link w:val="Quote"/>
    <w:uiPriority w:val="29"/>
    <w:rsid w:val="001740C1"/>
    <w:rPr>
      <w:i/>
      <w:iCs/>
      <w:color w:val="404040" w:themeColor="text1" w:themeTint="BF"/>
    </w:rPr>
  </w:style>
  <w:style w:type="paragraph" w:styleId="ListParagraph">
    <w:name w:val="List Paragraph"/>
    <w:basedOn w:val="Normal"/>
    <w:uiPriority w:val="34"/>
    <w:qFormat/>
    <w:rsid w:val="001740C1"/>
    <w:pPr>
      <w:ind w:left="720"/>
      <w:contextualSpacing/>
    </w:pPr>
  </w:style>
  <w:style w:type="character" w:styleId="IntenseEmphasis">
    <w:name w:val="Intense Emphasis"/>
    <w:basedOn w:val="DefaultParagraphFont"/>
    <w:uiPriority w:val="21"/>
    <w:qFormat/>
    <w:rsid w:val="001740C1"/>
    <w:rPr>
      <w:i/>
      <w:iCs/>
      <w:color w:val="0F4761" w:themeColor="accent1" w:themeShade="BF"/>
    </w:rPr>
  </w:style>
  <w:style w:type="paragraph" w:styleId="IntenseQuote">
    <w:name w:val="Intense Quote"/>
    <w:basedOn w:val="Normal"/>
    <w:next w:val="Normal"/>
    <w:link w:val="IntenseQuoteChar"/>
    <w:uiPriority w:val="30"/>
    <w:qFormat/>
    <w:rsid w:val="001740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40C1"/>
    <w:rPr>
      <w:i/>
      <w:iCs/>
      <w:color w:val="0F4761" w:themeColor="accent1" w:themeShade="BF"/>
    </w:rPr>
  </w:style>
  <w:style w:type="character" w:styleId="IntenseReference">
    <w:name w:val="Intense Reference"/>
    <w:basedOn w:val="DefaultParagraphFont"/>
    <w:uiPriority w:val="32"/>
    <w:qFormat/>
    <w:rsid w:val="001740C1"/>
    <w:rPr>
      <w:b/>
      <w:bCs/>
      <w:smallCaps/>
      <w:color w:val="0F4761" w:themeColor="accent1" w:themeShade="BF"/>
      <w:spacing w:val="5"/>
    </w:rPr>
  </w:style>
  <w:style w:type="paragraph" w:styleId="BodyText">
    <w:name w:val="Body Text"/>
    <w:basedOn w:val="Normal"/>
    <w:link w:val="BodyTextChar"/>
    <w:uiPriority w:val="1"/>
    <w:qFormat/>
    <w:rsid w:val="001740C1"/>
    <w:pPr>
      <w:widowControl w:val="0"/>
      <w:autoSpaceDE w:val="0"/>
      <w:autoSpaceDN w:val="0"/>
      <w:spacing w:after="0" w:line="240" w:lineRule="auto"/>
      <w:ind w:left="680"/>
    </w:pPr>
    <w:rPr>
      <w:rFonts w:ascii="Arial" w:eastAsia="Arial" w:hAnsi="Arial" w:cs="Arial"/>
      <w:kern w:val="0"/>
      <w:sz w:val="22"/>
      <w:szCs w:val="22"/>
      <w14:ligatures w14:val="none"/>
    </w:rPr>
  </w:style>
  <w:style w:type="character" w:customStyle="1" w:styleId="BodyTextChar">
    <w:name w:val="Body Text Char"/>
    <w:basedOn w:val="DefaultParagraphFont"/>
    <w:link w:val="BodyText"/>
    <w:uiPriority w:val="1"/>
    <w:rsid w:val="001740C1"/>
    <w:rPr>
      <w:rFonts w:ascii="Arial" w:eastAsia="Arial" w:hAnsi="Arial" w:cs="Arial"/>
      <w:kern w:val="0"/>
      <w:sz w:val="22"/>
      <w:szCs w:val="22"/>
      <w14:ligatures w14:val="none"/>
    </w:rPr>
  </w:style>
  <w:style w:type="paragraph" w:styleId="Header">
    <w:name w:val="header"/>
    <w:basedOn w:val="Normal"/>
    <w:link w:val="HeaderChar"/>
    <w:uiPriority w:val="99"/>
    <w:unhideWhenUsed/>
    <w:rsid w:val="001740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0C1"/>
  </w:style>
  <w:style w:type="paragraph" w:styleId="Footer">
    <w:name w:val="footer"/>
    <w:basedOn w:val="Normal"/>
    <w:link w:val="FooterChar"/>
    <w:uiPriority w:val="99"/>
    <w:unhideWhenUsed/>
    <w:rsid w:val="00174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0C1"/>
  </w:style>
  <w:style w:type="paragraph" w:styleId="TOCHeading">
    <w:name w:val="TOC Heading"/>
    <w:basedOn w:val="Heading1"/>
    <w:next w:val="Normal"/>
    <w:uiPriority w:val="39"/>
    <w:unhideWhenUsed/>
    <w:qFormat/>
    <w:rsid w:val="001740C1"/>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1740C1"/>
    <w:pPr>
      <w:spacing w:after="100"/>
    </w:pPr>
  </w:style>
  <w:style w:type="character" w:styleId="Hyperlink">
    <w:name w:val="Hyperlink"/>
    <w:basedOn w:val="DefaultParagraphFont"/>
    <w:uiPriority w:val="99"/>
    <w:unhideWhenUsed/>
    <w:rsid w:val="001740C1"/>
    <w:rPr>
      <w:color w:val="467886" w:themeColor="hyperlink"/>
      <w:u w:val="single"/>
    </w:rPr>
  </w:style>
  <w:style w:type="character" w:styleId="UnresolvedMention">
    <w:name w:val="Unresolved Mention"/>
    <w:basedOn w:val="DefaultParagraphFont"/>
    <w:uiPriority w:val="99"/>
    <w:semiHidden/>
    <w:unhideWhenUsed/>
    <w:rsid w:val="0033566A"/>
    <w:rPr>
      <w:color w:val="605E5C"/>
      <w:shd w:val="clear" w:color="auto" w:fill="E1DFDD"/>
    </w:rPr>
  </w:style>
  <w:style w:type="character" w:styleId="FollowedHyperlink">
    <w:name w:val="FollowedHyperlink"/>
    <w:basedOn w:val="DefaultParagraphFont"/>
    <w:uiPriority w:val="99"/>
    <w:semiHidden/>
    <w:unhideWhenUsed/>
    <w:rsid w:val="0033566A"/>
    <w:rPr>
      <w:color w:val="96607D" w:themeColor="followedHyperlink"/>
      <w:u w:val="single"/>
    </w:rPr>
  </w:style>
  <w:style w:type="paragraph" w:customStyle="1" w:styleId="msonormal0">
    <w:name w:val="msonormal"/>
    <w:basedOn w:val="Normal"/>
    <w:rsid w:val="0033566A"/>
    <w:pPr>
      <w:spacing w:before="100" w:beforeAutospacing="1" w:after="100" w:afterAutospacing="1" w:line="240" w:lineRule="auto"/>
    </w:pPr>
    <w:rPr>
      <w:rFonts w:ascii="Times New Roman" w:eastAsia="Times New Roman" w:hAnsi="Times New Roman" w:cs="Times New Roman"/>
      <w:kern w:val="0"/>
      <w:lang w:eastAsia="en-IE"/>
      <w14:ligatures w14:val="none"/>
    </w:rPr>
  </w:style>
  <w:style w:type="paragraph" w:customStyle="1" w:styleId="paragraph">
    <w:name w:val="paragraph"/>
    <w:basedOn w:val="Normal"/>
    <w:rsid w:val="0033566A"/>
    <w:pPr>
      <w:spacing w:before="100" w:beforeAutospacing="1" w:after="100" w:afterAutospacing="1" w:line="240" w:lineRule="auto"/>
    </w:pPr>
    <w:rPr>
      <w:rFonts w:ascii="Times New Roman" w:eastAsia="Times New Roman" w:hAnsi="Times New Roman" w:cs="Times New Roman"/>
      <w:kern w:val="0"/>
      <w:lang w:eastAsia="en-IE"/>
      <w14:ligatures w14:val="none"/>
    </w:rPr>
  </w:style>
  <w:style w:type="paragraph" w:customStyle="1" w:styleId="outlineelement">
    <w:name w:val="outlineelement"/>
    <w:basedOn w:val="Normal"/>
    <w:rsid w:val="0033566A"/>
    <w:pPr>
      <w:spacing w:before="100" w:beforeAutospacing="1" w:after="100" w:afterAutospacing="1" w:line="240" w:lineRule="auto"/>
    </w:pPr>
    <w:rPr>
      <w:rFonts w:ascii="Times New Roman" w:eastAsia="Times New Roman" w:hAnsi="Times New Roman" w:cs="Times New Roman"/>
      <w:kern w:val="0"/>
      <w:lang w:eastAsia="en-IE"/>
      <w14:ligatures w14:val="none"/>
    </w:rPr>
  </w:style>
  <w:style w:type="paragraph" w:customStyle="1" w:styleId="TableParagraph">
    <w:name w:val="Table Paragraph"/>
    <w:basedOn w:val="Normal"/>
    <w:uiPriority w:val="1"/>
    <w:qFormat/>
    <w:rsid w:val="0033566A"/>
    <w:pPr>
      <w:widowControl w:val="0"/>
      <w:autoSpaceDE w:val="0"/>
      <w:autoSpaceDN w:val="0"/>
      <w:spacing w:before="8" w:after="0" w:line="256" w:lineRule="exact"/>
    </w:pPr>
    <w:rPr>
      <w:rFonts w:ascii="Calibri" w:eastAsia="Calibri" w:hAnsi="Calibri" w:cs="Calibri"/>
      <w:kern w:val="0"/>
      <w:sz w:val="22"/>
      <w:szCs w:val="22"/>
      <w:lang w:val="en-US"/>
      <w14:ligatures w14:val="none"/>
    </w:rPr>
  </w:style>
  <w:style w:type="character" w:customStyle="1" w:styleId="textrun">
    <w:name w:val="textrun"/>
    <w:basedOn w:val="DefaultParagraphFont"/>
    <w:rsid w:val="0033566A"/>
  </w:style>
  <w:style w:type="character" w:customStyle="1" w:styleId="normaltextrun">
    <w:name w:val="normaltextrun"/>
    <w:basedOn w:val="DefaultParagraphFont"/>
    <w:rsid w:val="0033566A"/>
  </w:style>
  <w:style w:type="character" w:customStyle="1" w:styleId="eop">
    <w:name w:val="eop"/>
    <w:basedOn w:val="DefaultParagraphFont"/>
    <w:rsid w:val="0033566A"/>
  </w:style>
  <w:style w:type="paragraph" w:styleId="TOC3">
    <w:name w:val="toc 3"/>
    <w:basedOn w:val="Normal"/>
    <w:next w:val="Normal"/>
    <w:autoRedefine/>
    <w:uiPriority w:val="39"/>
    <w:unhideWhenUsed/>
    <w:rsid w:val="005B432B"/>
    <w:pPr>
      <w:spacing w:after="100"/>
      <w:ind w:left="480"/>
    </w:pPr>
  </w:style>
  <w:style w:type="paragraph" w:styleId="TOC2">
    <w:name w:val="toc 2"/>
    <w:basedOn w:val="Normal"/>
    <w:next w:val="Normal"/>
    <w:autoRedefine/>
    <w:uiPriority w:val="39"/>
    <w:unhideWhenUsed/>
    <w:rsid w:val="005B432B"/>
    <w:pPr>
      <w:spacing w:after="100"/>
      <w:ind w:left="240"/>
    </w:pPr>
  </w:style>
  <w:style w:type="table" w:styleId="TableGrid">
    <w:name w:val="Table Grid"/>
    <w:basedOn w:val="TableNormal"/>
    <w:uiPriority w:val="39"/>
    <w:rsid w:val="006C5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B60676"/>
    <w:pPr>
      <w:autoSpaceDE w:val="0"/>
      <w:autoSpaceDN w:val="0"/>
      <w:adjustRightInd w:val="0"/>
      <w:spacing w:after="0" w:line="288" w:lineRule="auto"/>
      <w:textAlignment w:val="center"/>
    </w:pPr>
    <w:rPr>
      <w:rFonts w:ascii="MinionPro-Regular" w:hAnsi="MinionPro-Regular" w:cs="MinionPro-Regular"/>
      <w:color w:val="000000"/>
      <w:kern w:val="0"/>
      <w:lang w:val="en-GB"/>
    </w:rPr>
  </w:style>
  <w:style w:type="character" w:customStyle="1" w:styleId="BoldSubheads">
    <w:name w:val="Bold Subheads"/>
    <w:uiPriority w:val="99"/>
    <w:rsid w:val="00B60676"/>
    <w:rPr>
      <w:rFonts w:ascii="Gotham" w:hAnsi="Gotham" w:cs="Gotham"/>
      <w:b/>
      <w:bCs/>
      <w:sz w:val="26"/>
      <w:szCs w:val="26"/>
    </w:rPr>
  </w:style>
  <w:style w:type="paragraph" w:styleId="CommentText">
    <w:name w:val="annotation text"/>
    <w:basedOn w:val="Normal"/>
    <w:link w:val="CommentTextChar"/>
    <w:uiPriority w:val="99"/>
    <w:unhideWhenUsed/>
    <w:rsid w:val="00A45EAB"/>
    <w:pPr>
      <w:spacing w:line="240" w:lineRule="auto"/>
    </w:pPr>
    <w:rPr>
      <w:sz w:val="20"/>
      <w:szCs w:val="20"/>
    </w:rPr>
  </w:style>
  <w:style w:type="character" w:customStyle="1" w:styleId="CommentTextChar">
    <w:name w:val="Comment Text Char"/>
    <w:basedOn w:val="DefaultParagraphFont"/>
    <w:link w:val="CommentText"/>
    <w:uiPriority w:val="99"/>
    <w:rsid w:val="00A45EAB"/>
    <w:rPr>
      <w:sz w:val="20"/>
      <w:szCs w:val="20"/>
    </w:rPr>
  </w:style>
  <w:style w:type="character" w:styleId="CommentReference">
    <w:name w:val="annotation reference"/>
    <w:basedOn w:val="DefaultParagraphFont"/>
    <w:uiPriority w:val="99"/>
    <w:semiHidden/>
    <w:unhideWhenUsed/>
    <w:rsid w:val="00A45EAB"/>
    <w:rPr>
      <w:sz w:val="16"/>
      <w:szCs w:val="16"/>
    </w:rPr>
  </w:style>
  <w:style w:type="paragraph" w:customStyle="1" w:styleId="xmsolistparagraph">
    <w:name w:val="x_msolistparagraph"/>
    <w:basedOn w:val="Normal"/>
    <w:rsid w:val="00871415"/>
    <w:pPr>
      <w:spacing w:after="0" w:line="240" w:lineRule="auto"/>
      <w:ind w:left="720"/>
    </w:pPr>
    <w:rPr>
      <w:rFonts w:ascii="Calibri" w:hAnsi="Calibri" w:cs="Calibri"/>
      <w:kern w:val="0"/>
      <w:sz w:val="22"/>
      <w:szCs w:val="22"/>
      <w:lang w:eastAsia="en-IE"/>
      <w14:ligatures w14:val="none"/>
    </w:rPr>
  </w:style>
  <w:style w:type="paragraph" w:styleId="Revision">
    <w:name w:val="Revision"/>
    <w:hidden/>
    <w:uiPriority w:val="99"/>
    <w:semiHidden/>
    <w:rsid w:val="00181595"/>
    <w:pPr>
      <w:spacing w:after="0" w:line="240" w:lineRule="auto"/>
    </w:pPr>
  </w:style>
  <w:style w:type="paragraph" w:styleId="CommentSubject">
    <w:name w:val="annotation subject"/>
    <w:basedOn w:val="CommentText"/>
    <w:next w:val="CommentText"/>
    <w:link w:val="CommentSubjectChar"/>
    <w:uiPriority w:val="99"/>
    <w:semiHidden/>
    <w:unhideWhenUsed/>
    <w:rsid w:val="001608A2"/>
    <w:rPr>
      <w:b/>
      <w:bCs/>
    </w:rPr>
  </w:style>
  <w:style w:type="character" w:customStyle="1" w:styleId="CommentSubjectChar">
    <w:name w:val="Comment Subject Char"/>
    <w:basedOn w:val="CommentTextChar"/>
    <w:link w:val="CommentSubject"/>
    <w:uiPriority w:val="99"/>
    <w:semiHidden/>
    <w:rsid w:val="001608A2"/>
    <w:rPr>
      <w:b/>
      <w:bCs/>
      <w:sz w:val="20"/>
      <w:szCs w:val="20"/>
    </w:rPr>
  </w:style>
  <w:style w:type="paragraph" w:styleId="TOC4">
    <w:name w:val="toc 4"/>
    <w:basedOn w:val="Normal"/>
    <w:next w:val="Normal"/>
    <w:autoRedefine/>
    <w:uiPriority w:val="39"/>
    <w:unhideWhenUsed/>
    <w:rsid w:val="003A3352"/>
    <w:pPr>
      <w:spacing w:after="100"/>
      <w:ind w:left="720"/>
    </w:pPr>
    <w:rPr>
      <w:rFonts w:eastAsiaTheme="minorEastAsia"/>
      <w:lang w:eastAsia="en-IE"/>
    </w:rPr>
  </w:style>
  <w:style w:type="paragraph" w:styleId="TOC5">
    <w:name w:val="toc 5"/>
    <w:basedOn w:val="Normal"/>
    <w:next w:val="Normal"/>
    <w:autoRedefine/>
    <w:uiPriority w:val="39"/>
    <w:unhideWhenUsed/>
    <w:rsid w:val="003A3352"/>
    <w:pPr>
      <w:spacing w:after="100"/>
      <w:ind w:left="960"/>
    </w:pPr>
    <w:rPr>
      <w:rFonts w:eastAsiaTheme="minorEastAsia"/>
      <w:lang w:eastAsia="en-IE"/>
    </w:rPr>
  </w:style>
  <w:style w:type="paragraph" w:styleId="TOC6">
    <w:name w:val="toc 6"/>
    <w:basedOn w:val="Normal"/>
    <w:next w:val="Normal"/>
    <w:autoRedefine/>
    <w:uiPriority w:val="39"/>
    <w:unhideWhenUsed/>
    <w:rsid w:val="003A3352"/>
    <w:pPr>
      <w:spacing w:after="100"/>
      <w:ind w:left="1200"/>
    </w:pPr>
    <w:rPr>
      <w:rFonts w:eastAsiaTheme="minorEastAsia"/>
      <w:lang w:eastAsia="en-IE"/>
    </w:rPr>
  </w:style>
  <w:style w:type="paragraph" w:styleId="TOC7">
    <w:name w:val="toc 7"/>
    <w:basedOn w:val="Normal"/>
    <w:next w:val="Normal"/>
    <w:autoRedefine/>
    <w:uiPriority w:val="39"/>
    <w:unhideWhenUsed/>
    <w:rsid w:val="003A3352"/>
    <w:pPr>
      <w:spacing w:after="100"/>
      <w:ind w:left="1440"/>
    </w:pPr>
    <w:rPr>
      <w:rFonts w:eastAsiaTheme="minorEastAsia"/>
      <w:lang w:eastAsia="en-IE"/>
    </w:rPr>
  </w:style>
  <w:style w:type="paragraph" w:styleId="TOC8">
    <w:name w:val="toc 8"/>
    <w:basedOn w:val="Normal"/>
    <w:next w:val="Normal"/>
    <w:autoRedefine/>
    <w:uiPriority w:val="39"/>
    <w:unhideWhenUsed/>
    <w:rsid w:val="003A3352"/>
    <w:pPr>
      <w:spacing w:after="100"/>
      <w:ind w:left="1680"/>
    </w:pPr>
    <w:rPr>
      <w:rFonts w:eastAsiaTheme="minorEastAsia"/>
      <w:lang w:eastAsia="en-IE"/>
    </w:rPr>
  </w:style>
  <w:style w:type="paragraph" w:styleId="TOC9">
    <w:name w:val="toc 9"/>
    <w:basedOn w:val="Normal"/>
    <w:next w:val="Normal"/>
    <w:autoRedefine/>
    <w:uiPriority w:val="39"/>
    <w:unhideWhenUsed/>
    <w:rsid w:val="003A3352"/>
    <w:pPr>
      <w:spacing w:after="100"/>
      <w:ind w:left="1920"/>
    </w:pPr>
    <w:rPr>
      <w:rFonts w:eastAsiaTheme="minorEastAsia"/>
      <w:lang w:eastAsia="en-IE"/>
    </w:rPr>
  </w:style>
  <w:style w:type="table" w:styleId="PlainTable1">
    <w:name w:val="Plain Table 1"/>
    <w:basedOn w:val="TableNormal"/>
    <w:uiPriority w:val="41"/>
    <w:rsid w:val="006B1FA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342D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2D56"/>
    <w:rPr>
      <w:sz w:val="20"/>
      <w:szCs w:val="20"/>
    </w:rPr>
  </w:style>
  <w:style w:type="character" w:styleId="FootnoteReference">
    <w:name w:val="footnote reference"/>
    <w:basedOn w:val="DefaultParagraphFont"/>
    <w:uiPriority w:val="99"/>
    <w:semiHidden/>
    <w:unhideWhenUsed/>
    <w:rsid w:val="00342D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1">
      <w:bodyDiv w:val="1"/>
      <w:marLeft w:val="0"/>
      <w:marRight w:val="0"/>
      <w:marTop w:val="0"/>
      <w:marBottom w:val="0"/>
      <w:divBdr>
        <w:top w:val="none" w:sz="0" w:space="0" w:color="auto"/>
        <w:left w:val="none" w:sz="0" w:space="0" w:color="auto"/>
        <w:bottom w:val="none" w:sz="0" w:space="0" w:color="auto"/>
        <w:right w:val="none" w:sz="0" w:space="0" w:color="auto"/>
      </w:divBdr>
    </w:div>
    <w:div w:id="48723675">
      <w:bodyDiv w:val="1"/>
      <w:marLeft w:val="0"/>
      <w:marRight w:val="0"/>
      <w:marTop w:val="0"/>
      <w:marBottom w:val="0"/>
      <w:divBdr>
        <w:top w:val="none" w:sz="0" w:space="0" w:color="auto"/>
        <w:left w:val="none" w:sz="0" w:space="0" w:color="auto"/>
        <w:bottom w:val="none" w:sz="0" w:space="0" w:color="auto"/>
        <w:right w:val="none" w:sz="0" w:space="0" w:color="auto"/>
      </w:divBdr>
    </w:div>
    <w:div w:id="90055564">
      <w:bodyDiv w:val="1"/>
      <w:marLeft w:val="0"/>
      <w:marRight w:val="0"/>
      <w:marTop w:val="0"/>
      <w:marBottom w:val="0"/>
      <w:divBdr>
        <w:top w:val="none" w:sz="0" w:space="0" w:color="auto"/>
        <w:left w:val="none" w:sz="0" w:space="0" w:color="auto"/>
        <w:bottom w:val="none" w:sz="0" w:space="0" w:color="auto"/>
        <w:right w:val="none" w:sz="0" w:space="0" w:color="auto"/>
      </w:divBdr>
    </w:div>
    <w:div w:id="150564421">
      <w:bodyDiv w:val="1"/>
      <w:marLeft w:val="0"/>
      <w:marRight w:val="0"/>
      <w:marTop w:val="0"/>
      <w:marBottom w:val="0"/>
      <w:divBdr>
        <w:top w:val="none" w:sz="0" w:space="0" w:color="auto"/>
        <w:left w:val="none" w:sz="0" w:space="0" w:color="auto"/>
        <w:bottom w:val="none" w:sz="0" w:space="0" w:color="auto"/>
        <w:right w:val="none" w:sz="0" w:space="0" w:color="auto"/>
      </w:divBdr>
    </w:div>
    <w:div w:id="157887695">
      <w:bodyDiv w:val="1"/>
      <w:marLeft w:val="0"/>
      <w:marRight w:val="0"/>
      <w:marTop w:val="0"/>
      <w:marBottom w:val="0"/>
      <w:divBdr>
        <w:top w:val="none" w:sz="0" w:space="0" w:color="auto"/>
        <w:left w:val="none" w:sz="0" w:space="0" w:color="auto"/>
        <w:bottom w:val="none" w:sz="0" w:space="0" w:color="auto"/>
        <w:right w:val="none" w:sz="0" w:space="0" w:color="auto"/>
      </w:divBdr>
    </w:div>
    <w:div w:id="235551151">
      <w:bodyDiv w:val="1"/>
      <w:marLeft w:val="0"/>
      <w:marRight w:val="0"/>
      <w:marTop w:val="0"/>
      <w:marBottom w:val="0"/>
      <w:divBdr>
        <w:top w:val="none" w:sz="0" w:space="0" w:color="auto"/>
        <w:left w:val="none" w:sz="0" w:space="0" w:color="auto"/>
        <w:bottom w:val="none" w:sz="0" w:space="0" w:color="auto"/>
        <w:right w:val="none" w:sz="0" w:space="0" w:color="auto"/>
      </w:divBdr>
    </w:div>
    <w:div w:id="242226524">
      <w:bodyDiv w:val="1"/>
      <w:marLeft w:val="0"/>
      <w:marRight w:val="0"/>
      <w:marTop w:val="0"/>
      <w:marBottom w:val="0"/>
      <w:divBdr>
        <w:top w:val="none" w:sz="0" w:space="0" w:color="auto"/>
        <w:left w:val="none" w:sz="0" w:space="0" w:color="auto"/>
        <w:bottom w:val="none" w:sz="0" w:space="0" w:color="auto"/>
        <w:right w:val="none" w:sz="0" w:space="0" w:color="auto"/>
      </w:divBdr>
    </w:div>
    <w:div w:id="373310223">
      <w:bodyDiv w:val="1"/>
      <w:marLeft w:val="0"/>
      <w:marRight w:val="0"/>
      <w:marTop w:val="0"/>
      <w:marBottom w:val="0"/>
      <w:divBdr>
        <w:top w:val="none" w:sz="0" w:space="0" w:color="auto"/>
        <w:left w:val="none" w:sz="0" w:space="0" w:color="auto"/>
        <w:bottom w:val="none" w:sz="0" w:space="0" w:color="auto"/>
        <w:right w:val="none" w:sz="0" w:space="0" w:color="auto"/>
      </w:divBdr>
    </w:div>
    <w:div w:id="631326433">
      <w:bodyDiv w:val="1"/>
      <w:marLeft w:val="0"/>
      <w:marRight w:val="0"/>
      <w:marTop w:val="0"/>
      <w:marBottom w:val="0"/>
      <w:divBdr>
        <w:top w:val="none" w:sz="0" w:space="0" w:color="auto"/>
        <w:left w:val="none" w:sz="0" w:space="0" w:color="auto"/>
        <w:bottom w:val="none" w:sz="0" w:space="0" w:color="auto"/>
        <w:right w:val="none" w:sz="0" w:space="0" w:color="auto"/>
      </w:divBdr>
    </w:div>
    <w:div w:id="652104810">
      <w:bodyDiv w:val="1"/>
      <w:marLeft w:val="0"/>
      <w:marRight w:val="0"/>
      <w:marTop w:val="0"/>
      <w:marBottom w:val="0"/>
      <w:divBdr>
        <w:top w:val="none" w:sz="0" w:space="0" w:color="auto"/>
        <w:left w:val="none" w:sz="0" w:space="0" w:color="auto"/>
        <w:bottom w:val="none" w:sz="0" w:space="0" w:color="auto"/>
        <w:right w:val="none" w:sz="0" w:space="0" w:color="auto"/>
      </w:divBdr>
    </w:div>
    <w:div w:id="673537556">
      <w:bodyDiv w:val="1"/>
      <w:marLeft w:val="0"/>
      <w:marRight w:val="0"/>
      <w:marTop w:val="0"/>
      <w:marBottom w:val="0"/>
      <w:divBdr>
        <w:top w:val="none" w:sz="0" w:space="0" w:color="auto"/>
        <w:left w:val="none" w:sz="0" w:space="0" w:color="auto"/>
        <w:bottom w:val="none" w:sz="0" w:space="0" w:color="auto"/>
        <w:right w:val="none" w:sz="0" w:space="0" w:color="auto"/>
      </w:divBdr>
    </w:div>
    <w:div w:id="689768124">
      <w:bodyDiv w:val="1"/>
      <w:marLeft w:val="0"/>
      <w:marRight w:val="0"/>
      <w:marTop w:val="0"/>
      <w:marBottom w:val="0"/>
      <w:divBdr>
        <w:top w:val="none" w:sz="0" w:space="0" w:color="auto"/>
        <w:left w:val="none" w:sz="0" w:space="0" w:color="auto"/>
        <w:bottom w:val="none" w:sz="0" w:space="0" w:color="auto"/>
        <w:right w:val="none" w:sz="0" w:space="0" w:color="auto"/>
      </w:divBdr>
    </w:div>
    <w:div w:id="708408578">
      <w:bodyDiv w:val="1"/>
      <w:marLeft w:val="0"/>
      <w:marRight w:val="0"/>
      <w:marTop w:val="0"/>
      <w:marBottom w:val="0"/>
      <w:divBdr>
        <w:top w:val="none" w:sz="0" w:space="0" w:color="auto"/>
        <w:left w:val="none" w:sz="0" w:space="0" w:color="auto"/>
        <w:bottom w:val="none" w:sz="0" w:space="0" w:color="auto"/>
        <w:right w:val="none" w:sz="0" w:space="0" w:color="auto"/>
      </w:divBdr>
    </w:div>
    <w:div w:id="939222395">
      <w:bodyDiv w:val="1"/>
      <w:marLeft w:val="0"/>
      <w:marRight w:val="0"/>
      <w:marTop w:val="0"/>
      <w:marBottom w:val="0"/>
      <w:divBdr>
        <w:top w:val="none" w:sz="0" w:space="0" w:color="auto"/>
        <w:left w:val="none" w:sz="0" w:space="0" w:color="auto"/>
        <w:bottom w:val="none" w:sz="0" w:space="0" w:color="auto"/>
        <w:right w:val="none" w:sz="0" w:space="0" w:color="auto"/>
      </w:divBdr>
    </w:div>
    <w:div w:id="974916775">
      <w:bodyDiv w:val="1"/>
      <w:marLeft w:val="0"/>
      <w:marRight w:val="0"/>
      <w:marTop w:val="0"/>
      <w:marBottom w:val="0"/>
      <w:divBdr>
        <w:top w:val="none" w:sz="0" w:space="0" w:color="auto"/>
        <w:left w:val="none" w:sz="0" w:space="0" w:color="auto"/>
        <w:bottom w:val="none" w:sz="0" w:space="0" w:color="auto"/>
        <w:right w:val="none" w:sz="0" w:space="0" w:color="auto"/>
      </w:divBdr>
    </w:div>
    <w:div w:id="1001008462">
      <w:bodyDiv w:val="1"/>
      <w:marLeft w:val="0"/>
      <w:marRight w:val="0"/>
      <w:marTop w:val="0"/>
      <w:marBottom w:val="0"/>
      <w:divBdr>
        <w:top w:val="none" w:sz="0" w:space="0" w:color="auto"/>
        <w:left w:val="none" w:sz="0" w:space="0" w:color="auto"/>
        <w:bottom w:val="none" w:sz="0" w:space="0" w:color="auto"/>
        <w:right w:val="none" w:sz="0" w:space="0" w:color="auto"/>
      </w:divBdr>
    </w:div>
    <w:div w:id="1032651390">
      <w:bodyDiv w:val="1"/>
      <w:marLeft w:val="0"/>
      <w:marRight w:val="0"/>
      <w:marTop w:val="0"/>
      <w:marBottom w:val="0"/>
      <w:divBdr>
        <w:top w:val="none" w:sz="0" w:space="0" w:color="auto"/>
        <w:left w:val="none" w:sz="0" w:space="0" w:color="auto"/>
        <w:bottom w:val="none" w:sz="0" w:space="0" w:color="auto"/>
        <w:right w:val="none" w:sz="0" w:space="0" w:color="auto"/>
      </w:divBdr>
    </w:div>
    <w:div w:id="1071849195">
      <w:bodyDiv w:val="1"/>
      <w:marLeft w:val="0"/>
      <w:marRight w:val="0"/>
      <w:marTop w:val="0"/>
      <w:marBottom w:val="0"/>
      <w:divBdr>
        <w:top w:val="none" w:sz="0" w:space="0" w:color="auto"/>
        <w:left w:val="none" w:sz="0" w:space="0" w:color="auto"/>
        <w:bottom w:val="none" w:sz="0" w:space="0" w:color="auto"/>
        <w:right w:val="none" w:sz="0" w:space="0" w:color="auto"/>
      </w:divBdr>
    </w:div>
    <w:div w:id="1088767777">
      <w:bodyDiv w:val="1"/>
      <w:marLeft w:val="0"/>
      <w:marRight w:val="0"/>
      <w:marTop w:val="0"/>
      <w:marBottom w:val="0"/>
      <w:divBdr>
        <w:top w:val="none" w:sz="0" w:space="0" w:color="auto"/>
        <w:left w:val="none" w:sz="0" w:space="0" w:color="auto"/>
        <w:bottom w:val="none" w:sz="0" w:space="0" w:color="auto"/>
        <w:right w:val="none" w:sz="0" w:space="0" w:color="auto"/>
      </w:divBdr>
    </w:div>
    <w:div w:id="1147012932">
      <w:bodyDiv w:val="1"/>
      <w:marLeft w:val="0"/>
      <w:marRight w:val="0"/>
      <w:marTop w:val="0"/>
      <w:marBottom w:val="0"/>
      <w:divBdr>
        <w:top w:val="none" w:sz="0" w:space="0" w:color="auto"/>
        <w:left w:val="none" w:sz="0" w:space="0" w:color="auto"/>
        <w:bottom w:val="none" w:sz="0" w:space="0" w:color="auto"/>
        <w:right w:val="none" w:sz="0" w:space="0" w:color="auto"/>
      </w:divBdr>
    </w:div>
    <w:div w:id="1150709988">
      <w:bodyDiv w:val="1"/>
      <w:marLeft w:val="0"/>
      <w:marRight w:val="0"/>
      <w:marTop w:val="0"/>
      <w:marBottom w:val="0"/>
      <w:divBdr>
        <w:top w:val="none" w:sz="0" w:space="0" w:color="auto"/>
        <w:left w:val="none" w:sz="0" w:space="0" w:color="auto"/>
        <w:bottom w:val="none" w:sz="0" w:space="0" w:color="auto"/>
        <w:right w:val="none" w:sz="0" w:space="0" w:color="auto"/>
      </w:divBdr>
    </w:div>
    <w:div w:id="1152015722">
      <w:bodyDiv w:val="1"/>
      <w:marLeft w:val="0"/>
      <w:marRight w:val="0"/>
      <w:marTop w:val="0"/>
      <w:marBottom w:val="0"/>
      <w:divBdr>
        <w:top w:val="none" w:sz="0" w:space="0" w:color="auto"/>
        <w:left w:val="none" w:sz="0" w:space="0" w:color="auto"/>
        <w:bottom w:val="none" w:sz="0" w:space="0" w:color="auto"/>
        <w:right w:val="none" w:sz="0" w:space="0" w:color="auto"/>
      </w:divBdr>
    </w:div>
    <w:div w:id="1209756430">
      <w:bodyDiv w:val="1"/>
      <w:marLeft w:val="0"/>
      <w:marRight w:val="0"/>
      <w:marTop w:val="0"/>
      <w:marBottom w:val="0"/>
      <w:divBdr>
        <w:top w:val="none" w:sz="0" w:space="0" w:color="auto"/>
        <w:left w:val="none" w:sz="0" w:space="0" w:color="auto"/>
        <w:bottom w:val="none" w:sz="0" w:space="0" w:color="auto"/>
        <w:right w:val="none" w:sz="0" w:space="0" w:color="auto"/>
      </w:divBdr>
    </w:div>
    <w:div w:id="1225531168">
      <w:bodyDiv w:val="1"/>
      <w:marLeft w:val="0"/>
      <w:marRight w:val="0"/>
      <w:marTop w:val="0"/>
      <w:marBottom w:val="0"/>
      <w:divBdr>
        <w:top w:val="none" w:sz="0" w:space="0" w:color="auto"/>
        <w:left w:val="none" w:sz="0" w:space="0" w:color="auto"/>
        <w:bottom w:val="none" w:sz="0" w:space="0" w:color="auto"/>
        <w:right w:val="none" w:sz="0" w:space="0" w:color="auto"/>
      </w:divBdr>
    </w:div>
    <w:div w:id="1288467708">
      <w:bodyDiv w:val="1"/>
      <w:marLeft w:val="0"/>
      <w:marRight w:val="0"/>
      <w:marTop w:val="0"/>
      <w:marBottom w:val="0"/>
      <w:divBdr>
        <w:top w:val="none" w:sz="0" w:space="0" w:color="auto"/>
        <w:left w:val="none" w:sz="0" w:space="0" w:color="auto"/>
        <w:bottom w:val="none" w:sz="0" w:space="0" w:color="auto"/>
        <w:right w:val="none" w:sz="0" w:space="0" w:color="auto"/>
      </w:divBdr>
    </w:div>
    <w:div w:id="1425568691">
      <w:bodyDiv w:val="1"/>
      <w:marLeft w:val="0"/>
      <w:marRight w:val="0"/>
      <w:marTop w:val="0"/>
      <w:marBottom w:val="0"/>
      <w:divBdr>
        <w:top w:val="none" w:sz="0" w:space="0" w:color="auto"/>
        <w:left w:val="none" w:sz="0" w:space="0" w:color="auto"/>
        <w:bottom w:val="none" w:sz="0" w:space="0" w:color="auto"/>
        <w:right w:val="none" w:sz="0" w:space="0" w:color="auto"/>
      </w:divBdr>
    </w:div>
    <w:div w:id="1427924213">
      <w:bodyDiv w:val="1"/>
      <w:marLeft w:val="0"/>
      <w:marRight w:val="0"/>
      <w:marTop w:val="0"/>
      <w:marBottom w:val="0"/>
      <w:divBdr>
        <w:top w:val="none" w:sz="0" w:space="0" w:color="auto"/>
        <w:left w:val="none" w:sz="0" w:space="0" w:color="auto"/>
        <w:bottom w:val="none" w:sz="0" w:space="0" w:color="auto"/>
        <w:right w:val="none" w:sz="0" w:space="0" w:color="auto"/>
      </w:divBdr>
    </w:div>
    <w:div w:id="1485775323">
      <w:bodyDiv w:val="1"/>
      <w:marLeft w:val="0"/>
      <w:marRight w:val="0"/>
      <w:marTop w:val="0"/>
      <w:marBottom w:val="0"/>
      <w:divBdr>
        <w:top w:val="none" w:sz="0" w:space="0" w:color="auto"/>
        <w:left w:val="none" w:sz="0" w:space="0" w:color="auto"/>
        <w:bottom w:val="none" w:sz="0" w:space="0" w:color="auto"/>
        <w:right w:val="none" w:sz="0" w:space="0" w:color="auto"/>
      </w:divBdr>
    </w:div>
    <w:div w:id="1589345980">
      <w:bodyDiv w:val="1"/>
      <w:marLeft w:val="0"/>
      <w:marRight w:val="0"/>
      <w:marTop w:val="0"/>
      <w:marBottom w:val="0"/>
      <w:divBdr>
        <w:top w:val="none" w:sz="0" w:space="0" w:color="auto"/>
        <w:left w:val="none" w:sz="0" w:space="0" w:color="auto"/>
        <w:bottom w:val="none" w:sz="0" w:space="0" w:color="auto"/>
        <w:right w:val="none" w:sz="0" w:space="0" w:color="auto"/>
      </w:divBdr>
    </w:div>
    <w:div w:id="1596327375">
      <w:bodyDiv w:val="1"/>
      <w:marLeft w:val="0"/>
      <w:marRight w:val="0"/>
      <w:marTop w:val="0"/>
      <w:marBottom w:val="0"/>
      <w:divBdr>
        <w:top w:val="none" w:sz="0" w:space="0" w:color="auto"/>
        <w:left w:val="none" w:sz="0" w:space="0" w:color="auto"/>
        <w:bottom w:val="none" w:sz="0" w:space="0" w:color="auto"/>
        <w:right w:val="none" w:sz="0" w:space="0" w:color="auto"/>
      </w:divBdr>
    </w:div>
    <w:div w:id="1619607685">
      <w:bodyDiv w:val="1"/>
      <w:marLeft w:val="0"/>
      <w:marRight w:val="0"/>
      <w:marTop w:val="0"/>
      <w:marBottom w:val="0"/>
      <w:divBdr>
        <w:top w:val="none" w:sz="0" w:space="0" w:color="auto"/>
        <w:left w:val="none" w:sz="0" w:space="0" w:color="auto"/>
        <w:bottom w:val="none" w:sz="0" w:space="0" w:color="auto"/>
        <w:right w:val="none" w:sz="0" w:space="0" w:color="auto"/>
      </w:divBdr>
    </w:div>
    <w:div w:id="1639531768">
      <w:bodyDiv w:val="1"/>
      <w:marLeft w:val="0"/>
      <w:marRight w:val="0"/>
      <w:marTop w:val="0"/>
      <w:marBottom w:val="0"/>
      <w:divBdr>
        <w:top w:val="none" w:sz="0" w:space="0" w:color="auto"/>
        <w:left w:val="none" w:sz="0" w:space="0" w:color="auto"/>
        <w:bottom w:val="none" w:sz="0" w:space="0" w:color="auto"/>
        <w:right w:val="none" w:sz="0" w:space="0" w:color="auto"/>
      </w:divBdr>
    </w:div>
    <w:div w:id="1675841179">
      <w:bodyDiv w:val="1"/>
      <w:marLeft w:val="0"/>
      <w:marRight w:val="0"/>
      <w:marTop w:val="0"/>
      <w:marBottom w:val="0"/>
      <w:divBdr>
        <w:top w:val="none" w:sz="0" w:space="0" w:color="auto"/>
        <w:left w:val="none" w:sz="0" w:space="0" w:color="auto"/>
        <w:bottom w:val="none" w:sz="0" w:space="0" w:color="auto"/>
        <w:right w:val="none" w:sz="0" w:space="0" w:color="auto"/>
      </w:divBdr>
    </w:div>
    <w:div w:id="1734042247">
      <w:bodyDiv w:val="1"/>
      <w:marLeft w:val="0"/>
      <w:marRight w:val="0"/>
      <w:marTop w:val="0"/>
      <w:marBottom w:val="0"/>
      <w:divBdr>
        <w:top w:val="none" w:sz="0" w:space="0" w:color="auto"/>
        <w:left w:val="none" w:sz="0" w:space="0" w:color="auto"/>
        <w:bottom w:val="none" w:sz="0" w:space="0" w:color="auto"/>
        <w:right w:val="none" w:sz="0" w:space="0" w:color="auto"/>
      </w:divBdr>
    </w:div>
    <w:div w:id="1752652616">
      <w:bodyDiv w:val="1"/>
      <w:marLeft w:val="0"/>
      <w:marRight w:val="0"/>
      <w:marTop w:val="0"/>
      <w:marBottom w:val="0"/>
      <w:divBdr>
        <w:top w:val="none" w:sz="0" w:space="0" w:color="auto"/>
        <w:left w:val="none" w:sz="0" w:space="0" w:color="auto"/>
        <w:bottom w:val="none" w:sz="0" w:space="0" w:color="auto"/>
        <w:right w:val="none" w:sz="0" w:space="0" w:color="auto"/>
      </w:divBdr>
    </w:div>
    <w:div w:id="1761368891">
      <w:bodyDiv w:val="1"/>
      <w:marLeft w:val="0"/>
      <w:marRight w:val="0"/>
      <w:marTop w:val="0"/>
      <w:marBottom w:val="0"/>
      <w:divBdr>
        <w:top w:val="none" w:sz="0" w:space="0" w:color="auto"/>
        <w:left w:val="none" w:sz="0" w:space="0" w:color="auto"/>
        <w:bottom w:val="none" w:sz="0" w:space="0" w:color="auto"/>
        <w:right w:val="none" w:sz="0" w:space="0" w:color="auto"/>
      </w:divBdr>
    </w:div>
    <w:div w:id="1793934136">
      <w:bodyDiv w:val="1"/>
      <w:marLeft w:val="0"/>
      <w:marRight w:val="0"/>
      <w:marTop w:val="0"/>
      <w:marBottom w:val="0"/>
      <w:divBdr>
        <w:top w:val="none" w:sz="0" w:space="0" w:color="auto"/>
        <w:left w:val="none" w:sz="0" w:space="0" w:color="auto"/>
        <w:bottom w:val="none" w:sz="0" w:space="0" w:color="auto"/>
        <w:right w:val="none" w:sz="0" w:space="0" w:color="auto"/>
      </w:divBdr>
    </w:div>
    <w:div w:id="1974213790">
      <w:bodyDiv w:val="1"/>
      <w:marLeft w:val="0"/>
      <w:marRight w:val="0"/>
      <w:marTop w:val="0"/>
      <w:marBottom w:val="0"/>
      <w:divBdr>
        <w:top w:val="none" w:sz="0" w:space="0" w:color="auto"/>
        <w:left w:val="none" w:sz="0" w:space="0" w:color="auto"/>
        <w:bottom w:val="none" w:sz="0" w:space="0" w:color="auto"/>
        <w:right w:val="none" w:sz="0" w:space="0" w:color="auto"/>
      </w:divBdr>
    </w:div>
    <w:div w:id="2029984972">
      <w:bodyDiv w:val="1"/>
      <w:marLeft w:val="0"/>
      <w:marRight w:val="0"/>
      <w:marTop w:val="0"/>
      <w:marBottom w:val="0"/>
      <w:divBdr>
        <w:top w:val="none" w:sz="0" w:space="0" w:color="auto"/>
        <w:left w:val="none" w:sz="0" w:space="0" w:color="auto"/>
        <w:bottom w:val="none" w:sz="0" w:space="0" w:color="auto"/>
        <w:right w:val="none" w:sz="0" w:space="0" w:color="auto"/>
      </w:divBdr>
    </w:div>
    <w:div w:id="2037539763">
      <w:bodyDiv w:val="1"/>
      <w:marLeft w:val="0"/>
      <w:marRight w:val="0"/>
      <w:marTop w:val="0"/>
      <w:marBottom w:val="0"/>
      <w:divBdr>
        <w:top w:val="none" w:sz="0" w:space="0" w:color="auto"/>
        <w:left w:val="none" w:sz="0" w:space="0" w:color="auto"/>
        <w:bottom w:val="none" w:sz="0" w:space="0" w:color="auto"/>
        <w:right w:val="none" w:sz="0" w:space="0" w:color="auto"/>
      </w:divBdr>
    </w:div>
    <w:div w:id="2109621490">
      <w:bodyDiv w:val="1"/>
      <w:marLeft w:val="0"/>
      <w:marRight w:val="0"/>
      <w:marTop w:val="0"/>
      <w:marBottom w:val="0"/>
      <w:divBdr>
        <w:top w:val="none" w:sz="0" w:space="0" w:color="auto"/>
        <w:left w:val="none" w:sz="0" w:space="0" w:color="auto"/>
        <w:bottom w:val="none" w:sz="0" w:space="0" w:color="auto"/>
        <w:right w:val="none" w:sz="0" w:space="0" w:color="auto"/>
      </w:divBdr>
    </w:div>
    <w:div w:id="213578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dcc.ie"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rgyglobe.info/"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southdublinlibraries.i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dcc.ie"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C832F-A20E-4092-88EC-89431C44E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85</Pages>
  <Words>21343</Words>
  <Characters>121658</Characters>
  <Application>Microsoft Office Word</Application>
  <DocSecurity>0</DocSecurity>
  <Lines>1013</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Healy</dc:creator>
  <cp:keywords/>
  <dc:description/>
  <cp:lastModifiedBy>Declan Healy</cp:lastModifiedBy>
  <cp:revision>2</cp:revision>
  <dcterms:created xsi:type="dcterms:W3CDTF">2025-05-27T12:22:00Z</dcterms:created>
  <dcterms:modified xsi:type="dcterms:W3CDTF">2025-05-27T12:22:00Z</dcterms:modified>
</cp:coreProperties>
</file>