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2ACE" w14:textId="77777777" w:rsidR="00033AF4" w:rsidRPr="008D7AA2" w:rsidRDefault="00033AF4" w:rsidP="00033AF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83838"/>
          <w:kern w:val="36"/>
          <w:sz w:val="40"/>
          <w:szCs w:val="40"/>
          <w:lang w:eastAsia="en-IE"/>
        </w:rPr>
      </w:pPr>
      <w:bookmarkStart w:id="0" w:name="_Hlk157596132"/>
      <w:bookmarkEnd w:id="0"/>
      <w:r w:rsidRPr="008D7AA2">
        <w:rPr>
          <w:rFonts w:ascii="Arial" w:eastAsia="Times New Roman" w:hAnsi="Arial" w:cs="Arial"/>
          <w:b/>
          <w:bCs/>
          <w:color w:val="383838"/>
          <w:kern w:val="36"/>
          <w:sz w:val="40"/>
          <w:szCs w:val="40"/>
          <w:lang w:eastAsia="en-IE"/>
        </w:rPr>
        <w:t>Commercial Rates</w:t>
      </w:r>
    </w:p>
    <w:p w14:paraId="4ED3FCEC" w14:textId="668BFCF0" w:rsidR="00033AF4" w:rsidRPr="00201B74" w:rsidRDefault="00033AF4" w:rsidP="00033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Commercial Rates are a form of local property tax, </w:t>
      </w:r>
      <w:r w:rsidR="007F129C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levied by local authorities </w:t>
      </w: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on commercial/industrial properties, advertising stations and non</w:t>
      </w:r>
      <w:r w:rsidR="00201B7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-</w:t>
      </w: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domestic premises.</w:t>
      </w:r>
      <w:r w:rsidR="007F129C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 The income generated from commercial rates provides funding for a range of services delivered by South Dublin County Council which </w:t>
      </w:r>
      <w:proofErr w:type="gramStart"/>
      <w:r w:rsidR="007F129C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includes</w:t>
      </w:r>
      <w:proofErr w:type="gramEnd"/>
      <w:r w:rsidR="007F129C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  </w:t>
      </w:r>
    </w:p>
    <w:p w14:paraId="0EA9806E" w14:textId="638EB25A" w:rsidR="00033AF4" w:rsidRPr="00201B74" w:rsidRDefault="007F129C" w:rsidP="0003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P</w:t>
      </w:r>
      <w:r w:rsidR="00033AF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ublic lighting, footpath repair and maintenance,</w:t>
      </w:r>
    </w:p>
    <w:p w14:paraId="17B0AF11" w14:textId="1FCF2830" w:rsidR="00033AF4" w:rsidRPr="00201B74" w:rsidRDefault="005A4FC0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en-IE"/>
        </w:rPr>
        <w:t>C</w:t>
      </w:r>
      <w:r w:rsidR="00033AF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ar parking, traffic management</w:t>
      </w:r>
    </w:p>
    <w:p w14:paraId="7038CE01" w14:textId="77777777" w:rsidR="00033AF4" w:rsidRPr="00201B74" w:rsidRDefault="00033AF4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Housing Services, parks, sports </w:t>
      </w:r>
      <w:proofErr w:type="gramStart"/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facilities</w:t>
      </w:r>
      <w:proofErr w:type="gramEnd"/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 and playgrounds</w:t>
      </w:r>
    </w:p>
    <w:p w14:paraId="4E43EA5C" w14:textId="45D0199C" w:rsidR="00033AF4" w:rsidRPr="00201B74" w:rsidRDefault="005A4FC0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en-IE"/>
        </w:rPr>
        <w:t>D</w:t>
      </w:r>
      <w:r w:rsidR="00033AF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rains, river basin management and flood alleviation, litter management, enforcement of</w:t>
      </w:r>
    </w:p>
    <w:p w14:paraId="1E8297C7" w14:textId="2FCBFE4E" w:rsidR="00033AF4" w:rsidRPr="00201B74" w:rsidRDefault="005A4FC0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en-IE"/>
        </w:rPr>
        <w:t>W</w:t>
      </w:r>
      <w:r w:rsidR="00033AF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aste regulations and the fire service</w:t>
      </w:r>
    </w:p>
    <w:p w14:paraId="1305644B" w14:textId="67BD4E4D" w:rsidR="00033AF4" w:rsidRPr="00201B74" w:rsidRDefault="005A4FC0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en-IE"/>
        </w:rPr>
        <w:t>P</w:t>
      </w:r>
      <w:r w:rsidR="00033AF4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lanning service, libraries, community and arts facilities and Local Government representation</w:t>
      </w:r>
    </w:p>
    <w:p w14:paraId="50E55129" w14:textId="4EB9529C" w:rsidR="00033AF4" w:rsidRPr="00201B74" w:rsidRDefault="00033AF4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Citizen Engagement</w:t>
      </w:r>
      <w:r w:rsid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 which </w:t>
      </w: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includ</w:t>
      </w:r>
      <w:r w:rsid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es </w:t>
      </w:r>
      <w:r w:rsidR="00491F0C" w:rsidRP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a </w:t>
      </w:r>
      <w:r w:rsidRP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participatory </w:t>
      </w:r>
      <w:r w:rsidR="00491F0C" w:rsidRP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b</w:t>
      </w:r>
      <w:r w:rsidRPr="00491F0C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udget</w:t>
      </w:r>
    </w:p>
    <w:p w14:paraId="0867696A" w14:textId="77777777" w:rsidR="00033AF4" w:rsidRPr="00201B74" w:rsidRDefault="00033AF4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Business Support Grants</w:t>
      </w:r>
    </w:p>
    <w:p w14:paraId="0243C0FB" w14:textId="77777777" w:rsidR="00033AF4" w:rsidRPr="00201B74" w:rsidRDefault="00033AF4" w:rsidP="00033AF4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990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Tourism and Community Development</w:t>
      </w:r>
    </w:p>
    <w:p w14:paraId="7C4F1CDF" w14:textId="59107557" w:rsidR="00033AF4" w:rsidRPr="00201B74" w:rsidRDefault="00033AF4" w:rsidP="00033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The cost of providing such services and operations for citizens and businesses in South Dublin County will be €3</w:t>
      </w:r>
      <w:r w:rsidR="00BA35B9"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 xml:space="preserve">38 </w:t>
      </w:r>
      <w:r w:rsidRPr="00201B74">
        <w:rPr>
          <w:rFonts w:ascii="Arial" w:eastAsia="Times New Roman" w:hAnsi="Arial" w:cs="Arial"/>
          <w:color w:val="383838"/>
          <w:sz w:val="24"/>
          <w:szCs w:val="24"/>
          <w:lang w:eastAsia="en-IE"/>
        </w:rPr>
        <w:t>million in 2023.</w:t>
      </w:r>
    </w:p>
    <w:p w14:paraId="02137FFE" w14:textId="77777777" w:rsidR="00033AF4" w:rsidRPr="008D7AA2" w:rsidRDefault="00033AF4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</w:pPr>
      <w:r w:rsidRPr="008D7AA2"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  <w:t>Vacant property</w:t>
      </w:r>
    </w:p>
    <w:p w14:paraId="3E1A8A93" w14:textId="5DB2D1A2" w:rsidR="00442CD3" w:rsidRPr="00201B74" w:rsidRDefault="00442CD3" w:rsidP="00442CD3">
      <w:pPr>
        <w:rPr>
          <w:rFonts w:ascii="Arial" w:hAnsi="Arial" w:cs="Arial"/>
          <w:sz w:val="24"/>
          <w:szCs w:val="24"/>
        </w:rPr>
      </w:pPr>
      <w:r w:rsidRPr="00201B74">
        <w:rPr>
          <w:rFonts w:ascii="Arial" w:hAnsi="Arial" w:cs="Arial"/>
          <w:sz w:val="24"/>
          <w:szCs w:val="24"/>
        </w:rPr>
        <w:t xml:space="preserve">Rates are payable on vacant properties. However, in circumstances where vacancy is due to inability to obtain a tenant or property is undergoing </w:t>
      </w:r>
      <w:proofErr w:type="gramStart"/>
      <w:r w:rsidRPr="00201B74">
        <w:rPr>
          <w:rFonts w:ascii="Arial" w:hAnsi="Arial" w:cs="Arial"/>
          <w:sz w:val="24"/>
          <w:szCs w:val="24"/>
        </w:rPr>
        <w:t>refurbishment,  vacancy</w:t>
      </w:r>
      <w:proofErr w:type="gramEnd"/>
      <w:r w:rsidRPr="00201B74">
        <w:rPr>
          <w:rFonts w:ascii="Arial" w:hAnsi="Arial" w:cs="Arial"/>
          <w:sz w:val="24"/>
          <w:szCs w:val="24"/>
        </w:rPr>
        <w:t xml:space="preserve"> credits may be applied to qualifying properties at the following rates </w:t>
      </w:r>
      <w:r w:rsidR="00C97405">
        <w:rPr>
          <w:rFonts w:ascii="Arial" w:hAnsi="Arial" w:cs="Arial"/>
          <w:sz w:val="24"/>
          <w:szCs w:val="24"/>
        </w:rPr>
        <w:t xml:space="preserve">which were approved by the Council’s Elected Members as part of the annual budgetary process. </w:t>
      </w:r>
    </w:p>
    <w:p w14:paraId="1B430617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01B74">
        <w:rPr>
          <w:rFonts w:ascii="Arial" w:hAnsi="Arial" w:cs="Arial"/>
          <w:b/>
          <w:bCs/>
          <w:sz w:val="24"/>
          <w:szCs w:val="24"/>
          <w:u w:val="single"/>
        </w:rPr>
        <w:t>Rates Year</w:t>
      </w:r>
    </w:p>
    <w:p w14:paraId="754D6E47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B74">
        <w:rPr>
          <w:rFonts w:ascii="Arial" w:hAnsi="Arial" w:cs="Arial"/>
          <w:b/>
          <w:bCs/>
          <w:sz w:val="24"/>
          <w:szCs w:val="24"/>
        </w:rPr>
        <w:t>Pre 2018</w:t>
      </w:r>
      <w:r w:rsidRPr="00201B74">
        <w:rPr>
          <w:rFonts w:ascii="Arial" w:hAnsi="Arial" w:cs="Arial"/>
          <w:b/>
          <w:bCs/>
          <w:sz w:val="24"/>
          <w:szCs w:val="24"/>
        </w:rPr>
        <w:tab/>
        <w:t>100%</w:t>
      </w:r>
    </w:p>
    <w:p w14:paraId="368C9666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B74">
        <w:rPr>
          <w:rFonts w:ascii="Arial" w:hAnsi="Arial" w:cs="Arial"/>
          <w:b/>
          <w:bCs/>
          <w:sz w:val="24"/>
          <w:szCs w:val="24"/>
        </w:rPr>
        <w:t>2018</w:t>
      </w:r>
      <w:r w:rsidRPr="00201B74">
        <w:rPr>
          <w:rFonts w:ascii="Arial" w:hAnsi="Arial" w:cs="Arial"/>
          <w:b/>
          <w:bCs/>
          <w:sz w:val="24"/>
          <w:szCs w:val="24"/>
        </w:rPr>
        <w:tab/>
      </w:r>
      <w:r w:rsidRPr="00201B74">
        <w:rPr>
          <w:rFonts w:ascii="Arial" w:hAnsi="Arial" w:cs="Arial"/>
          <w:b/>
          <w:bCs/>
          <w:sz w:val="24"/>
          <w:szCs w:val="24"/>
        </w:rPr>
        <w:tab/>
        <w:t>75%</w:t>
      </w:r>
    </w:p>
    <w:p w14:paraId="4A72A397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B74">
        <w:rPr>
          <w:rFonts w:ascii="Arial" w:hAnsi="Arial" w:cs="Arial"/>
          <w:b/>
          <w:bCs/>
          <w:sz w:val="24"/>
          <w:szCs w:val="24"/>
        </w:rPr>
        <w:t>2019 – 2023</w:t>
      </w:r>
      <w:r w:rsidRPr="00201B74">
        <w:rPr>
          <w:rFonts w:ascii="Arial" w:hAnsi="Arial" w:cs="Arial"/>
          <w:b/>
          <w:bCs/>
          <w:sz w:val="24"/>
          <w:szCs w:val="24"/>
        </w:rPr>
        <w:tab/>
        <w:t>50%</w:t>
      </w:r>
    </w:p>
    <w:p w14:paraId="2AFABE36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B74">
        <w:rPr>
          <w:rFonts w:ascii="Arial" w:hAnsi="Arial" w:cs="Arial"/>
          <w:b/>
          <w:bCs/>
          <w:sz w:val="24"/>
          <w:szCs w:val="24"/>
        </w:rPr>
        <w:t>2024</w:t>
      </w:r>
      <w:r w:rsidRPr="00201B74">
        <w:rPr>
          <w:rFonts w:ascii="Arial" w:hAnsi="Arial" w:cs="Arial"/>
          <w:b/>
          <w:bCs/>
          <w:sz w:val="24"/>
          <w:szCs w:val="24"/>
        </w:rPr>
        <w:tab/>
      </w:r>
      <w:r w:rsidRPr="00201B74">
        <w:rPr>
          <w:rFonts w:ascii="Arial" w:hAnsi="Arial" w:cs="Arial"/>
          <w:b/>
          <w:bCs/>
          <w:sz w:val="24"/>
          <w:szCs w:val="24"/>
        </w:rPr>
        <w:tab/>
        <w:t>25%</w:t>
      </w:r>
    </w:p>
    <w:p w14:paraId="705FD5BC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978F60" w14:textId="77777777" w:rsidR="00442CD3" w:rsidRPr="00201B74" w:rsidRDefault="00442CD3" w:rsidP="00442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B74">
        <w:rPr>
          <w:rFonts w:ascii="Arial" w:hAnsi="Arial" w:cs="Arial"/>
          <w:sz w:val="24"/>
          <w:szCs w:val="24"/>
        </w:rPr>
        <w:t xml:space="preserve">Application forms for vacancy credit can be found at </w:t>
      </w:r>
      <w:hyperlink r:id="rId5" w:history="1">
        <w:r w:rsidRPr="00201B74">
          <w:rPr>
            <w:rStyle w:val="Hyperlink"/>
            <w:rFonts w:ascii="Arial" w:hAnsi="Arial" w:cs="Arial"/>
            <w:sz w:val="24"/>
            <w:szCs w:val="24"/>
          </w:rPr>
          <w:t>www.sdcc.ie/en/services/business/commercial-rates/</w:t>
        </w:r>
      </w:hyperlink>
      <w:r w:rsidRPr="00201B74">
        <w:rPr>
          <w:rFonts w:ascii="Arial" w:hAnsi="Arial" w:cs="Arial"/>
          <w:sz w:val="24"/>
          <w:szCs w:val="24"/>
        </w:rPr>
        <w:t xml:space="preserve">  or by emailing </w:t>
      </w:r>
      <w:hyperlink r:id="rId6" w:history="1">
        <w:r w:rsidRPr="00201B74">
          <w:rPr>
            <w:rStyle w:val="Hyperlink"/>
            <w:rFonts w:ascii="Arial" w:hAnsi="Arial" w:cs="Arial"/>
            <w:sz w:val="24"/>
            <w:szCs w:val="24"/>
          </w:rPr>
          <w:t>ratesdept@sdublincoco.ie</w:t>
        </w:r>
      </w:hyperlink>
      <w:r w:rsidRPr="00201B74">
        <w:rPr>
          <w:rFonts w:ascii="Arial" w:hAnsi="Arial" w:cs="Arial"/>
          <w:sz w:val="24"/>
          <w:szCs w:val="24"/>
        </w:rPr>
        <w:t xml:space="preserve">  </w:t>
      </w:r>
    </w:p>
    <w:p w14:paraId="4FBBBDC2" w14:textId="1C939016" w:rsidR="00033AF4" w:rsidRPr="008D7AA2" w:rsidRDefault="00FF2AA3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  <w:t xml:space="preserve">Changes in owner/occupier of Rateable Property   </w:t>
      </w:r>
    </w:p>
    <w:p w14:paraId="1CD19302" w14:textId="70E37510" w:rsidR="00442CD3" w:rsidRPr="00201B74" w:rsidRDefault="00442CD3" w:rsidP="00442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B74">
        <w:rPr>
          <w:rFonts w:ascii="Arial" w:hAnsi="Arial" w:cs="Arial"/>
          <w:sz w:val="24"/>
          <w:szCs w:val="24"/>
        </w:rPr>
        <w:t xml:space="preserve">All changes in occupancy of rated properties must be notified to the Council within </w:t>
      </w:r>
      <w:r w:rsidR="008A67B1">
        <w:rPr>
          <w:rFonts w:ascii="Arial" w:hAnsi="Arial" w:cs="Arial"/>
          <w:sz w:val="24"/>
          <w:szCs w:val="24"/>
        </w:rPr>
        <w:t>2 weeks</w:t>
      </w:r>
      <w:r w:rsidRPr="00201B74">
        <w:rPr>
          <w:rFonts w:ascii="Arial" w:hAnsi="Arial" w:cs="Arial"/>
          <w:sz w:val="24"/>
          <w:szCs w:val="24"/>
        </w:rPr>
        <w:t xml:space="preserve"> of the change occurring</w:t>
      </w:r>
      <w:r w:rsidR="000A35A0" w:rsidRPr="00201B74">
        <w:rPr>
          <w:rFonts w:ascii="Arial" w:hAnsi="Arial" w:cs="Arial"/>
          <w:sz w:val="24"/>
          <w:szCs w:val="24"/>
        </w:rPr>
        <w:t xml:space="preserve"> and pro rata liability will be calculated</w:t>
      </w:r>
      <w:r w:rsidRPr="00201B74">
        <w:rPr>
          <w:rFonts w:ascii="Arial" w:hAnsi="Arial" w:cs="Arial"/>
          <w:sz w:val="24"/>
          <w:szCs w:val="24"/>
        </w:rPr>
        <w:t xml:space="preserve">. </w:t>
      </w:r>
      <w:r w:rsidR="000A35A0" w:rsidRPr="00201B74">
        <w:rPr>
          <w:rFonts w:ascii="Arial" w:hAnsi="Arial" w:cs="Arial"/>
          <w:sz w:val="24"/>
          <w:szCs w:val="24"/>
        </w:rPr>
        <w:t xml:space="preserve">Failure to notify the Council of changes within the </w:t>
      </w:r>
      <w:proofErr w:type="gramStart"/>
      <w:r w:rsidR="00FF2AA3">
        <w:rPr>
          <w:rFonts w:ascii="Arial" w:hAnsi="Arial" w:cs="Arial"/>
          <w:sz w:val="24"/>
          <w:szCs w:val="24"/>
        </w:rPr>
        <w:t>2</w:t>
      </w:r>
      <w:r w:rsidR="00D254FF">
        <w:rPr>
          <w:rFonts w:ascii="Arial" w:hAnsi="Arial" w:cs="Arial"/>
          <w:sz w:val="24"/>
          <w:szCs w:val="24"/>
        </w:rPr>
        <w:t xml:space="preserve"> </w:t>
      </w:r>
      <w:r w:rsidR="00FF2AA3">
        <w:rPr>
          <w:rFonts w:ascii="Arial" w:hAnsi="Arial" w:cs="Arial"/>
          <w:sz w:val="24"/>
          <w:szCs w:val="24"/>
        </w:rPr>
        <w:t>week</w:t>
      </w:r>
      <w:proofErr w:type="gramEnd"/>
      <w:r w:rsidR="00FF2AA3">
        <w:rPr>
          <w:rFonts w:ascii="Arial" w:hAnsi="Arial" w:cs="Arial"/>
          <w:sz w:val="24"/>
          <w:szCs w:val="24"/>
        </w:rPr>
        <w:t xml:space="preserve"> timeframe </w:t>
      </w:r>
      <w:r w:rsidR="000A35A0" w:rsidRPr="00201B74">
        <w:rPr>
          <w:rFonts w:ascii="Arial" w:hAnsi="Arial" w:cs="Arial"/>
          <w:sz w:val="24"/>
          <w:szCs w:val="24"/>
        </w:rPr>
        <w:t xml:space="preserve">could lead to prosecution </w:t>
      </w:r>
      <w:r w:rsidR="000A35A0" w:rsidRPr="00201B74">
        <w:rPr>
          <w:rFonts w:ascii="Arial" w:hAnsi="Arial" w:cs="Arial"/>
          <w:sz w:val="24"/>
          <w:szCs w:val="24"/>
        </w:rPr>
        <w:lastRenderedPageBreak/>
        <w:t xml:space="preserve">and or fines. </w:t>
      </w:r>
      <w:r w:rsidRPr="00201B74">
        <w:rPr>
          <w:rFonts w:ascii="Arial" w:hAnsi="Arial" w:cs="Arial"/>
          <w:sz w:val="24"/>
          <w:szCs w:val="24"/>
        </w:rPr>
        <w:t>“</w:t>
      </w:r>
      <w:r w:rsidRPr="006344C4">
        <w:rPr>
          <w:rFonts w:ascii="Arial" w:hAnsi="Arial" w:cs="Arial"/>
          <w:sz w:val="24"/>
          <w:szCs w:val="24"/>
        </w:rPr>
        <w:t xml:space="preserve">Change of Occupancy of Rateable Property” form for completion and submission to </w:t>
      </w:r>
      <w:r w:rsidR="00D254FF">
        <w:rPr>
          <w:rFonts w:ascii="Arial" w:hAnsi="Arial" w:cs="Arial"/>
          <w:sz w:val="24"/>
          <w:szCs w:val="24"/>
        </w:rPr>
        <w:t xml:space="preserve">the </w:t>
      </w:r>
      <w:r w:rsidRPr="006344C4">
        <w:rPr>
          <w:rFonts w:ascii="Arial" w:hAnsi="Arial" w:cs="Arial"/>
          <w:sz w:val="24"/>
          <w:szCs w:val="24"/>
        </w:rPr>
        <w:t xml:space="preserve">Council can be found at  </w:t>
      </w:r>
      <w:hyperlink r:id="rId7" w:history="1">
        <w:r w:rsidRPr="006344C4">
          <w:rPr>
            <w:rStyle w:val="Hyperlink"/>
            <w:rFonts w:ascii="Arial" w:hAnsi="Arial" w:cs="Arial"/>
            <w:sz w:val="24"/>
            <w:szCs w:val="24"/>
          </w:rPr>
          <w:t>www.sdcc.ie/en/services/business/commercial-rates/</w:t>
        </w:r>
      </w:hyperlink>
      <w:r w:rsidRPr="006344C4">
        <w:rPr>
          <w:rFonts w:ascii="Arial" w:hAnsi="Arial" w:cs="Arial"/>
          <w:sz w:val="24"/>
          <w:szCs w:val="24"/>
        </w:rPr>
        <w:t xml:space="preserve">  or by emailing </w:t>
      </w:r>
      <w:hyperlink r:id="rId8" w:history="1">
        <w:r w:rsidRPr="006344C4">
          <w:rPr>
            <w:rStyle w:val="Hyperlink"/>
            <w:rFonts w:ascii="Arial" w:hAnsi="Arial" w:cs="Arial"/>
            <w:sz w:val="24"/>
            <w:szCs w:val="24"/>
          </w:rPr>
          <w:t>ratesdept@sdublincoco.ie</w:t>
        </w:r>
      </w:hyperlink>
      <w:r w:rsidRPr="00201B74">
        <w:rPr>
          <w:rFonts w:ascii="Arial" w:hAnsi="Arial" w:cs="Arial"/>
          <w:sz w:val="24"/>
          <w:szCs w:val="24"/>
        </w:rPr>
        <w:t xml:space="preserve">  </w:t>
      </w:r>
    </w:p>
    <w:p w14:paraId="6A323742" w14:textId="77777777" w:rsidR="00033AF4" w:rsidRPr="008D7AA2" w:rsidRDefault="00033AF4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</w:pPr>
      <w:r w:rsidRPr="008D7AA2"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  <w:t>Payment of Commercial Rates</w:t>
      </w:r>
    </w:p>
    <w:p w14:paraId="1FC9B8EB" w14:textId="53894FC0" w:rsidR="00201B74" w:rsidRPr="00201B74" w:rsidRDefault="00201B74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1586C"/>
          <w:sz w:val="24"/>
          <w:szCs w:val="24"/>
          <w:lang w:eastAsia="en-IE"/>
        </w:rPr>
      </w:pPr>
      <w:r w:rsidRPr="00201B74">
        <w:rPr>
          <w:rFonts w:ascii="Arial" w:eastAsia="Times New Roman" w:hAnsi="Arial" w:cs="Arial"/>
          <w:color w:val="41586C"/>
          <w:sz w:val="24"/>
          <w:szCs w:val="24"/>
          <w:lang w:eastAsia="en-IE"/>
        </w:rPr>
        <w:t xml:space="preserve">Commercial rates may be paid by the following </w:t>
      </w:r>
      <w:proofErr w:type="gramStart"/>
      <w:r w:rsidRPr="00201B74">
        <w:rPr>
          <w:rFonts w:ascii="Arial" w:eastAsia="Times New Roman" w:hAnsi="Arial" w:cs="Arial"/>
          <w:color w:val="41586C"/>
          <w:sz w:val="24"/>
          <w:szCs w:val="24"/>
          <w:lang w:eastAsia="en-IE"/>
        </w:rPr>
        <w:t>methods</w:t>
      </w:r>
      <w:proofErr w:type="gramEnd"/>
      <w:r w:rsidRPr="00201B74">
        <w:rPr>
          <w:rFonts w:ascii="Arial" w:eastAsia="Times New Roman" w:hAnsi="Arial" w:cs="Arial"/>
          <w:color w:val="41586C"/>
          <w:sz w:val="24"/>
          <w:szCs w:val="24"/>
          <w:lang w:eastAsia="en-IE"/>
        </w:rPr>
        <w:t xml:space="preserve"> </w:t>
      </w:r>
    </w:p>
    <w:p w14:paraId="158DE23E" w14:textId="77777777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Online payment on </w:t>
      </w:r>
      <w:hyperlink r:id="rId9" w:history="1">
        <w:r w:rsidRPr="00201B74">
          <w:rPr>
            <w:rFonts w:ascii="Arial" w:eastAsia="Arial Unicode MS" w:hAnsi="Arial" w:cs="Arial"/>
            <w:b/>
            <w:bCs/>
            <w:color w:val="0000FF"/>
            <w:sz w:val="24"/>
            <w:szCs w:val="24"/>
            <w:u w:val="single"/>
            <w:lang w:val="en-US" w:eastAsia="en-IE"/>
          </w:rPr>
          <w:t>www.mycoco.ie</w:t>
        </w:r>
      </w:hyperlink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 . </w:t>
      </w:r>
    </w:p>
    <w:p w14:paraId="7F2D0F01" w14:textId="77777777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Monthly Direct Debit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  </w:t>
      </w:r>
    </w:p>
    <w:p w14:paraId="7EA59930" w14:textId="77777777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Banking transfer using </w:t>
      </w:r>
      <w:proofErr w:type="spellStart"/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giro</w:t>
      </w:r>
      <w:proofErr w:type="spellEnd"/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 form attached to </w:t>
      </w:r>
      <w:proofErr w:type="gramStart"/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bill</w:t>
      </w:r>
      <w:proofErr w:type="gramEnd"/>
    </w:p>
    <w:p w14:paraId="31F2C225" w14:textId="77777777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Electronic bank transfer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</w:t>
      </w: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to</w:t>
      </w:r>
    </w:p>
    <w:p w14:paraId="490EDB16" w14:textId="77777777" w:rsidR="00201B74" w:rsidRPr="00201B74" w:rsidRDefault="00201B74" w:rsidP="00201B74">
      <w:pPr>
        <w:spacing w:after="0" w:line="240" w:lineRule="auto"/>
        <w:ind w:left="720" w:firstLine="720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Account Name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: South Dublin County Council Rates Account</w:t>
      </w:r>
    </w:p>
    <w:p w14:paraId="59F7A612" w14:textId="77777777" w:rsidR="00201B74" w:rsidRPr="00201B74" w:rsidRDefault="00201B74" w:rsidP="00201B74">
      <w:pPr>
        <w:spacing w:after="0" w:line="240" w:lineRule="auto"/>
        <w:ind w:left="720" w:firstLine="720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Bank Name &amp; Address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: Allied Irish Banks, Tallaght, Dublin 24  </w:t>
      </w:r>
    </w:p>
    <w:p w14:paraId="0CAADA88" w14:textId="77777777" w:rsidR="00201B74" w:rsidRPr="00201B74" w:rsidRDefault="00201B74" w:rsidP="00201B74">
      <w:pPr>
        <w:spacing w:after="0" w:line="240" w:lineRule="auto"/>
        <w:ind w:left="720" w:firstLine="720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Bank Account Number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: 31001-779</w:t>
      </w:r>
    </w:p>
    <w:p w14:paraId="118E4CA8" w14:textId="77777777" w:rsidR="00201B74" w:rsidRPr="00201B74" w:rsidRDefault="00201B74" w:rsidP="00201B74">
      <w:pPr>
        <w:spacing w:after="0" w:line="240" w:lineRule="auto"/>
        <w:ind w:left="720" w:firstLine="720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IBAN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:IE03 AIBK 9333 1731 0017 79 </w:t>
      </w:r>
    </w:p>
    <w:p w14:paraId="1B1F73D1" w14:textId="77777777" w:rsidR="00201B74" w:rsidRPr="00201B74" w:rsidRDefault="00201B74" w:rsidP="00201B74">
      <w:pPr>
        <w:spacing w:after="0" w:line="240" w:lineRule="auto"/>
        <w:ind w:left="720" w:firstLine="720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BIC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: AIBKIE2D</w:t>
      </w:r>
    </w:p>
    <w:p w14:paraId="20AAE7E7" w14:textId="77777777" w:rsidR="00201B74" w:rsidRPr="00201B74" w:rsidRDefault="00201B74" w:rsidP="00201B74">
      <w:pPr>
        <w:spacing w:after="0" w:line="240" w:lineRule="auto"/>
        <w:ind w:left="720"/>
        <w:jc w:val="both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Please reference your rate account number and customer ID in the EFT to ensure prompt allocation of payment to your account. </w:t>
      </w:r>
    </w:p>
    <w:p w14:paraId="578F4DA0" w14:textId="6680DDD9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In person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at </w:t>
      </w:r>
      <w:proofErr w:type="gramStart"/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Council’s</w:t>
      </w:r>
      <w:proofErr w:type="gramEnd"/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Payments Office in Tallaght or Clondalkin or </w:t>
      </w: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by phone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on 01 4149</w:t>
      </w:r>
      <w:r w:rsidR="00D254FF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121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using debit /credit card.</w:t>
      </w:r>
    </w:p>
    <w:p w14:paraId="2FA1E29F" w14:textId="77777777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By </w:t>
      </w:r>
      <w:proofErr w:type="gramStart"/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post  -</w:t>
      </w:r>
      <w:proofErr w:type="gramEnd"/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 xml:space="preserve"> 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cheques and money orders payable to South Dublin County Council and forwarded to Rates Office, South Dublin County Council, County Hall, Tallaght, Dublin 24 .</w:t>
      </w:r>
    </w:p>
    <w:p w14:paraId="707FAC06" w14:textId="2C7DCAFB" w:rsidR="00201B74" w:rsidRPr="00201B74" w:rsidRDefault="00201B74" w:rsidP="00201B74">
      <w:pPr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</w:pPr>
      <w:r w:rsidRPr="00201B74">
        <w:rPr>
          <w:rFonts w:ascii="Arial" w:eastAsia="Arial Unicode MS" w:hAnsi="Arial" w:cs="Arial"/>
          <w:b/>
          <w:bCs/>
          <w:color w:val="181818"/>
          <w:sz w:val="24"/>
          <w:szCs w:val="24"/>
          <w:lang w:val="en-US" w:eastAsia="en-IE"/>
        </w:rPr>
        <w:t>Payment plan –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by agreed arrangement with Debt Collection Unit. Please contact </w:t>
      </w:r>
      <w:hyperlink r:id="rId10" w:history="1">
        <w:r w:rsidRPr="00201B74">
          <w:rPr>
            <w:rStyle w:val="Hyperlink"/>
            <w:rFonts w:ascii="Arial" w:eastAsia="Arial Unicode MS" w:hAnsi="Arial" w:cs="Arial"/>
            <w:sz w:val="24"/>
            <w:szCs w:val="24"/>
            <w:lang w:val="en-US" w:eastAsia="en-IE"/>
          </w:rPr>
          <w:t>dcu@sdublincoco.ie</w:t>
        </w:r>
      </w:hyperlink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or by phone on 01 4149</w:t>
      </w:r>
      <w:r w:rsidR="00F53452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3</w:t>
      </w:r>
      <w:r w:rsidR="00D254FF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>36</w:t>
      </w:r>
      <w:r w:rsidRPr="00201B74">
        <w:rPr>
          <w:rFonts w:ascii="Arial" w:eastAsia="Arial Unicode MS" w:hAnsi="Arial" w:cs="Arial"/>
          <w:color w:val="181818"/>
          <w:sz w:val="24"/>
          <w:szCs w:val="24"/>
          <w:lang w:val="en-US" w:eastAsia="en-IE"/>
        </w:rPr>
        <w:t xml:space="preserve"> for further information </w:t>
      </w:r>
    </w:p>
    <w:p w14:paraId="0C8E4D16" w14:textId="0DF106D9" w:rsidR="00201B74" w:rsidRPr="00F22CDB" w:rsidRDefault="00075DAF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</w:pPr>
      <w:r w:rsidRPr="00F22CDB"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  <w:t>Assessment of Rates</w:t>
      </w:r>
    </w:p>
    <w:p w14:paraId="39DA761C" w14:textId="1FDE9922" w:rsidR="00D46F36" w:rsidRDefault="00075DAF" w:rsidP="00075DAF">
      <w:pPr>
        <w:spacing w:after="0"/>
      </w:pPr>
      <w:r>
        <w:t>Commercial rates are calculated as a multiplier of the Rateable Valuation of the property and the “Annual Rate of Valuation” (ARV)</w:t>
      </w:r>
      <w:r w:rsidR="00D46F36">
        <w:t xml:space="preserve"> which is determined by the elected members of the Council at the Annual Budget Meeting</w:t>
      </w:r>
      <w:r>
        <w:t xml:space="preserve">. </w:t>
      </w:r>
      <w:r w:rsidR="00D46F36">
        <w:t xml:space="preserve">The ARV for South Dublin 2024 is 0.276. </w:t>
      </w:r>
    </w:p>
    <w:p w14:paraId="7F921C77" w14:textId="77777777" w:rsidR="00D46F36" w:rsidRDefault="00D46F36" w:rsidP="00075DAF">
      <w:pPr>
        <w:spacing w:after="0"/>
      </w:pPr>
    </w:p>
    <w:p w14:paraId="32E5D60A" w14:textId="03F3C508" w:rsidR="00075DAF" w:rsidRDefault="00075DAF" w:rsidP="00075DAF">
      <w:pPr>
        <w:spacing w:after="0"/>
      </w:pPr>
      <w:r>
        <w:t xml:space="preserve">The Rateable Valuation of the property is determined by </w:t>
      </w:r>
      <w:bookmarkStart w:id="1" w:name="_Hlk157592084"/>
      <w:r>
        <w:t xml:space="preserve">Commissioner for Valuation </w:t>
      </w:r>
      <w:bookmarkEnd w:id="1"/>
      <w:r>
        <w:t xml:space="preserve">at </w:t>
      </w:r>
      <w:proofErr w:type="spellStart"/>
      <w:r>
        <w:t>Tailte</w:t>
      </w:r>
      <w:proofErr w:type="spellEnd"/>
      <w:r>
        <w:t xml:space="preserve"> Eireann. Amendments to valuations </w:t>
      </w:r>
      <w:r w:rsidR="00D46F36">
        <w:t xml:space="preserve">notified </w:t>
      </w:r>
      <w:proofErr w:type="gramStart"/>
      <w:r w:rsidR="00D46F36">
        <w:t>by  Commissioner</w:t>
      </w:r>
      <w:proofErr w:type="gramEnd"/>
      <w:r w:rsidR="00D46F36">
        <w:t xml:space="preserve"> for Valuation  </w:t>
      </w:r>
      <w:r>
        <w:t xml:space="preserve">since 1/1/24 will be </w:t>
      </w:r>
      <w:r w:rsidR="00D46F36">
        <w:t>effective immediately .</w:t>
      </w:r>
      <w:r>
        <w:t xml:space="preserve">  South Dublin County Council cannot amend the valuation on a property as determined by Commissioner for Valuation</w:t>
      </w:r>
      <w:r w:rsidR="00D46F36">
        <w:t>.</w:t>
      </w:r>
      <w:r>
        <w:t xml:space="preserve"> </w:t>
      </w:r>
    </w:p>
    <w:p w14:paraId="46A43404" w14:textId="77777777" w:rsidR="00F22CDB" w:rsidRDefault="00F22CDB" w:rsidP="00075DAF">
      <w:pPr>
        <w:spacing w:after="0"/>
      </w:pPr>
    </w:p>
    <w:p w14:paraId="6F093195" w14:textId="77777777" w:rsidR="00F22CDB" w:rsidRPr="005B0FFD" w:rsidRDefault="00F22CDB" w:rsidP="00F22CDB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GB"/>
        </w:rPr>
      </w:pPr>
      <w:r w:rsidRPr="005B0FFD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All valuation enquiries should be made directly to </w:t>
      </w:r>
    </w:p>
    <w:p w14:paraId="4EC00BD4" w14:textId="77777777" w:rsidR="00F22CDB" w:rsidRPr="007B1A0D" w:rsidRDefault="00F22CDB" w:rsidP="00F22CDB">
      <w:pPr>
        <w:pStyle w:val="NormalWeb"/>
        <w:shd w:val="clear" w:color="auto" w:fill="FFFFFF"/>
        <w:spacing w:before="0" w:beforeAutospacing="0"/>
        <w:ind w:left="720"/>
        <w:rPr>
          <w:rFonts w:ascii="Lato" w:hAnsi="Lato"/>
          <w:color w:val="565148"/>
          <w:sz w:val="22"/>
          <w:szCs w:val="22"/>
        </w:rPr>
      </w:pPr>
      <w:proofErr w:type="spellStart"/>
      <w:r w:rsidRPr="007B1A0D">
        <w:rPr>
          <w:rFonts w:ascii="Lato" w:hAnsi="Lato"/>
          <w:color w:val="565148"/>
          <w:sz w:val="22"/>
          <w:szCs w:val="22"/>
        </w:rPr>
        <w:t>Tailte</w:t>
      </w:r>
      <w:proofErr w:type="spellEnd"/>
      <w:r w:rsidRPr="007B1A0D">
        <w:rPr>
          <w:rFonts w:ascii="Lato" w:hAnsi="Lato"/>
          <w:color w:val="565148"/>
          <w:sz w:val="22"/>
          <w:szCs w:val="22"/>
        </w:rPr>
        <w:t xml:space="preserve"> Éireann - Valuation</w:t>
      </w:r>
      <w:r w:rsidRPr="007B1A0D">
        <w:rPr>
          <w:rFonts w:ascii="Lato" w:hAnsi="Lato"/>
          <w:color w:val="565148"/>
          <w:sz w:val="22"/>
          <w:szCs w:val="22"/>
        </w:rPr>
        <w:br/>
        <w:t>Block 2, Irish life Centre,</w:t>
      </w:r>
      <w:r w:rsidRPr="007B1A0D">
        <w:rPr>
          <w:rFonts w:ascii="Lato" w:hAnsi="Lato"/>
          <w:color w:val="565148"/>
          <w:sz w:val="22"/>
          <w:szCs w:val="22"/>
        </w:rPr>
        <w:br/>
        <w:t>Abbey Street Lower,</w:t>
      </w:r>
      <w:r>
        <w:rPr>
          <w:rFonts w:ascii="Lato" w:hAnsi="Lato"/>
          <w:color w:val="565148"/>
          <w:sz w:val="22"/>
          <w:szCs w:val="22"/>
        </w:rPr>
        <w:t xml:space="preserve"> Dublin 1</w:t>
      </w:r>
      <w:r w:rsidRPr="007B1A0D">
        <w:rPr>
          <w:rFonts w:ascii="Lato" w:hAnsi="Lato"/>
          <w:color w:val="565148"/>
          <w:sz w:val="22"/>
          <w:szCs w:val="22"/>
        </w:rPr>
        <w:br/>
        <w:t>D01E9X0</w:t>
      </w:r>
    </w:p>
    <w:p w14:paraId="389290AB" w14:textId="77777777" w:rsidR="00F22CDB" w:rsidRDefault="00F22CDB" w:rsidP="00F22CDB">
      <w:pPr>
        <w:pStyle w:val="NormalWeb"/>
        <w:shd w:val="clear" w:color="auto" w:fill="FFFFFF"/>
        <w:spacing w:before="0" w:beforeAutospacing="0"/>
        <w:ind w:left="720"/>
        <w:rPr>
          <w:rFonts w:ascii="Lato" w:hAnsi="Lato"/>
          <w:color w:val="565148"/>
          <w:sz w:val="22"/>
          <w:szCs w:val="22"/>
        </w:rPr>
      </w:pPr>
      <w:r w:rsidRPr="007B1A0D">
        <w:rPr>
          <w:rStyle w:val="Strong"/>
          <w:rFonts w:ascii="Lato" w:eastAsiaTheme="majorEastAsia" w:hAnsi="Lato"/>
          <w:color w:val="565148"/>
          <w:sz w:val="22"/>
          <w:szCs w:val="22"/>
        </w:rPr>
        <w:t>Tel:</w:t>
      </w:r>
      <w:r w:rsidRPr="007B1A0D">
        <w:rPr>
          <w:rFonts w:ascii="Lato" w:hAnsi="Lato"/>
          <w:color w:val="565148"/>
          <w:sz w:val="22"/>
          <w:szCs w:val="22"/>
        </w:rPr>
        <w:t> +353 1 817 1000</w:t>
      </w:r>
      <w:r>
        <w:rPr>
          <w:rFonts w:ascii="Lato" w:hAnsi="Lato"/>
          <w:color w:val="565148"/>
          <w:sz w:val="22"/>
          <w:szCs w:val="22"/>
        </w:rPr>
        <w:t xml:space="preserve"> Email </w:t>
      </w:r>
      <w:hyperlink r:id="rId11" w:history="1">
        <w:r w:rsidRPr="005B0FFD">
          <w:rPr>
            <w:rFonts w:ascii="Calibri" w:hAnsi="Calibri" w:cs="Calibri"/>
            <w:color w:val="0000FF"/>
            <w:u w:val="single"/>
            <w:shd w:val="clear" w:color="auto" w:fill="FFFFFF"/>
            <w:lang w:val="en-GB"/>
          </w:rPr>
          <w:t>valuationadmin@tailte.ie</w:t>
        </w:r>
      </w:hyperlink>
      <w:r w:rsidRPr="005B0FFD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  <w:r w:rsidRPr="007B1A0D">
        <w:rPr>
          <w:rFonts w:ascii="Lato" w:hAnsi="Lato"/>
          <w:color w:val="565148"/>
          <w:sz w:val="22"/>
          <w:szCs w:val="22"/>
        </w:rPr>
        <w:br/>
      </w:r>
      <w:r w:rsidRPr="007B1A0D">
        <w:rPr>
          <w:rStyle w:val="Strong"/>
          <w:rFonts w:ascii="Lato" w:eastAsiaTheme="majorEastAsia" w:hAnsi="Lato"/>
          <w:color w:val="565148"/>
          <w:sz w:val="22"/>
          <w:szCs w:val="22"/>
        </w:rPr>
        <w:t>LoCall:</w:t>
      </w:r>
      <w:r w:rsidRPr="007B1A0D">
        <w:rPr>
          <w:rFonts w:ascii="Lato" w:hAnsi="Lato"/>
          <w:color w:val="565148"/>
          <w:sz w:val="22"/>
          <w:szCs w:val="22"/>
        </w:rPr>
        <w:t>1800 304 444</w:t>
      </w:r>
    </w:p>
    <w:p w14:paraId="27AC9839" w14:textId="77777777" w:rsidR="00D46F36" w:rsidRDefault="00D46F36" w:rsidP="00075DAF">
      <w:pPr>
        <w:spacing w:after="0"/>
      </w:pPr>
    </w:p>
    <w:p w14:paraId="1033C2D9" w14:textId="56765814" w:rsidR="00075DAF" w:rsidRPr="00AE0418" w:rsidRDefault="00AE0418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</w:pPr>
      <w:r w:rsidRPr="00AE0418">
        <w:rPr>
          <w:rFonts w:ascii="Arial" w:eastAsia="Times New Roman" w:hAnsi="Arial" w:cs="Arial"/>
          <w:b/>
          <w:bCs/>
          <w:color w:val="45B0E1" w:themeColor="accent1" w:themeTint="99"/>
          <w:sz w:val="24"/>
          <w:szCs w:val="24"/>
          <w:u w:val="single"/>
          <w:lang w:eastAsia="en-IE"/>
        </w:rPr>
        <w:lastRenderedPageBreak/>
        <w:t xml:space="preserve">Billing enquiries  </w:t>
      </w:r>
    </w:p>
    <w:p w14:paraId="3314342E" w14:textId="41771B4D" w:rsidR="00AE0418" w:rsidRDefault="00AE0418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1586C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41586C"/>
          <w:sz w:val="24"/>
          <w:szCs w:val="24"/>
          <w:lang w:eastAsia="en-IE"/>
        </w:rPr>
        <w:t xml:space="preserve">All queries on rates billing and liability can be made to </w:t>
      </w:r>
      <w:hyperlink r:id="rId12" w:history="1">
        <w:r w:rsidRPr="00D12B15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ratesdept@sdublincoco.ie</w:t>
        </w:r>
      </w:hyperlink>
      <w:r>
        <w:rPr>
          <w:rFonts w:ascii="Arial" w:eastAsia="Times New Roman" w:hAnsi="Arial" w:cs="Arial"/>
          <w:color w:val="41586C"/>
          <w:sz w:val="24"/>
          <w:szCs w:val="24"/>
          <w:lang w:eastAsia="en-IE"/>
        </w:rPr>
        <w:t xml:space="preserve"> or by phone on 01 41490</w:t>
      </w:r>
      <w:r w:rsidR="008E1FB5">
        <w:rPr>
          <w:rFonts w:ascii="Arial" w:eastAsia="Times New Roman" w:hAnsi="Arial" w:cs="Arial"/>
          <w:color w:val="41586C"/>
          <w:sz w:val="24"/>
          <w:szCs w:val="24"/>
          <w:lang w:eastAsia="en-IE"/>
        </w:rPr>
        <w:t>99</w:t>
      </w:r>
      <w:r w:rsidR="00131F3E">
        <w:rPr>
          <w:rFonts w:ascii="Arial" w:eastAsia="Times New Roman" w:hAnsi="Arial" w:cs="Arial"/>
          <w:color w:val="41586C"/>
          <w:sz w:val="24"/>
          <w:szCs w:val="24"/>
          <w:lang w:eastAsia="en-IE"/>
        </w:rPr>
        <w:t>. Customer number and rates account number should be quoted in all correspondence.</w:t>
      </w:r>
      <w:r>
        <w:rPr>
          <w:rFonts w:ascii="Arial" w:eastAsia="Times New Roman" w:hAnsi="Arial" w:cs="Arial"/>
          <w:color w:val="41586C"/>
          <w:sz w:val="24"/>
          <w:szCs w:val="24"/>
          <w:lang w:eastAsia="en-IE"/>
        </w:rPr>
        <w:t xml:space="preserve"> </w:t>
      </w:r>
    </w:p>
    <w:p w14:paraId="1716F9EF" w14:textId="77777777" w:rsidR="00AE0418" w:rsidRDefault="00AE0418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1586C"/>
          <w:sz w:val="24"/>
          <w:szCs w:val="24"/>
          <w:lang w:eastAsia="en-IE"/>
        </w:rPr>
      </w:pPr>
    </w:p>
    <w:p w14:paraId="20FC651E" w14:textId="77777777" w:rsidR="00AE0418" w:rsidRDefault="00AE0418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1586C"/>
          <w:sz w:val="24"/>
          <w:szCs w:val="24"/>
          <w:lang w:eastAsia="en-IE"/>
        </w:rPr>
      </w:pPr>
    </w:p>
    <w:p w14:paraId="190C22D0" w14:textId="77777777" w:rsidR="00AE0418" w:rsidRPr="00201B74" w:rsidRDefault="00AE0418" w:rsidP="00033AF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1586C"/>
          <w:sz w:val="24"/>
          <w:szCs w:val="24"/>
          <w:lang w:eastAsia="en-IE"/>
        </w:rPr>
      </w:pPr>
    </w:p>
    <w:p w14:paraId="73FEAD14" w14:textId="77777777" w:rsidR="00033AF4" w:rsidRDefault="00033AF4" w:rsidP="00033AF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41586C"/>
          <w:sz w:val="33"/>
          <w:szCs w:val="33"/>
          <w:lang w:eastAsia="en-IE"/>
        </w:rPr>
      </w:pPr>
      <w:r w:rsidRPr="00033AF4">
        <w:rPr>
          <w:rFonts w:ascii="Montserrat" w:eastAsia="Times New Roman" w:hAnsi="Montserrat" w:cs="Times New Roman"/>
          <w:color w:val="41586C"/>
          <w:sz w:val="33"/>
          <w:szCs w:val="33"/>
          <w:lang w:eastAsia="en-IE"/>
        </w:rPr>
        <w:t>Related file(s)</w:t>
      </w:r>
    </w:p>
    <w:p w14:paraId="1C054F7C" w14:textId="77777777" w:rsidR="00AE0418" w:rsidRPr="00033AF4" w:rsidRDefault="00AE0418" w:rsidP="00033AF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41586C"/>
          <w:sz w:val="33"/>
          <w:szCs w:val="33"/>
          <w:lang w:eastAsia="en-IE"/>
        </w:rPr>
      </w:pPr>
    </w:p>
    <w:p w14:paraId="0C42CF1B" w14:textId="09677BB6" w:rsidR="00033AF4" w:rsidRPr="00033AF4" w:rsidRDefault="00033AF4" w:rsidP="00033AF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83838"/>
          <w:sz w:val="24"/>
          <w:szCs w:val="24"/>
          <w:lang w:eastAsia="en-IE"/>
        </w:rPr>
      </w:pPr>
    </w:p>
    <w:sectPr w:rsidR="00033AF4" w:rsidRPr="0003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C52"/>
    <w:multiLevelType w:val="multilevel"/>
    <w:tmpl w:val="BC9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B6A7E"/>
    <w:multiLevelType w:val="multilevel"/>
    <w:tmpl w:val="6EB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C37A1"/>
    <w:multiLevelType w:val="hybridMultilevel"/>
    <w:tmpl w:val="D6621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A3D"/>
    <w:multiLevelType w:val="multilevel"/>
    <w:tmpl w:val="AB4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51106">
    <w:abstractNumId w:val="1"/>
  </w:num>
  <w:num w:numId="2" w16cid:durableId="1236164178">
    <w:abstractNumId w:val="3"/>
  </w:num>
  <w:num w:numId="3" w16cid:durableId="693649692">
    <w:abstractNumId w:val="0"/>
  </w:num>
  <w:num w:numId="4" w16cid:durableId="11926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4"/>
    <w:rsid w:val="00033AF4"/>
    <w:rsid w:val="00075DAF"/>
    <w:rsid w:val="000A35A0"/>
    <w:rsid w:val="00131F3E"/>
    <w:rsid w:val="00157A3B"/>
    <w:rsid w:val="00201B74"/>
    <w:rsid w:val="00280ED3"/>
    <w:rsid w:val="00442CD3"/>
    <w:rsid w:val="00491F0C"/>
    <w:rsid w:val="004E4A6C"/>
    <w:rsid w:val="005207DD"/>
    <w:rsid w:val="005A4FC0"/>
    <w:rsid w:val="006344C4"/>
    <w:rsid w:val="00745CD5"/>
    <w:rsid w:val="007F129C"/>
    <w:rsid w:val="008244F3"/>
    <w:rsid w:val="008A67B1"/>
    <w:rsid w:val="008D7AA2"/>
    <w:rsid w:val="008E1FB5"/>
    <w:rsid w:val="00AE0418"/>
    <w:rsid w:val="00BA35B9"/>
    <w:rsid w:val="00C97405"/>
    <w:rsid w:val="00D254FF"/>
    <w:rsid w:val="00D46F36"/>
    <w:rsid w:val="00F22CDB"/>
    <w:rsid w:val="00F53452"/>
    <w:rsid w:val="00F77611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5CB2"/>
  <w15:chartTrackingRefBased/>
  <w15:docId w15:val="{63B622EB-7F8C-4BE8-A1FF-4FE0509E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AF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F12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2CD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22C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0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7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40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4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5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1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5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8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6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78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31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55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9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27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2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dept@sdublincoco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cc.ie/en/services/business/commercial-rates/" TargetMode="External"/><Relationship Id="rId12" Type="http://schemas.openxmlformats.org/officeDocument/2006/relationships/hyperlink" Target="mailto:ratesdept@sdublin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esdept@sdublincoco.ie" TargetMode="External"/><Relationship Id="rId11" Type="http://schemas.openxmlformats.org/officeDocument/2006/relationships/hyperlink" Target="mailto:valuationadmin@tailte.ie" TargetMode="External"/><Relationship Id="rId5" Type="http://schemas.openxmlformats.org/officeDocument/2006/relationships/hyperlink" Target="http://www.sdcc.ie/en/services/business/commercial-rates/" TargetMode="External"/><Relationship Id="rId10" Type="http://schemas.openxmlformats.org/officeDocument/2006/relationships/hyperlink" Target="mailto:dcu@sdubli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Jordan</dc:creator>
  <cp:keywords/>
  <dc:description/>
  <cp:lastModifiedBy>Marian Jordan</cp:lastModifiedBy>
  <cp:revision>37</cp:revision>
  <dcterms:created xsi:type="dcterms:W3CDTF">2024-01-26T15:16:00Z</dcterms:created>
  <dcterms:modified xsi:type="dcterms:W3CDTF">2024-02-01T10:17:00Z</dcterms:modified>
</cp:coreProperties>
</file>