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584" w14:textId="168D715A" w:rsidR="004D5084" w:rsidRPr="00633123" w:rsidRDefault="004D5084" w:rsidP="00633123">
      <w:pPr>
        <w:jc w:val="center"/>
        <w:rPr>
          <w:b/>
          <w:bCs/>
          <w:sz w:val="28"/>
          <w:szCs w:val="28"/>
          <w:u w:val="single"/>
          <w:lang w:val="en-GB"/>
        </w:rPr>
      </w:pPr>
      <w:r w:rsidRPr="00633123">
        <w:rPr>
          <w:b/>
          <w:bCs/>
          <w:sz w:val="28"/>
          <w:szCs w:val="28"/>
          <w:u w:val="single"/>
          <w:lang w:val="en-GB"/>
        </w:rPr>
        <w:t>Short Term Availability</w:t>
      </w:r>
      <w:r w:rsidR="000A46C9">
        <w:rPr>
          <w:b/>
          <w:bCs/>
          <w:sz w:val="28"/>
          <w:szCs w:val="28"/>
          <w:u w:val="single"/>
          <w:lang w:val="en-GB"/>
        </w:rPr>
        <w:t xml:space="preserve"> </w:t>
      </w:r>
      <w:r w:rsidR="00EF55A6">
        <w:rPr>
          <w:b/>
          <w:bCs/>
          <w:sz w:val="28"/>
          <w:szCs w:val="28"/>
          <w:u w:val="single"/>
          <w:lang w:val="en-GB"/>
        </w:rPr>
        <w:t>Agreements (</w:t>
      </w:r>
      <w:r w:rsidR="008F52E6">
        <w:rPr>
          <w:b/>
          <w:bCs/>
          <w:sz w:val="28"/>
          <w:szCs w:val="28"/>
          <w:u w:val="single"/>
          <w:lang w:val="en-GB"/>
        </w:rPr>
        <w:t>R</w:t>
      </w:r>
      <w:r w:rsidR="006C3ECB">
        <w:rPr>
          <w:b/>
          <w:bCs/>
          <w:sz w:val="28"/>
          <w:szCs w:val="28"/>
          <w:u w:val="single"/>
          <w:lang w:val="en-GB"/>
        </w:rPr>
        <w:t>AS</w:t>
      </w:r>
      <w:r w:rsidR="008F52E6">
        <w:rPr>
          <w:b/>
          <w:bCs/>
          <w:sz w:val="28"/>
          <w:szCs w:val="28"/>
          <w:u w:val="single"/>
          <w:lang w:val="en-GB"/>
        </w:rPr>
        <w:t xml:space="preserve"> Type</w:t>
      </w:r>
      <w:r w:rsidR="00EF55A6">
        <w:rPr>
          <w:b/>
          <w:bCs/>
          <w:sz w:val="28"/>
          <w:szCs w:val="28"/>
          <w:u w:val="single"/>
          <w:lang w:val="en-GB"/>
        </w:rPr>
        <w:t>)</w:t>
      </w:r>
      <w:r w:rsidRPr="00633123">
        <w:rPr>
          <w:b/>
          <w:bCs/>
          <w:sz w:val="28"/>
          <w:szCs w:val="28"/>
          <w:u w:val="single"/>
          <w:lang w:val="en-GB"/>
        </w:rPr>
        <w:t xml:space="preserve"> – (1-10 Years)</w:t>
      </w:r>
    </w:p>
    <w:p w14:paraId="35644C24" w14:textId="6FE35935" w:rsidR="004D5084" w:rsidRPr="004D5084" w:rsidRDefault="004D5084" w:rsidP="00B41EC3">
      <w:pPr>
        <w:jc w:val="both"/>
        <w:rPr>
          <w:lang w:val="en-GB"/>
        </w:rPr>
      </w:pPr>
      <w:r>
        <w:rPr>
          <w:lang w:val="en-GB"/>
        </w:rPr>
        <w:t>U</w:t>
      </w:r>
      <w:r w:rsidRPr="004D5084">
        <w:rPr>
          <w:lang w:val="en-GB"/>
        </w:rPr>
        <w:t>nder the</w:t>
      </w:r>
      <w:r w:rsidR="00494C14">
        <w:rPr>
          <w:lang w:val="en-GB"/>
        </w:rPr>
        <w:t xml:space="preserve"> Scheme, </w:t>
      </w:r>
      <w:r w:rsidR="00EF55A6">
        <w:rPr>
          <w:lang w:val="en-GB"/>
        </w:rPr>
        <w:t xml:space="preserve">rental agreements </w:t>
      </w:r>
      <w:r w:rsidRPr="004D5084">
        <w:rPr>
          <w:lang w:val="en-GB"/>
        </w:rPr>
        <w:t xml:space="preserve">can be entered into between local </w:t>
      </w:r>
      <w:r>
        <w:rPr>
          <w:lang w:val="en-GB"/>
        </w:rPr>
        <w:t>a</w:t>
      </w:r>
      <w:r w:rsidRPr="004D5084">
        <w:rPr>
          <w:lang w:val="en-GB"/>
        </w:rPr>
        <w:t>uthorities and property owners</w:t>
      </w:r>
      <w:r w:rsidR="00494C14">
        <w:rPr>
          <w:lang w:val="en-GB"/>
        </w:rPr>
        <w:t xml:space="preserve"> for periods between one and ten years</w:t>
      </w:r>
      <w:r w:rsidRPr="004D5084">
        <w:rPr>
          <w:lang w:val="en-GB"/>
        </w:rPr>
        <w:t xml:space="preserve">. </w:t>
      </w:r>
    </w:p>
    <w:p w14:paraId="60EDB3F0" w14:textId="766A15CF" w:rsidR="004D5084" w:rsidRPr="004D5084" w:rsidRDefault="00B41EC3" w:rsidP="00B41EC3">
      <w:pPr>
        <w:jc w:val="both"/>
        <w:rPr>
          <w:b/>
          <w:bCs/>
          <w:lang w:val="en-GB"/>
        </w:rPr>
      </w:pPr>
      <w:r>
        <w:rPr>
          <w:b/>
          <w:bCs/>
          <w:lang w:val="en-GB"/>
        </w:rPr>
        <w:t>Under an</w:t>
      </w:r>
      <w:r w:rsidR="004D5084" w:rsidRPr="004D5084">
        <w:rPr>
          <w:b/>
          <w:bCs/>
          <w:lang w:val="en-GB"/>
        </w:rPr>
        <w:t xml:space="preserve"> </w:t>
      </w:r>
      <w:r w:rsidR="006C3ECB">
        <w:rPr>
          <w:b/>
          <w:bCs/>
          <w:lang w:val="en-GB"/>
        </w:rPr>
        <w:t>A</w:t>
      </w:r>
      <w:r w:rsidR="004D5084" w:rsidRPr="004D5084">
        <w:rPr>
          <w:b/>
          <w:bCs/>
          <w:lang w:val="en-GB"/>
        </w:rPr>
        <w:t>vailability</w:t>
      </w:r>
      <w:r w:rsidR="00F3489D">
        <w:rPr>
          <w:b/>
          <w:bCs/>
          <w:lang w:val="en-GB"/>
        </w:rPr>
        <w:t xml:space="preserve"> </w:t>
      </w:r>
      <w:r w:rsidR="006C3ECB">
        <w:rPr>
          <w:b/>
          <w:bCs/>
          <w:lang w:val="en-GB"/>
        </w:rPr>
        <w:t>Agreement</w:t>
      </w:r>
      <w:r w:rsidR="00EF55A6">
        <w:rPr>
          <w:b/>
          <w:bCs/>
          <w:lang w:val="en-GB"/>
        </w:rPr>
        <w:t xml:space="preserve"> (RAS Type)</w:t>
      </w:r>
      <w:r w:rsidR="006C3ECB">
        <w:rPr>
          <w:b/>
          <w:bCs/>
          <w:lang w:val="en-GB"/>
        </w:rPr>
        <w:t>,</w:t>
      </w:r>
      <w:r w:rsidR="004D5084" w:rsidRPr="004D5084">
        <w:rPr>
          <w:b/>
          <w:bCs/>
          <w:lang w:val="en-GB"/>
        </w:rPr>
        <w:t xml:space="preserve"> </w:t>
      </w:r>
      <w:r>
        <w:rPr>
          <w:b/>
          <w:bCs/>
          <w:lang w:val="en-GB"/>
        </w:rPr>
        <w:t>the</w:t>
      </w:r>
      <w:r w:rsidR="004D5084" w:rsidRPr="004D5084">
        <w:rPr>
          <w:b/>
          <w:bCs/>
          <w:lang w:val="en-GB"/>
        </w:rPr>
        <w:t xml:space="preserve"> property owners will:</w:t>
      </w:r>
    </w:p>
    <w:p w14:paraId="3E128FC8" w14:textId="5F6C92ED" w:rsidR="004D5084" w:rsidRPr="004D5084" w:rsidRDefault="004D5084" w:rsidP="00B41EC3">
      <w:pPr>
        <w:pStyle w:val="ListParagraph"/>
        <w:numPr>
          <w:ilvl w:val="0"/>
          <w:numId w:val="1"/>
        </w:numPr>
        <w:jc w:val="both"/>
        <w:rPr>
          <w:lang w:val="en-GB"/>
        </w:rPr>
      </w:pPr>
      <w:r w:rsidRPr="004D5084">
        <w:rPr>
          <w:lang w:val="en-GB"/>
        </w:rPr>
        <w:t>Receive guaranteed rental income from the local authority monthly.</w:t>
      </w:r>
    </w:p>
    <w:p w14:paraId="6922B622" w14:textId="7685D4F1" w:rsidR="004D5084" w:rsidRPr="004D5084" w:rsidRDefault="004D5084" w:rsidP="00B41EC3">
      <w:pPr>
        <w:pStyle w:val="ListParagraph"/>
        <w:numPr>
          <w:ilvl w:val="0"/>
          <w:numId w:val="1"/>
        </w:numPr>
        <w:jc w:val="both"/>
        <w:rPr>
          <w:lang w:val="en-GB"/>
        </w:rPr>
      </w:pPr>
      <w:r w:rsidRPr="004D5084">
        <w:rPr>
          <w:lang w:val="en-GB"/>
        </w:rPr>
        <w:t>Receive rent payments for vacancy periods.</w:t>
      </w:r>
    </w:p>
    <w:p w14:paraId="73B22551" w14:textId="77F8601D" w:rsidR="004D5084" w:rsidRPr="004D5084" w:rsidRDefault="004D5084" w:rsidP="00B41EC3">
      <w:pPr>
        <w:pStyle w:val="ListParagraph"/>
        <w:numPr>
          <w:ilvl w:val="0"/>
          <w:numId w:val="1"/>
        </w:numPr>
        <w:jc w:val="both"/>
        <w:rPr>
          <w:lang w:val="en-GB"/>
        </w:rPr>
      </w:pPr>
      <w:r w:rsidRPr="004D5084">
        <w:rPr>
          <w:lang w:val="en-GB"/>
        </w:rPr>
        <w:t>Have no rent collection or rent arrears obligations.</w:t>
      </w:r>
    </w:p>
    <w:p w14:paraId="144E9501" w14:textId="2BED4CCE" w:rsidR="004D5084" w:rsidRPr="004D5084" w:rsidRDefault="004D5084" w:rsidP="00B41EC3">
      <w:pPr>
        <w:pStyle w:val="ListParagraph"/>
        <w:numPr>
          <w:ilvl w:val="0"/>
          <w:numId w:val="1"/>
        </w:numPr>
        <w:jc w:val="both"/>
        <w:rPr>
          <w:lang w:val="en-GB"/>
        </w:rPr>
      </w:pPr>
      <w:r w:rsidRPr="004D5084">
        <w:rPr>
          <w:lang w:val="en-GB"/>
        </w:rPr>
        <w:t>Not incur advertising or administrative overheads.</w:t>
      </w:r>
    </w:p>
    <w:p w14:paraId="3DE4A7BD" w14:textId="3DCB68DA" w:rsidR="004D5084" w:rsidRDefault="004D5084" w:rsidP="00B41EC3">
      <w:pPr>
        <w:pStyle w:val="ListParagraph"/>
        <w:numPr>
          <w:ilvl w:val="0"/>
          <w:numId w:val="1"/>
        </w:numPr>
        <w:jc w:val="both"/>
        <w:rPr>
          <w:lang w:val="en-GB"/>
        </w:rPr>
      </w:pPr>
      <w:r w:rsidRPr="004D5084">
        <w:rPr>
          <w:lang w:val="en-GB"/>
        </w:rPr>
        <w:t>Be required to register tenancies with the Residential Tenancies Board (RTB).</w:t>
      </w:r>
    </w:p>
    <w:p w14:paraId="780BE374" w14:textId="2268EFDC" w:rsidR="00B41EC3" w:rsidRDefault="00B41EC3" w:rsidP="00B41EC3">
      <w:pPr>
        <w:jc w:val="both"/>
        <w:rPr>
          <w:b/>
          <w:bCs/>
          <w:lang w:val="en-GB"/>
        </w:rPr>
      </w:pPr>
      <w:r>
        <w:rPr>
          <w:b/>
          <w:bCs/>
          <w:lang w:val="en-GB"/>
        </w:rPr>
        <w:t>Legal Agreement</w:t>
      </w:r>
    </w:p>
    <w:p w14:paraId="2EC6806C" w14:textId="2382507C" w:rsidR="00B41EC3" w:rsidRPr="00B41EC3" w:rsidRDefault="00ED322A" w:rsidP="00B41EC3">
      <w:pPr>
        <w:jc w:val="both"/>
        <w:rPr>
          <w:lang w:val="en-GB"/>
        </w:rPr>
      </w:pPr>
      <w:r>
        <w:rPr>
          <w:lang w:val="en-GB"/>
        </w:rPr>
        <w:t>O</w:t>
      </w:r>
      <w:r w:rsidR="00B41EC3" w:rsidRPr="00B41EC3">
        <w:rPr>
          <w:lang w:val="en-GB"/>
        </w:rPr>
        <w:t>wners will sign an ‘availability agreement’ with the local authority. Under the terms of this agreement, the owner agrees to make the property available for a specific period for nominees of the local authority and to maintain the property in a lettable condition.</w:t>
      </w:r>
    </w:p>
    <w:p w14:paraId="19DE1972" w14:textId="56DED5A2" w:rsidR="004D5084" w:rsidRDefault="004D5084" w:rsidP="00B41EC3">
      <w:pPr>
        <w:jc w:val="both"/>
        <w:rPr>
          <w:b/>
          <w:bCs/>
          <w:lang w:val="en-GB"/>
        </w:rPr>
      </w:pPr>
      <w:r w:rsidRPr="004D5084">
        <w:rPr>
          <w:b/>
          <w:bCs/>
          <w:lang w:val="en-GB"/>
        </w:rPr>
        <w:t>Rent Amount</w:t>
      </w:r>
    </w:p>
    <w:p w14:paraId="6D8A1F98" w14:textId="3DD06E0F" w:rsidR="004D5084" w:rsidRPr="004D5084" w:rsidRDefault="004D5084" w:rsidP="00B41EC3">
      <w:pPr>
        <w:pStyle w:val="ListParagraph"/>
        <w:numPr>
          <w:ilvl w:val="0"/>
          <w:numId w:val="3"/>
        </w:numPr>
        <w:jc w:val="both"/>
        <w:rPr>
          <w:lang w:val="en-GB"/>
        </w:rPr>
      </w:pPr>
      <w:r w:rsidRPr="004D5084">
        <w:rPr>
          <w:lang w:val="en-GB"/>
        </w:rPr>
        <w:t xml:space="preserve">Owners will receive a rent amount of 92% of the current market rent. </w:t>
      </w:r>
    </w:p>
    <w:p w14:paraId="5E190FBA" w14:textId="49799E4E" w:rsidR="004D5084" w:rsidRPr="004D5084" w:rsidRDefault="004D5084" w:rsidP="00B41EC3">
      <w:pPr>
        <w:pStyle w:val="ListParagraph"/>
        <w:numPr>
          <w:ilvl w:val="0"/>
          <w:numId w:val="3"/>
        </w:numPr>
        <w:jc w:val="both"/>
        <w:rPr>
          <w:lang w:val="en-GB"/>
        </w:rPr>
      </w:pPr>
      <w:r w:rsidRPr="004D5084">
        <w:rPr>
          <w:lang w:val="en-GB"/>
        </w:rPr>
        <w:t>The rent discount is applied to take account of the fact that the property owner is paid for vacant unoccupied periods, rent is paid in advance and the normal landlord tasks associated with filling voids are eliminated.</w:t>
      </w:r>
    </w:p>
    <w:p w14:paraId="493C97C8" w14:textId="2D2C2793" w:rsidR="004D5084" w:rsidRDefault="004D5084" w:rsidP="00B41EC3">
      <w:pPr>
        <w:pStyle w:val="ListParagraph"/>
        <w:numPr>
          <w:ilvl w:val="0"/>
          <w:numId w:val="3"/>
        </w:numPr>
        <w:jc w:val="both"/>
        <w:rPr>
          <w:lang w:val="en-GB"/>
        </w:rPr>
      </w:pPr>
      <w:r w:rsidRPr="004D5084">
        <w:rPr>
          <w:lang w:val="en-GB"/>
        </w:rPr>
        <w:t xml:space="preserve">Rent reviews will take place </w:t>
      </w:r>
      <w:r w:rsidR="00ED322A">
        <w:rPr>
          <w:lang w:val="en-GB"/>
        </w:rPr>
        <w:t>periodically.</w:t>
      </w:r>
    </w:p>
    <w:p w14:paraId="7B48B4DA" w14:textId="4F653482" w:rsidR="00DC64E9" w:rsidRPr="00DC64E9" w:rsidRDefault="00DC64E9" w:rsidP="00DC64E9">
      <w:pPr>
        <w:pStyle w:val="ListParagraph"/>
        <w:numPr>
          <w:ilvl w:val="0"/>
          <w:numId w:val="3"/>
        </w:numPr>
        <w:jc w:val="both"/>
        <w:rPr>
          <w:lang w:val="en-GB"/>
        </w:rPr>
      </w:pPr>
      <w:r w:rsidRPr="00DC64E9">
        <w:rPr>
          <w:lang w:val="en-GB"/>
        </w:rPr>
        <w:t>Upward and downward rent reviews will apply periodically. In all cases rents must remain in line with current market rents.</w:t>
      </w:r>
    </w:p>
    <w:p w14:paraId="491AC70E" w14:textId="2A23393D" w:rsidR="00B41EC3" w:rsidRPr="00B41EC3" w:rsidRDefault="00B41EC3" w:rsidP="00B41EC3">
      <w:pPr>
        <w:jc w:val="both"/>
        <w:rPr>
          <w:b/>
          <w:bCs/>
          <w:lang w:val="en-GB"/>
        </w:rPr>
      </w:pPr>
      <w:r w:rsidRPr="00B41EC3">
        <w:rPr>
          <w:b/>
          <w:bCs/>
          <w:lang w:val="en-GB"/>
        </w:rPr>
        <w:t>The Process</w:t>
      </w:r>
    </w:p>
    <w:p w14:paraId="19EC7E7C" w14:textId="7BD2A5EE" w:rsidR="00B41EC3" w:rsidRPr="00B41EC3" w:rsidRDefault="00B41EC3" w:rsidP="00B41EC3">
      <w:pPr>
        <w:jc w:val="both"/>
        <w:rPr>
          <w:lang w:val="en-GB"/>
        </w:rPr>
      </w:pPr>
      <w:r w:rsidRPr="00633123">
        <w:rPr>
          <w:b/>
          <w:bCs/>
          <w:lang w:val="en-GB"/>
        </w:rPr>
        <w:t>1.</w:t>
      </w:r>
      <w:r w:rsidRPr="00B41EC3">
        <w:rPr>
          <w:lang w:val="en-GB"/>
        </w:rPr>
        <w:t xml:space="preserve"> </w:t>
      </w:r>
      <w:r w:rsidRPr="00633123">
        <w:rPr>
          <w:b/>
          <w:bCs/>
          <w:lang w:val="en-GB"/>
        </w:rPr>
        <w:t xml:space="preserve">Property Owner Submits </w:t>
      </w:r>
      <w:r w:rsidR="006E04E4">
        <w:rPr>
          <w:b/>
          <w:bCs/>
          <w:lang w:val="en-GB"/>
        </w:rPr>
        <w:t>Expression of Interest</w:t>
      </w:r>
    </w:p>
    <w:p w14:paraId="433F7D36" w14:textId="0BAF213C" w:rsidR="00B41EC3" w:rsidRPr="00B41EC3" w:rsidRDefault="00B41EC3" w:rsidP="00B41EC3">
      <w:pPr>
        <w:jc w:val="both"/>
        <w:rPr>
          <w:lang w:val="en-GB"/>
        </w:rPr>
      </w:pPr>
      <w:r w:rsidRPr="00B41EC3">
        <w:rPr>
          <w:lang w:val="en-GB"/>
        </w:rPr>
        <w:t xml:space="preserve">The local authority considers the </w:t>
      </w:r>
      <w:r w:rsidR="006E04E4">
        <w:rPr>
          <w:lang w:val="en-GB"/>
        </w:rPr>
        <w:t>Expression of Interest</w:t>
      </w:r>
      <w:r w:rsidRPr="00B41EC3">
        <w:rPr>
          <w:lang w:val="en-GB"/>
        </w:rPr>
        <w:t xml:space="preserve"> and will make an assessment as to the need for housing in the area and consider if leasing or renting the property complies with its sustainable </w:t>
      </w:r>
      <w:proofErr w:type="gramStart"/>
      <w:r w:rsidRPr="00B41EC3">
        <w:rPr>
          <w:lang w:val="en-GB"/>
        </w:rPr>
        <w:t>communities</w:t>
      </w:r>
      <w:proofErr w:type="gramEnd"/>
      <w:r w:rsidRPr="00B41EC3">
        <w:rPr>
          <w:lang w:val="en-GB"/>
        </w:rPr>
        <w:t xml:space="preserve"> policy. The local authority will contact the property owner to discuss the </w:t>
      </w:r>
      <w:r w:rsidR="006E04E4">
        <w:rPr>
          <w:lang w:val="en-GB"/>
        </w:rPr>
        <w:t>Expression of Interest</w:t>
      </w:r>
      <w:r w:rsidRPr="00B41EC3">
        <w:rPr>
          <w:lang w:val="en-GB"/>
        </w:rPr>
        <w:t xml:space="preserve"> in more detail. The local authority will also discuss the rent amount payable on the property at this point with the property owner.</w:t>
      </w:r>
    </w:p>
    <w:p w14:paraId="75B36A30" w14:textId="77777777" w:rsidR="00B41EC3" w:rsidRPr="00633123" w:rsidRDefault="00B41EC3" w:rsidP="00B41EC3">
      <w:pPr>
        <w:jc w:val="both"/>
        <w:rPr>
          <w:b/>
          <w:bCs/>
          <w:lang w:val="en-GB"/>
        </w:rPr>
      </w:pPr>
      <w:r w:rsidRPr="00633123">
        <w:rPr>
          <w:b/>
          <w:bCs/>
          <w:lang w:val="en-GB"/>
        </w:rPr>
        <w:t>2. Property Owner Facilitates Inspection</w:t>
      </w:r>
    </w:p>
    <w:p w14:paraId="0062328C" w14:textId="0D02C1A9" w:rsidR="00B41EC3" w:rsidRDefault="000A46C9" w:rsidP="00B41EC3">
      <w:pPr>
        <w:jc w:val="both"/>
        <w:rPr>
          <w:lang w:val="en-GB"/>
        </w:rPr>
      </w:pPr>
      <w:r>
        <w:rPr>
          <w:lang w:val="en-GB"/>
        </w:rPr>
        <w:t>T</w:t>
      </w:r>
      <w:r w:rsidR="00B41EC3" w:rsidRPr="00B41EC3">
        <w:rPr>
          <w:lang w:val="en-GB"/>
        </w:rPr>
        <w:t xml:space="preserve">he property will be inspected to determine if it is appropriate for leasing. </w:t>
      </w:r>
    </w:p>
    <w:p w14:paraId="5239C694" w14:textId="5ED3940B" w:rsidR="00B41EC3" w:rsidRPr="00633123" w:rsidRDefault="00B41EC3" w:rsidP="00B41EC3">
      <w:pPr>
        <w:jc w:val="both"/>
        <w:rPr>
          <w:b/>
          <w:bCs/>
          <w:lang w:val="en-GB"/>
        </w:rPr>
      </w:pPr>
      <w:r w:rsidRPr="00633123">
        <w:rPr>
          <w:b/>
          <w:bCs/>
          <w:lang w:val="en-GB"/>
        </w:rPr>
        <w:t>3. Rental Agreement and Supporting Documents</w:t>
      </w:r>
    </w:p>
    <w:p w14:paraId="265E6AA1" w14:textId="1068051F" w:rsidR="00B41EC3" w:rsidRDefault="00B41EC3" w:rsidP="00B41EC3">
      <w:pPr>
        <w:jc w:val="both"/>
        <w:rPr>
          <w:lang w:val="en-GB"/>
        </w:rPr>
      </w:pPr>
      <w:r w:rsidRPr="00B41EC3">
        <w:rPr>
          <w:lang w:val="en-GB"/>
        </w:rPr>
        <w:t>Once the property passes the inspection process, a proposed rent agreement and request for supporting documentation will be issued to the property owner. Supporting documents required may include proof of ownership, lenders consent if required, and evidence of planning and building control compliance, etc. A tax clearance certificate and BER certificate are required.</w:t>
      </w:r>
    </w:p>
    <w:p w14:paraId="019942B1" w14:textId="6FA03E44" w:rsidR="009E496D" w:rsidRDefault="009E496D" w:rsidP="00B41EC3">
      <w:pPr>
        <w:jc w:val="both"/>
        <w:rPr>
          <w:lang w:val="en-GB"/>
        </w:rPr>
      </w:pPr>
    </w:p>
    <w:p w14:paraId="718198DC" w14:textId="13D2135B" w:rsidR="009E496D" w:rsidRDefault="009E496D" w:rsidP="00B41EC3">
      <w:pPr>
        <w:jc w:val="both"/>
        <w:rPr>
          <w:lang w:val="en-GB"/>
        </w:rPr>
      </w:pPr>
    </w:p>
    <w:p w14:paraId="7D3D3F08" w14:textId="77777777" w:rsidR="009E496D" w:rsidRPr="00B41EC3" w:rsidRDefault="009E496D" w:rsidP="00B41EC3">
      <w:pPr>
        <w:jc w:val="both"/>
        <w:rPr>
          <w:lang w:val="en-GB"/>
        </w:rPr>
      </w:pPr>
    </w:p>
    <w:p w14:paraId="0F2D6182" w14:textId="1E658CA9" w:rsidR="00B41EC3" w:rsidRPr="00633123" w:rsidRDefault="00B41EC3" w:rsidP="00B41EC3">
      <w:pPr>
        <w:jc w:val="both"/>
        <w:rPr>
          <w:b/>
          <w:bCs/>
          <w:lang w:val="en-GB"/>
        </w:rPr>
      </w:pPr>
      <w:r w:rsidRPr="00633123">
        <w:rPr>
          <w:b/>
          <w:bCs/>
          <w:lang w:val="en-GB"/>
        </w:rPr>
        <w:lastRenderedPageBreak/>
        <w:t>4. Sign Agreements</w:t>
      </w:r>
    </w:p>
    <w:p w14:paraId="2BAB1D49" w14:textId="2C57A746" w:rsidR="00B41EC3" w:rsidRPr="00B41EC3" w:rsidRDefault="00B41EC3" w:rsidP="00B41EC3">
      <w:pPr>
        <w:jc w:val="both"/>
        <w:rPr>
          <w:lang w:val="en-GB"/>
        </w:rPr>
      </w:pPr>
      <w:r w:rsidRPr="00B41EC3">
        <w:rPr>
          <w:lang w:val="en-GB"/>
        </w:rPr>
        <w:t>The property owner and the local authority sign the rental agreement for a set term. Tenants are allocated to the property and both parties adhere to the conditions of the arrangement for the term agree</w:t>
      </w:r>
    </w:p>
    <w:p w14:paraId="01EF0174" w14:textId="3F3A76DC" w:rsidR="004D5084" w:rsidRDefault="00633123" w:rsidP="00B41EC3">
      <w:pPr>
        <w:jc w:val="both"/>
        <w:rPr>
          <w:lang w:val="en-GB"/>
        </w:rPr>
      </w:pPr>
      <w:r>
        <w:rPr>
          <w:noProof/>
        </w:rPr>
        <w:drawing>
          <wp:anchor distT="0" distB="0" distL="114300" distR="114300" simplePos="0" relativeHeight="251658240" behindDoc="1" locked="0" layoutInCell="1" allowOverlap="1" wp14:anchorId="0B8D5E9A" wp14:editId="02B707FC">
            <wp:simplePos x="0" y="0"/>
            <wp:positionH relativeFrom="margin">
              <wp:posOffset>2419350</wp:posOffset>
            </wp:positionH>
            <wp:positionV relativeFrom="paragraph">
              <wp:posOffset>204470</wp:posOffset>
            </wp:positionV>
            <wp:extent cx="2486025" cy="7105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86025" cy="7105650"/>
                    </a:xfrm>
                    <a:prstGeom prst="rect">
                      <a:avLst/>
                    </a:prstGeom>
                  </pic:spPr>
                </pic:pic>
              </a:graphicData>
            </a:graphic>
            <wp14:sizeRelH relativeFrom="page">
              <wp14:pctWidth>0</wp14:pctWidth>
            </wp14:sizeRelH>
            <wp14:sizeRelV relativeFrom="page">
              <wp14:pctHeight>0</wp14:pctHeight>
            </wp14:sizeRelV>
          </wp:anchor>
        </w:drawing>
      </w:r>
    </w:p>
    <w:p w14:paraId="3B5B43A5" w14:textId="1F6E6A6D" w:rsidR="00B41EC3" w:rsidRDefault="00633123" w:rsidP="00B41EC3">
      <w:pPr>
        <w:jc w:val="both"/>
        <w:rPr>
          <w:lang w:val="en-GB"/>
        </w:rPr>
      </w:pPr>
      <w:r>
        <w:rPr>
          <w:noProof/>
        </w:rPr>
        <w:drawing>
          <wp:anchor distT="0" distB="0" distL="114300" distR="114300" simplePos="0" relativeHeight="251659264" behindDoc="1" locked="0" layoutInCell="1" allowOverlap="1" wp14:anchorId="5D21818F" wp14:editId="528EB072">
            <wp:simplePos x="0" y="0"/>
            <wp:positionH relativeFrom="column">
              <wp:posOffset>1466850</wp:posOffset>
            </wp:positionH>
            <wp:positionV relativeFrom="paragraph">
              <wp:posOffset>166370</wp:posOffset>
            </wp:positionV>
            <wp:extent cx="952500" cy="68865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52500" cy="6886575"/>
                    </a:xfrm>
                    <a:prstGeom prst="rect">
                      <a:avLst/>
                    </a:prstGeom>
                  </pic:spPr>
                </pic:pic>
              </a:graphicData>
            </a:graphic>
            <wp14:sizeRelH relativeFrom="page">
              <wp14:pctWidth>0</wp14:pctWidth>
            </wp14:sizeRelH>
            <wp14:sizeRelV relativeFrom="page">
              <wp14:pctHeight>0</wp14:pctHeight>
            </wp14:sizeRelV>
          </wp:anchor>
        </w:drawing>
      </w:r>
    </w:p>
    <w:p w14:paraId="0559F9F8" w14:textId="3B3B0AD5" w:rsidR="00B41EC3" w:rsidRDefault="00B41EC3" w:rsidP="00B41EC3">
      <w:pPr>
        <w:jc w:val="both"/>
        <w:rPr>
          <w:lang w:val="en-GB"/>
        </w:rPr>
      </w:pPr>
    </w:p>
    <w:p w14:paraId="49008E4D" w14:textId="07D2F94F" w:rsidR="00B41EC3" w:rsidRDefault="00B41EC3" w:rsidP="00B41EC3">
      <w:pPr>
        <w:jc w:val="both"/>
        <w:rPr>
          <w:lang w:val="en-GB"/>
        </w:rPr>
      </w:pPr>
    </w:p>
    <w:p w14:paraId="3BAF4CE0" w14:textId="39358A1F" w:rsidR="00B41EC3" w:rsidRDefault="00B41EC3" w:rsidP="00B41EC3">
      <w:pPr>
        <w:jc w:val="both"/>
        <w:rPr>
          <w:lang w:val="en-GB"/>
        </w:rPr>
      </w:pPr>
    </w:p>
    <w:p w14:paraId="5B3F12E4" w14:textId="77F98FD6" w:rsidR="00B41EC3" w:rsidRDefault="00B41EC3" w:rsidP="00B41EC3">
      <w:pPr>
        <w:jc w:val="both"/>
        <w:rPr>
          <w:lang w:val="en-GB"/>
        </w:rPr>
      </w:pPr>
    </w:p>
    <w:p w14:paraId="1BC123D8" w14:textId="5B88CDBD" w:rsidR="00B41EC3" w:rsidRDefault="00B41EC3" w:rsidP="00B41EC3">
      <w:pPr>
        <w:jc w:val="both"/>
        <w:rPr>
          <w:lang w:val="en-GB"/>
        </w:rPr>
      </w:pPr>
    </w:p>
    <w:p w14:paraId="2A49B550" w14:textId="20A82C39" w:rsidR="00B41EC3" w:rsidRDefault="00B41EC3" w:rsidP="00B41EC3">
      <w:pPr>
        <w:jc w:val="both"/>
        <w:rPr>
          <w:lang w:val="en-GB"/>
        </w:rPr>
      </w:pPr>
    </w:p>
    <w:p w14:paraId="4760454E" w14:textId="19DC4E2B" w:rsidR="00B41EC3" w:rsidRDefault="00B41EC3" w:rsidP="00B41EC3">
      <w:pPr>
        <w:jc w:val="both"/>
        <w:rPr>
          <w:lang w:val="en-GB"/>
        </w:rPr>
      </w:pPr>
    </w:p>
    <w:p w14:paraId="2E9C6F0F" w14:textId="7F52FE7C" w:rsidR="00B41EC3" w:rsidRDefault="00B41EC3" w:rsidP="00B41EC3">
      <w:pPr>
        <w:jc w:val="both"/>
        <w:rPr>
          <w:lang w:val="en-GB"/>
        </w:rPr>
      </w:pPr>
    </w:p>
    <w:p w14:paraId="11169257" w14:textId="44BD12E8" w:rsidR="00B41EC3" w:rsidRDefault="00B41EC3" w:rsidP="00B41EC3">
      <w:pPr>
        <w:jc w:val="both"/>
        <w:rPr>
          <w:lang w:val="en-GB"/>
        </w:rPr>
      </w:pPr>
    </w:p>
    <w:p w14:paraId="48114144" w14:textId="1984F1E6" w:rsidR="00B41EC3" w:rsidRDefault="00B41EC3" w:rsidP="00B41EC3">
      <w:pPr>
        <w:jc w:val="both"/>
        <w:rPr>
          <w:lang w:val="en-GB"/>
        </w:rPr>
      </w:pPr>
    </w:p>
    <w:p w14:paraId="304308A2" w14:textId="22303CD1" w:rsidR="00B41EC3" w:rsidRDefault="00B41EC3" w:rsidP="00B41EC3">
      <w:pPr>
        <w:jc w:val="both"/>
        <w:rPr>
          <w:lang w:val="en-GB"/>
        </w:rPr>
      </w:pPr>
    </w:p>
    <w:p w14:paraId="5357C6B2" w14:textId="725DF977" w:rsidR="00B41EC3" w:rsidRDefault="00B41EC3" w:rsidP="00B41EC3">
      <w:pPr>
        <w:jc w:val="both"/>
        <w:rPr>
          <w:lang w:val="en-GB"/>
        </w:rPr>
      </w:pPr>
    </w:p>
    <w:p w14:paraId="50C56483" w14:textId="731173EB" w:rsidR="00B41EC3" w:rsidRDefault="00B41EC3" w:rsidP="00B41EC3">
      <w:pPr>
        <w:jc w:val="both"/>
        <w:rPr>
          <w:lang w:val="en-GB"/>
        </w:rPr>
      </w:pPr>
    </w:p>
    <w:p w14:paraId="0C5165BD" w14:textId="4A2DBD40" w:rsidR="00B41EC3" w:rsidRDefault="00B41EC3" w:rsidP="00B41EC3">
      <w:pPr>
        <w:jc w:val="both"/>
        <w:rPr>
          <w:lang w:val="en-GB"/>
        </w:rPr>
      </w:pPr>
    </w:p>
    <w:p w14:paraId="2C4B62ED" w14:textId="7E08DA2B" w:rsidR="00B41EC3" w:rsidRDefault="00B41EC3" w:rsidP="00B41EC3">
      <w:pPr>
        <w:jc w:val="both"/>
        <w:rPr>
          <w:lang w:val="en-GB"/>
        </w:rPr>
      </w:pPr>
    </w:p>
    <w:p w14:paraId="33742262" w14:textId="77777777" w:rsidR="00B41EC3" w:rsidRDefault="00B41EC3" w:rsidP="00B41EC3">
      <w:pPr>
        <w:jc w:val="both"/>
        <w:rPr>
          <w:lang w:val="en-GB"/>
        </w:rPr>
      </w:pPr>
    </w:p>
    <w:p w14:paraId="145EDD2E" w14:textId="13599F42" w:rsidR="004D5084" w:rsidRDefault="004D5084" w:rsidP="00B41EC3">
      <w:pPr>
        <w:jc w:val="both"/>
        <w:rPr>
          <w:lang w:val="en-GB"/>
        </w:rPr>
      </w:pPr>
    </w:p>
    <w:p w14:paraId="47B3DA16" w14:textId="5BC9F3B7" w:rsidR="004D5084" w:rsidRDefault="004D5084" w:rsidP="00B41EC3">
      <w:pPr>
        <w:jc w:val="both"/>
        <w:rPr>
          <w:lang w:val="en-GB"/>
        </w:rPr>
      </w:pPr>
    </w:p>
    <w:p w14:paraId="12063D27" w14:textId="1464CD5F" w:rsidR="004D5084" w:rsidRDefault="004D5084" w:rsidP="00B41EC3">
      <w:pPr>
        <w:jc w:val="both"/>
        <w:rPr>
          <w:lang w:val="en-GB"/>
        </w:rPr>
      </w:pPr>
    </w:p>
    <w:p w14:paraId="7A2784EF" w14:textId="5923B358" w:rsidR="004D5084" w:rsidRDefault="004D5084" w:rsidP="00B41EC3">
      <w:pPr>
        <w:jc w:val="both"/>
        <w:rPr>
          <w:lang w:val="en-GB"/>
        </w:rPr>
      </w:pPr>
    </w:p>
    <w:p w14:paraId="7E05D611" w14:textId="1F10989F" w:rsidR="004D5084" w:rsidRPr="004D5084" w:rsidRDefault="004D5084" w:rsidP="00B41EC3">
      <w:pPr>
        <w:jc w:val="both"/>
        <w:rPr>
          <w:lang w:val="en-GB"/>
        </w:rPr>
      </w:pPr>
    </w:p>
    <w:sectPr w:rsidR="004D5084" w:rsidRPr="004D50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09BF" w14:textId="77777777" w:rsidR="001771AE" w:rsidRDefault="001771AE" w:rsidP="000A46C9">
      <w:pPr>
        <w:spacing w:after="0" w:line="240" w:lineRule="auto"/>
      </w:pPr>
      <w:r>
        <w:separator/>
      </w:r>
    </w:p>
  </w:endnote>
  <w:endnote w:type="continuationSeparator" w:id="0">
    <w:p w14:paraId="075DC3D5" w14:textId="77777777" w:rsidR="001771AE" w:rsidRDefault="001771AE" w:rsidP="000A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0CC3" w14:textId="77777777" w:rsidR="001771AE" w:rsidRDefault="001771AE" w:rsidP="000A46C9">
      <w:pPr>
        <w:spacing w:after="0" w:line="240" w:lineRule="auto"/>
      </w:pPr>
      <w:r>
        <w:separator/>
      </w:r>
    </w:p>
  </w:footnote>
  <w:footnote w:type="continuationSeparator" w:id="0">
    <w:p w14:paraId="48073F8A" w14:textId="77777777" w:rsidR="001771AE" w:rsidRDefault="001771AE" w:rsidP="000A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B4D70"/>
    <w:multiLevelType w:val="hybridMultilevel"/>
    <w:tmpl w:val="0C22F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973C34"/>
    <w:multiLevelType w:val="hybridMultilevel"/>
    <w:tmpl w:val="AE4AE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BC03D04"/>
    <w:multiLevelType w:val="hybridMultilevel"/>
    <w:tmpl w:val="E0165F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4841671">
    <w:abstractNumId w:val="2"/>
  </w:num>
  <w:num w:numId="2" w16cid:durableId="594676464">
    <w:abstractNumId w:val="0"/>
  </w:num>
  <w:num w:numId="3" w16cid:durableId="74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84"/>
    <w:rsid w:val="000A46C9"/>
    <w:rsid w:val="001771AE"/>
    <w:rsid w:val="00494C14"/>
    <w:rsid w:val="004D5084"/>
    <w:rsid w:val="00633123"/>
    <w:rsid w:val="006C3ECB"/>
    <w:rsid w:val="006E04E4"/>
    <w:rsid w:val="007239BD"/>
    <w:rsid w:val="008F52E6"/>
    <w:rsid w:val="009C5B3C"/>
    <w:rsid w:val="009E496D"/>
    <w:rsid w:val="00A62196"/>
    <w:rsid w:val="00A73F26"/>
    <w:rsid w:val="00B41EC3"/>
    <w:rsid w:val="00B6098F"/>
    <w:rsid w:val="00C11DBE"/>
    <w:rsid w:val="00DC64E9"/>
    <w:rsid w:val="00ED322A"/>
    <w:rsid w:val="00EF55A6"/>
    <w:rsid w:val="00F348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4832"/>
  <w15:chartTrackingRefBased/>
  <w15:docId w15:val="{8EA88F1E-B7FA-4488-9C95-5AC407F1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084"/>
    <w:pPr>
      <w:ind w:left="720"/>
      <w:contextualSpacing/>
    </w:pPr>
  </w:style>
  <w:style w:type="paragraph" w:styleId="Header">
    <w:name w:val="header"/>
    <w:basedOn w:val="Normal"/>
    <w:link w:val="HeaderChar"/>
    <w:uiPriority w:val="99"/>
    <w:unhideWhenUsed/>
    <w:rsid w:val="000A4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6C9"/>
  </w:style>
  <w:style w:type="paragraph" w:styleId="Footer">
    <w:name w:val="footer"/>
    <w:basedOn w:val="Normal"/>
    <w:link w:val="FooterChar"/>
    <w:uiPriority w:val="99"/>
    <w:unhideWhenUsed/>
    <w:rsid w:val="000A4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Ruaidhrí McLoughlin</dc:creator>
  <cp:keywords/>
  <dc:description/>
  <cp:lastModifiedBy>Rachel Jackson</cp:lastModifiedBy>
  <cp:revision>10</cp:revision>
  <dcterms:created xsi:type="dcterms:W3CDTF">2022-07-14T14:24:00Z</dcterms:created>
  <dcterms:modified xsi:type="dcterms:W3CDTF">2022-07-19T14:44:00Z</dcterms:modified>
</cp:coreProperties>
</file>