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AB9B6" w14:textId="77777777" w:rsidR="00B25D6C" w:rsidRPr="00B25D6C" w:rsidRDefault="00B25D6C" w:rsidP="00B25D6C">
      <w:pPr>
        <w:shd w:val="clear" w:color="auto" w:fill="FFFFFF"/>
        <w:spacing w:before="150" w:after="150"/>
        <w:jc w:val="center"/>
        <w:rPr>
          <w:rFonts w:asciiTheme="minorHAnsi" w:hAnsiTheme="minorHAnsi" w:cstheme="minorHAnsi"/>
          <w:b/>
          <w:bCs/>
          <w:u w:val="single"/>
          <w:lang w:eastAsia="en-IE"/>
        </w:rPr>
      </w:pPr>
      <w:r w:rsidRPr="00B25D6C">
        <w:rPr>
          <w:rFonts w:asciiTheme="minorHAnsi" w:hAnsiTheme="minorHAnsi" w:cstheme="minorHAnsi"/>
          <w:b/>
          <w:bCs/>
          <w:u w:val="single"/>
          <w:lang w:eastAsia="en-IE"/>
        </w:rPr>
        <w:t>Commercial Rates Waiver for the Second Quarter 2021</w:t>
      </w:r>
    </w:p>
    <w:p w14:paraId="039343A7" w14:textId="77777777" w:rsidR="00B25D6C" w:rsidRPr="00B25D6C" w:rsidRDefault="00B25D6C" w:rsidP="00B25D6C">
      <w:pPr>
        <w:shd w:val="clear" w:color="auto" w:fill="FFFFFF"/>
        <w:spacing w:after="150"/>
        <w:rPr>
          <w:rFonts w:asciiTheme="minorHAnsi" w:hAnsiTheme="minorHAnsi" w:cstheme="minorHAnsi"/>
          <w:lang w:eastAsia="en-IE"/>
        </w:rPr>
      </w:pPr>
      <w:r w:rsidRPr="00B25D6C">
        <w:rPr>
          <w:rFonts w:asciiTheme="minorHAnsi" w:hAnsiTheme="minorHAnsi" w:cstheme="minorHAnsi"/>
          <w:lang w:eastAsia="en-IE"/>
        </w:rPr>
        <w:t>An extension of the Q1 2021 waiver has been agreed for a further period of three months. The value of the waiver will be the equivalent of 25% of the annual rates bill for 2021. The waiver will apply to businesses closed by, or badly impacted by, Level 5 restrictions.</w:t>
      </w:r>
    </w:p>
    <w:p w14:paraId="43970A8D" w14:textId="77777777" w:rsidR="00B25D6C" w:rsidRDefault="00B25D6C" w:rsidP="00B25D6C">
      <w:pPr>
        <w:shd w:val="clear" w:color="auto" w:fill="FFFFFF"/>
        <w:spacing w:after="150"/>
        <w:rPr>
          <w:rFonts w:ascii="Arial" w:hAnsi="Arial" w:cs="Arial"/>
          <w:color w:val="383838"/>
          <w:sz w:val="24"/>
          <w:szCs w:val="24"/>
          <w:lang w:eastAsia="en-IE"/>
        </w:rPr>
      </w:pPr>
      <w:r w:rsidRPr="00B25D6C">
        <w:rPr>
          <w:rFonts w:asciiTheme="minorHAnsi" w:hAnsiTheme="minorHAnsi" w:cstheme="minorHAnsi"/>
          <w:lang w:eastAsia="en-IE"/>
        </w:rPr>
        <w:t>Business categories eligible for the waiver are as set out in</w:t>
      </w:r>
      <w:r w:rsidRPr="00B25D6C">
        <w:rPr>
          <w:rFonts w:ascii="Arial" w:hAnsi="Arial" w:cs="Arial"/>
          <w:sz w:val="24"/>
          <w:szCs w:val="24"/>
          <w:lang w:eastAsia="en-IE"/>
        </w:rPr>
        <w:t> </w:t>
      </w:r>
      <w:hyperlink r:id="rId4" w:history="1">
        <w:r w:rsidRPr="00B25D6C">
          <w:rPr>
            <w:rStyle w:val="Hyperlink"/>
            <w:rFonts w:ascii="Arial" w:hAnsi="Arial" w:cs="Arial"/>
            <w:color w:val="337AB7"/>
            <w:sz w:val="24"/>
            <w:szCs w:val="24"/>
            <w:highlight w:val="yellow"/>
            <w:lang w:eastAsia="en-IE"/>
          </w:rPr>
          <w:t>Appendix C</w:t>
        </w:r>
      </w:hyperlink>
    </w:p>
    <w:p w14:paraId="147C957F" w14:textId="77777777" w:rsidR="00B25D6C" w:rsidRDefault="00B25D6C" w:rsidP="00B25D6C">
      <w:pPr>
        <w:shd w:val="clear" w:color="auto" w:fill="FFFFFF"/>
        <w:spacing w:after="150"/>
        <w:rPr>
          <w:rFonts w:ascii="Arial" w:hAnsi="Arial" w:cs="Arial"/>
          <w:color w:val="383838"/>
          <w:sz w:val="24"/>
          <w:szCs w:val="24"/>
          <w:lang w:eastAsia="en-IE"/>
        </w:rPr>
      </w:pPr>
      <w:r w:rsidRPr="00B25D6C">
        <w:rPr>
          <w:rFonts w:asciiTheme="minorHAnsi" w:hAnsiTheme="minorHAnsi" w:cstheme="minorHAnsi"/>
          <w:lang w:eastAsia="en-IE"/>
        </w:rPr>
        <w:t>Business categories excluded from waiver are as set out in</w:t>
      </w:r>
      <w:r w:rsidRPr="00B25D6C">
        <w:rPr>
          <w:rFonts w:ascii="Arial" w:hAnsi="Arial" w:cs="Arial"/>
          <w:sz w:val="24"/>
          <w:szCs w:val="24"/>
          <w:lang w:eastAsia="en-IE"/>
        </w:rPr>
        <w:t> </w:t>
      </w:r>
      <w:hyperlink r:id="rId5" w:history="1">
        <w:r w:rsidRPr="00B25D6C">
          <w:rPr>
            <w:rStyle w:val="Hyperlink"/>
            <w:rFonts w:ascii="Arial" w:hAnsi="Arial" w:cs="Arial"/>
            <w:color w:val="337AB7"/>
            <w:sz w:val="24"/>
            <w:szCs w:val="24"/>
            <w:highlight w:val="yellow"/>
            <w:lang w:eastAsia="en-IE"/>
          </w:rPr>
          <w:t>Appendix D</w:t>
        </w:r>
      </w:hyperlink>
    </w:p>
    <w:p w14:paraId="0A7FED8D" w14:textId="276E4ED3" w:rsidR="00B25D6C" w:rsidRDefault="00B25D6C" w:rsidP="00B25D6C">
      <w:pPr>
        <w:shd w:val="clear" w:color="auto" w:fill="FFFFFF"/>
        <w:spacing w:after="150"/>
        <w:rPr>
          <w:rFonts w:ascii="Arial" w:hAnsi="Arial" w:cs="Arial"/>
          <w:color w:val="383838"/>
          <w:sz w:val="24"/>
          <w:szCs w:val="24"/>
          <w:lang w:eastAsia="en-IE"/>
        </w:rPr>
      </w:pPr>
      <w:r w:rsidRPr="00B25D6C">
        <w:rPr>
          <w:rFonts w:asciiTheme="minorHAnsi" w:hAnsiTheme="minorHAnsi" w:cstheme="minorHAnsi"/>
          <w:lang w:eastAsia="en-IE"/>
        </w:rPr>
        <w:t>Both appendices and a list</w:t>
      </w:r>
      <w:r w:rsidRPr="00B25D6C">
        <w:rPr>
          <w:rFonts w:ascii="Arial" w:hAnsi="Arial" w:cs="Arial"/>
          <w:sz w:val="24"/>
          <w:szCs w:val="24"/>
          <w:lang w:eastAsia="en-IE"/>
        </w:rPr>
        <w:t xml:space="preserve"> </w:t>
      </w:r>
      <w:r w:rsidRPr="00B25D6C">
        <w:rPr>
          <w:rFonts w:asciiTheme="minorHAnsi" w:hAnsiTheme="minorHAnsi" w:cstheme="minorHAnsi"/>
          <w:lang w:eastAsia="en-IE"/>
        </w:rPr>
        <w:t>of</w:t>
      </w:r>
      <w:hyperlink r:id="rId6" w:history="1">
        <w:r>
          <w:rPr>
            <w:rStyle w:val="Hyperlink"/>
            <w:rFonts w:ascii="Arial" w:hAnsi="Arial" w:cs="Arial"/>
            <w:color w:val="337AB7"/>
            <w:sz w:val="24"/>
            <w:szCs w:val="24"/>
            <w:lang w:eastAsia="en-IE"/>
          </w:rPr>
          <w:t> FAQ’s</w:t>
        </w:r>
      </w:hyperlink>
      <w:r>
        <w:rPr>
          <w:rFonts w:ascii="Arial" w:hAnsi="Arial" w:cs="Arial"/>
          <w:color w:val="383838"/>
          <w:sz w:val="24"/>
          <w:szCs w:val="24"/>
          <w:lang w:eastAsia="en-IE"/>
        </w:rPr>
        <w:t> </w:t>
      </w:r>
      <w:r w:rsidRPr="00B25D6C">
        <w:rPr>
          <w:rFonts w:asciiTheme="minorHAnsi" w:hAnsiTheme="minorHAnsi" w:cstheme="minorHAnsi"/>
          <w:lang w:eastAsia="en-IE"/>
        </w:rPr>
        <w:t>can be downloaded below, under related files.</w:t>
      </w:r>
    </w:p>
    <w:p w14:paraId="68C8E77A" w14:textId="77777777" w:rsidR="00B25D6C" w:rsidRPr="00B25D6C" w:rsidRDefault="00B25D6C" w:rsidP="00B25D6C">
      <w:pPr>
        <w:shd w:val="clear" w:color="auto" w:fill="FFFFFF"/>
        <w:spacing w:before="150" w:after="150"/>
        <w:rPr>
          <w:rFonts w:asciiTheme="minorHAnsi" w:hAnsiTheme="minorHAnsi" w:cstheme="minorHAnsi"/>
          <w:lang w:eastAsia="en-IE"/>
        </w:rPr>
      </w:pPr>
      <w:r w:rsidRPr="00B25D6C">
        <w:rPr>
          <w:rFonts w:asciiTheme="minorHAnsi" w:hAnsiTheme="minorHAnsi" w:cstheme="minorHAnsi"/>
          <w:lang w:eastAsia="en-IE"/>
        </w:rPr>
        <w:t>What do I need to do?</w:t>
      </w:r>
    </w:p>
    <w:p w14:paraId="7E65286E" w14:textId="77777777" w:rsidR="00B25D6C" w:rsidRPr="00B25D6C" w:rsidRDefault="00B25D6C" w:rsidP="00B25D6C">
      <w:pPr>
        <w:shd w:val="clear" w:color="auto" w:fill="FFFFFF"/>
        <w:spacing w:after="150"/>
        <w:rPr>
          <w:rFonts w:asciiTheme="minorHAnsi" w:hAnsiTheme="minorHAnsi" w:cstheme="minorHAnsi"/>
          <w:lang w:eastAsia="en-IE"/>
        </w:rPr>
      </w:pPr>
      <w:r w:rsidRPr="00B25D6C">
        <w:rPr>
          <w:rFonts w:asciiTheme="minorHAnsi" w:hAnsiTheme="minorHAnsi" w:cstheme="minorHAnsi"/>
          <w:b/>
          <w:bCs/>
          <w:lang w:eastAsia="en-IE"/>
        </w:rPr>
        <w:t>Eligible Categories</w:t>
      </w:r>
    </w:p>
    <w:p w14:paraId="09CD007F" w14:textId="77777777" w:rsidR="00B25D6C" w:rsidRPr="00B25D6C" w:rsidRDefault="00B25D6C" w:rsidP="00B25D6C">
      <w:pPr>
        <w:shd w:val="clear" w:color="auto" w:fill="FFFFFF"/>
        <w:spacing w:after="150"/>
        <w:rPr>
          <w:rFonts w:asciiTheme="minorHAnsi" w:hAnsiTheme="minorHAnsi" w:cstheme="minorHAnsi"/>
          <w:lang w:eastAsia="en-IE"/>
        </w:rPr>
      </w:pPr>
      <w:r w:rsidRPr="00B25D6C">
        <w:rPr>
          <w:rFonts w:asciiTheme="minorHAnsi" w:hAnsiTheme="minorHAnsi" w:cstheme="minorHAnsi"/>
          <w:lang w:eastAsia="en-IE"/>
        </w:rPr>
        <w:t>South Dublin County Council will automatically apply the 25% waiver and an application is not required.</w:t>
      </w:r>
    </w:p>
    <w:p w14:paraId="1898B76B" w14:textId="77777777" w:rsidR="00B25D6C" w:rsidRPr="00B25D6C" w:rsidRDefault="00B25D6C" w:rsidP="00B25D6C">
      <w:pPr>
        <w:shd w:val="clear" w:color="auto" w:fill="FFFFFF"/>
        <w:spacing w:after="150"/>
        <w:rPr>
          <w:rFonts w:asciiTheme="minorHAnsi" w:hAnsiTheme="minorHAnsi" w:cstheme="minorHAnsi"/>
          <w:lang w:eastAsia="en-IE"/>
        </w:rPr>
      </w:pPr>
      <w:r w:rsidRPr="00B25D6C">
        <w:rPr>
          <w:rFonts w:asciiTheme="minorHAnsi" w:hAnsiTheme="minorHAnsi" w:cstheme="minorHAnsi"/>
          <w:b/>
          <w:bCs/>
          <w:lang w:eastAsia="en-IE"/>
        </w:rPr>
        <w:t>Excluded Categories</w:t>
      </w:r>
    </w:p>
    <w:p w14:paraId="35C14EF3" w14:textId="77777777" w:rsidR="00B25D6C" w:rsidRPr="00B25D6C" w:rsidRDefault="00B25D6C" w:rsidP="00B25D6C">
      <w:pPr>
        <w:shd w:val="clear" w:color="auto" w:fill="FFFFFF"/>
        <w:spacing w:after="150"/>
        <w:rPr>
          <w:rFonts w:asciiTheme="minorHAnsi" w:hAnsiTheme="minorHAnsi" w:cstheme="minorHAnsi"/>
          <w:lang w:eastAsia="en-IE"/>
        </w:rPr>
      </w:pPr>
      <w:r w:rsidRPr="00B25D6C">
        <w:rPr>
          <w:rFonts w:asciiTheme="minorHAnsi" w:hAnsiTheme="minorHAnsi" w:cstheme="minorHAnsi"/>
          <w:lang w:eastAsia="en-IE"/>
        </w:rPr>
        <w:t>In recognition of the fact that there may be business rate payers excluded from the waiver that were severely impacted, there is provision for appeal by ratepayers in these categories who can demonstrate severe impact on their business.</w:t>
      </w:r>
    </w:p>
    <w:p w14:paraId="53FE9A44" w14:textId="77777777" w:rsidR="00B25D6C" w:rsidRPr="00B25D6C" w:rsidRDefault="00B25D6C" w:rsidP="00B25D6C">
      <w:pPr>
        <w:shd w:val="clear" w:color="auto" w:fill="FFFFFF"/>
        <w:spacing w:after="150"/>
        <w:rPr>
          <w:rFonts w:asciiTheme="minorHAnsi" w:hAnsiTheme="minorHAnsi" w:cstheme="minorHAnsi"/>
          <w:lang w:eastAsia="en-IE"/>
        </w:rPr>
      </w:pPr>
      <w:r w:rsidRPr="00B25D6C">
        <w:rPr>
          <w:rFonts w:asciiTheme="minorHAnsi" w:hAnsiTheme="minorHAnsi" w:cstheme="minorHAnsi"/>
          <w:lang w:eastAsia="en-IE"/>
        </w:rPr>
        <w:t xml:space="preserve">If you have submitted an appeal for Q1 2021 and have demonstrated serious impact due to </w:t>
      </w:r>
      <w:proofErr w:type="spellStart"/>
      <w:r w:rsidRPr="00B25D6C">
        <w:rPr>
          <w:rFonts w:asciiTheme="minorHAnsi" w:hAnsiTheme="minorHAnsi" w:cstheme="minorHAnsi"/>
          <w:lang w:eastAsia="en-IE"/>
        </w:rPr>
        <w:t>Covid</w:t>
      </w:r>
      <w:proofErr w:type="spellEnd"/>
      <w:r w:rsidRPr="00B25D6C">
        <w:rPr>
          <w:rFonts w:asciiTheme="minorHAnsi" w:hAnsiTheme="minorHAnsi" w:cstheme="minorHAnsi"/>
          <w:lang w:eastAsia="en-IE"/>
        </w:rPr>
        <w:t xml:space="preserve"> 19, you are not required to be re-assessed for eligibility for Q2. </w:t>
      </w:r>
    </w:p>
    <w:p w14:paraId="6971024F" w14:textId="77777777" w:rsidR="00B25D6C" w:rsidRPr="00B25D6C" w:rsidRDefault="00B25D6C" w:rsidP="00B25D6C">
      <w:pPr>
        <w:shd w:val="clear" w:color="auto" w:fill="FFFFFF"/>
        <w:spacing w:after="150"/>
        <w:rPr>
          <w:rFonts w:asciiTheme="minorHAnsi" w:hAnsiTheme="minorHAnsi" w:cstheme="minorHAnsi"/>
          <w:lang w:eastAsia="en-IE"/>
        </w:rPr>
      </w:pPr>
      <w:r w:rsidRPr="00B25D6C">
        <w:rPr>
          <w:rFonts w:asciiTheme="minorHAnsi" w:hAnsiTheme="minorHAnsi" w:cstheme="minorHAnsi"/>
          <w:lang w:eastAsia="en-IE"/>
        </w:rPr>
        <w:t>However, if you are in an excluded category and have not previously appealed or were not been deemed to have demonstrated serious impact in Q1, you are permitted to demonstrate serious impact in Q2 2021 by providing the supporting proofs listed in the FAQ’s above for Q2.</w:t>
      </w:r>
    </w:p>
    <w:p w14:paraId="2F728836" w14:textId="77777777" w:rsidR="00B25D6C" w:rsidRPr="00B25D6C" w:rsidRDefault="00B25D6C" w:rsidP="00B25D6C">
      <w:pPr>
        <w:shd w:val="clear" w:color="auto" w:fill="FFFFFF"/>
        <w:spacing w:after="150"/>
        <w:rPr>
          <w:rFonts w:asciiTheme="minorHAnsi" w:hAnsiTheme="minorHAnsi" w:cstheme="minorHAnsi"/>
          <w:lang w:eastAsia="en-IE"/>
        </w:rPr>
      </w:pPr>
      <w:r w:rsidRPr="00B25D6C">
        <w:rPr>
          <w:rFonts w:asciiTheme="minorHAnsi" w:hAnsiTheme="minorHAnsi" w:cstheme="minorHAnsi"/>
          <w:lang w:eastAsia="en-IE"/>
        </w:rPr>
        <w:t>Excluded ratepayers that wish to appeal MUST submit the relevant documentary evidence by email to</w:t>
      </w:r>
      <w:r w:rsidRPr="00B25D6C">
        <w:rPr>
          <w:rFonts w:ascii="Arial" w:hAnsi="Arial" w:cs="Arial"/>
          <w:sz w:val="24"/>
          <w:szCs w:val="24"/>
          <w:lang w:eastAsia="en-IE"/>
        </w:rPr>
        <w:t> </w:t>
      </w:r>
      <w:hyperlink r:id="rId7" w:history="1">
        <w:r>
          <w:rPr>
            <w:rStyle w:val="Hyperlink"/>
            <w:rFonts w:ascii="Arial" w:hAnsi="Arial" w:cs="Arial"/>
            <w:color w:val="337AB7"/>
            <w:sz w:val="24"/>
            <w:szCs w:val="24"/>
            <w:lang w:eastAsia="en-IE"/>
          </w:rPr>
          <w:t>covid19rateswaiver@sdublincoco.ie</w:t>
        </w:r>
      </w:hyperlink>
      <w:r>
        <w:rPr>
          <w:rFonts w:ascii="Arial" w:hAnsi="Arial" w:cs="Arial"/>
          <w:color w:val="383838"/>
          <w:sz w:val="24"/>
          <w:szCs w:val="24"/>
          <w:lang w:eastAsia="en-IE"/>
        </w:rPr>
        <w:t> </w:t>
      </w:r>
      <w:r w:rsidRPr="00B25D6C">
        <w:rPr>
          <w:rFonts w:asciiTheme="minorHAnsi" w:hAnsiTheme="minorHAnsi" w:cstheme="minorHAnsi"/>
          <w:lang w:eastAsia="en-IE"/>
        </w:rPr>
        <w:t>by close of business </w:t>
      </w:r>
      <w:r w:rsidRPr="00B25D6C">
        <w:rPr>
          <w:rFonts w:asciiTheme="minorHAnsi" w:hAnsiTheme="minorHAnsi" w:cstheme="minorHAnsi"/>
          <w:b/>
          <w:bCs/>
          <w:lang w:eastAsia="en-IE"/>
        </w:rPr>
        <w:t>9</w:t>
      </w:r>
      <w:r w:rsidRPr="00B25D6C">
        <w:rPr>
          <w:rFonts w:asciiTheme="minorHAnsi" w:hAnsiTheme="minorHAnsi" w:cstheme="minorHAnsi"/>
          <w:b/>
          <w:bCs/>
          <w:vertAlign w:val="superscript"/>
          <w:lang w:eastAsia="en-IE"/>
        </w:rPr>
        <w:t>th</w:t>
      </w:r>
      <w:r w:rsidRPr="00B25D6C">
        <w:rPr>
          <w:rFonts w:asciiTheme="minorHAnsi" w:hAnsiTheme="minorHAnsi" w:cstheme="minorHAnsi"/>
          <w:lang w:eastAsia="en-IE"/>
        </w:rPr>
        <w:t xml:space="preserve"> </w:t>
      </w:r>
      <w:r w:rsidRPr="00B25D6C">
        <w:rPr>
          <w:rFonts w:asciiTheme="minorHAnsi" w:hAnsiTheme="minorHAnsi" w:cstheme="minorHAnsi"/>
          <w:b/>
          <w:bCs/>
          <w:lang w:eastAsia="en-IE"/>
        </w:rPr>
        <w:t> July 2021</w:t>
      </w:r>
      <w:r w:rsidRPr="00B25D6C">
        <w:rPr>
          <w:rFonts w:asciiTheme="minorHAnsi" w:hAnsiTheme="minorHAnsi" w:cstheme="minorHAnsi"/>
          <w:lang w:eastAsia="en-IE"/>
        </w:rPr>
        <w:t>. Appeals not supported by the appropriate documentary evidence will not be processed.</w:t>
      </w:r>
    </w:p>
    <w:p w14:paraId="57E04E97" w14:textId="77777777" w:rsidR="00B25D6C" w:rsidRPr="00B25D6C" w:rsidRDefault="00B25D6C" w:rsidP="00B25D6C">
      <w:pPr>
        <w:shd w:val="clear" w:color="auto" w:fill="FFFFFF"/>
        <w:spacing w:after="150"/>
        <w:rPr>
          <w:rFonts w:asciiTheme="minorHAnsi" w:hAnsiTheme="minorHAnsi" w:cstheme="minorHAnsi"/>
          <w:lang w:eastAsia="en-IE"/>
        </w:rPr>
      </w:pPr>
      <w:r w:rsidRPr="00B25D6C">
        <w:rPr>
          <w:rFonts w:asciiTheme="minorHAnsi" w:hAnsiTheme="minorHAnsi" w:cstheme="minorHAnsi"/>
          <w:lang w:eastAsia="en-IE"/>
        </w:rPr>
        <w:t>Details of appropriate supporting proofs are set out in the FAQ’s.</w:t>
      </w:r>
    </w:p>
    <w:p w14:paraId="5333E1ED" w14:textId="77777777" w:rsidR="00B25D6C" w:rsidRPr="00B25D6C" w:rsidRDefault="00B25D6C" w:rsidP="00B25D6C">
      <w:pPr>
        <w:shd w:val="clear" w:color="auto" w:fill="FFFFFF"/>
        <w:spacing w:after="150"/>
        <w:rPr>
          <w:rFonts w:asciiTheme="minorHAnsi" w:hAnsiTheme="minorHAnsi" w:cstheme="minorHAnsi"/>
          <w:lang w:eastAsia="en-IE"/>
        </w:rPr>
      </w:pPr>
      <w:r w:rsidRPr="00B25D6C">
        <w:rPr>
          <w:rFonts w:asciiTheme="minorHAnsi" w:hAnsiTheme="minorHAnsi" w:cstheme="minorHAnsi"/>
          <w:lang w:eastAsia="en-IE"/>
        </w:rPr>
        <w:t>Further enquiries can also be made by phone at 01 4149336  </w:t>
      </w:r>
    </w:p>
    <w:p w14:paraId="4DBE42C8" w14:textId="77777777" w:rsidR="00B25D6C" w:rsidRDefault="00B25D6C"/>
    <w:sectPr w:rsidR="00B25D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D6C"/>
    <w:rsid w:val="00B25D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4D18B"/>
  <w15:chartTrackingRefBased/>
  <w15:docId w15:val="{8F2F9930-2B6C-4F6F-8AB0-B5633CC2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D6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5D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52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vid19rateswaiver@sdublincoco.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4.safelinks.protection.outlook.com/?url=https%3A%2F%2Fwww.sdcc.ie%2Fen%2Fcovid-19-information%2Fbusiness-economy%2Ffaqs-for-circular-fin-01-2021-waiver-of-rates-for-first-quarter-2021.pdf&amp;data=04%7C01%7Cjjoyce%40SDUBLINCOCO.ie%7C34e669c49a8041085e8508d8f2a79d31%7C6a3c00c019d0492da8de95fad8fda1d4%7C0%7C0%7C637526149907639947%7CUnknown%7CTWFpbGZsb3d8eyJWIjoiMC4wLjAwMDAiLCJQIjoiV2luMzIiLCJBTiI6Ik1haWwiLCJXVCI6Mn0%3D%7C1000&amp;sdata=QcffGOlMHbYIRuapahzaWjW90A8YYpWOa%2FT1Pm%2BdGW0%3D&amp;reserved=0" TargetMode="External"/><Relationship Id="rId5" Type="http://schemas.openxmlformats.org/officeDocument/2006/relationships/hyperlink" Target="https://eur04.safelinks.protection.outlook.com/?url=https%3A%2F%2Fwww.sdcc.ie%2Fen%2Fcovid-19-information%2Fbusiness-economy%2Fappendix-d-circular-fin-01-2021-waiver-of-rates-for-first-quarter-2021.pdf&amp;data=04%7C01%7Cjjoyce%40SDUBLINCOCO.ie%7C34e669c49a8041085e8508d8f2a79d31%7C6a3c00c019d0492da8de95fad8fda1d4%7C0%7C0%7C637526149907629991%7CUnknown%7CTWFpbGZsb3d8eyJWIjoiMC4wLjAwMDAiLCJQIjoiV2luMzIiLCJBTiI6Ik1haWwiLCJXVCI6Mn0%3D%7C1000&amp;sdata=00y%2BHNLq%2B%2BAo1O0d8yNibr%2FZp0dkKdaSH%2FyyMUJdnlU%3D&amp;reserved=0" TargetMode="External"/><Relationship Id="rId4" Type="http://schemas.openxmlformats.org/officeDocument/2006/relationships/hyperlink" Target="https://eur04.safelinks.protection.outlook.com/?url=https%3A%2F%2Fwww.sdcc.ie%2Fen%2Fcovid-19-information%2Fbusiness-economy%2Fappendix-c-circular-fin-01-2021-waiver-of-rates-for-first-quarter-2021.pdf&amp;data=04%7C01%7Cjjoyce%40SDUBLINCOCO.ie%7C34e669c49a8041085e8508d8f2a79d31%7C6a3c00c019d0492da8de95fad8fda1d4%7C0%7C0%7C637526149907629991%7CUnknown%7CTWFpbGZsb3d8eyJWIjoiMC4wLjAwMDAiLCJQIjoiV2luMzIiLCJBTiI6Ik1haWwiLCJXVCI6Mn0%3D%7C1000&amp;sdata=4Lq9NQT8TzXamAmMjbglURFELxU%2F2qaV%2BsPqaXRDWm4%3D&amp;reserve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Joyce</dc:creator>
  <cp:keywords/>
  <dc:description/>
  <cp:lastModifiedBy>Janice Joyce</cp:lastModifiedBy>
  <cp:revision>1</cp:revision>
  <dcterms:created xsi:type="dcterms:W3CDTF">2021-03-29T15:21:00Z</dcterms:created>
  <dcterms:modified xsi:type="dcterms:W3CDTF">2021-03-29T15:26:00Z</dcterms:modified>
</cp:coreProperties>
</file>