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EAD88" w14:textId="77777777" w:rsidR="00B63224" w:rsidRDefault="00B63224" w:rsidP="0083789D">
      <w:pPr>
        <w:jc w:val="center"/>
        <w:rPr>
          <w:rFonts w:ascii="Arial" w:hAnsi="Arial" w:cs="Arial"/>
          <w:b/>
        </w:rPr>
      </w:pPr>
      <w:r w:rsidRPr="003B0836">
        <w:rPr>
          <w:sz w:val="28"/>
          <w:szCs w:val="28"/>
        </w:rPr>
        <w:fldChar w:fldCharType="begin"/>
      </w:r>
      <w:r w:rsidRPr="003B0836">
        <w:rPr>
          <w:sz w:val="28"/>
          <w:szCs w:val="28"/>
        </w:rPr>
        <w:instrText xml:space="preserve"> INCLUDEPICTURE "http://www.sdcc.ie/templates/sdcc_index/images/headerlogo.gif" \* MERGEFORMATINET </w:instrText>
      </w:r>
      <w:r w:rsidRPr="003B0836">
        <w:rPr>
          <w:sz w:val="28"/>
          <w:szCs w:val="28"/>
        </w:rPr>
        <w:fldChar w:fldCharType="separate"/>
      </w:r>
      <w:r w:rsidR="00727581">
        <w:rPr>
          <w:sz w:val="28"/>
          <w:szCs w:val="28"/>
        </w:rPr>
        <w:fldChar w:fldCharType="begin"/>
      </w:r>
      <w:r w:rsidR="00727581">
        <w:rPr>
          <w:sz w:val="28"/>
          <w:szCs w:val="28"/>
        </w:rPr>
        <w:instrText xml:space="preserve"> INCLUDEPICTURE  "http://www.sdcc.ie/templates/sdcc_index/images/headerlogo.gif" \* MERGEFORMATINET </w:instrText>
      </w:r>
      <w:r w:rsidR="00727581">
        <w:rPr>
          <w:sz w:val="28"/>
          <w:szCs w:val="28"/>
        </w:rPr>
        <w:fldChar w:fldCharType="separate"/>
      </w:r>
      <w:r w:rsidR="00F14328">
        <w:rPr>
          <w:sz w:val="28"/>
          <w:szCs w:val="28"/>
        </w:rPr>
        <w:fldChar w:fldCharType="begin"/>
      </w:r>
      <w:r w:rsidR="00F14328">
        <w:rPr>
          <w:sz w:val="28"/>
          <w:szCs w:val="28"/>
        </w:rPr>
        <w:instrText xml:space="preserve"> INCLUDEPICTURE  "http://www.sdcc.ie/templates/sdcc_index/images/headerlogo.gif" \* MERGEFORMATINET </w:instrText>
      </w:r>
      <w:r w:rsidR="00F14328">
        <w:rPr>
          <w:sz w:val="28"/>
          <w:szCs w:val="28"/>
        </w:rPr>
        <w:fldChar w:fldCharType="separate"/>
      </w:r>
      <w:r w:rsidR="007A464F">
        <w:rPr>
          <w:sz w:val="28"/>
          <w:szCs w:val="28"/>
        </w:rPr>
        <w:fldChar w:fldCharType="begin"/>
      </w:r>
      <w:r w:rsidR="007A464F">
        <w:rPr>
          <w:sz w:val="28"/>
          <w:szCs w:val="28"/>
        </w:rPr>
        <w:instrText xml:space="preserve"> INCLUDEPICTURE  "http://www.sdcc.ie/templates/sdcc_index/images/headerlogo.gif" \* MERGEFORMATINET </w:instrText>
      </w:r>
      <w:r w:rsidR="007A464F">
        <w:rPr>
          <w:sz w:val="28"/>
          <w:szCs w:val="28"/>
        </w:rPr>
        <w:fldChar w:fldCharType="separate"/>
      </w:r>
      <w:r w:rsidR="00792899">
        <w:rPr>
          <w:sz w:val="28"/>
          <w:szCs w:val="28"/>
        </w:rPr>
        <w:fldChar w:fldCharType="begin"/>
      </w:r>
      <w:r w:rsidR="00792899">
        <w:rPr>
          <w:sz w:val="28"/>
          <w:szCs w:val="28"/>
        </w:rPr>
        <w:instrText xml:space="preserve"> INCLUDEPICTURE  "http://www.sdcc.ie/templates/sdcc_index/images/headerlogo.gif" \* MERGEFORMATINET </w:instrText>
      </w:r>
      <w:r w:rsidR="00792899">
        <w:rPr>
          <w:sz w:val="28"/>
          <w:szCs w:val="28"/>
        </w:rPr>
        <w:fldChar w:fldCharType="separate"/>
      </w:r>
      <w:r w:rsidR="009153A3">
        <w:rPr>
          <w:sz w:val="28"/>
          <w:szCs w:val="28"/>
        </w:rPr>
        <w:fldChar w:fldCharType="begin"/>
      </w:r>
      <w:r w:rsidR="009153A3">
        <w:rPr>
          <w:sz w:val="28"/>
          <w:szCs w:val="28"/>
        </w:rPr>
        <w:instrText xml:space="preserve"> </w:instrText>
      </w:r>
      <w:r w:rsidR="009153A3">
        <w:rPr>
          <w:sz w:val="28"/>
          <w:szCs w:val="28"/>
        </w:rPr>
        <w:instrText>INCLUDEPICTURE  "http://www.sdcc.ie/templates/sdcc_index/images/headerlogo.gif" \* MERGEFORMATINET</w:instrText>
      </w:r>
      <w:r w:rsidR="009153A3">
        <w:rPr>
          <w:sz w:val="28"/>
          <w:szCs w:val="28"/>
        </w:rPr>
        <w:instrText xml:space="preserve"> </w:instrText>
      </w:r>
      <w:r w:rsidR="009153A3">
        <w:rPr>
          <w:sz w:val="28"/>
          <w:szCs w:val="28"/>
        </w:rPr>
        <w:fldChar w:fldCharType="separate"/>
      </w:r>
      <w:r w:rsidR="009153A3">
        <w:rPr>
          <w:sz w:val="28"/>
          <w:szCs w:val="28"/>
        </w:rPr>
        <w:pict w14:anchorId="031A5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 sdcc logo" style="width:119.25pt;height:45.75pt">
            <v:imagedata r:id="rId8" r:href="rId9"/>
          </v:shape>
        </w:pict>
      </w:r>
      <w:r w:rsidR="009153A3">
        <w:rPr>
          <w:sz w:val="28"/>
          <w:szCs w:val="28"/>
        </w:rPr>
        <w:fldChar w:fldCharType="end"/>
      </w:r>
      <w:r w:rsidR="00792899">
        <w:rPr>
          <w:sz w:val="28"/>
          <w:szCs w:val="28"/>
        </w:rPr>
        <w:fldChar w:fldCharType="end"/>
      </w:r>
      <w:r w:rsidR="007A464F">
        <w:rPr>
          <w:sz w:val="28"/>
          <w:szCs w:val="28"/>
        </w:rPr>
        <w:fldChar w:fldCharType="end"/>
      </w:r>
      <w:r w:rsidR="00F14328">
        <w:rPr>
          <w:sz w:val="28"/>
          <w:szCs w:val="28"/>
        </w:rPr>
        <w:fldChar w:fldCharType="end"/>
      </w:r>
      <w:r w:rsidR="00727581">
        <w:rPr>
          <w:sz w:val="28"/>
          <w:szCs w:val="28"/>
        </w:rPr>
        <w:fldChar w:fldCharType="end"/>
      </w:r>
      <w:r w:rsidRPr="003B0836">
        <w:rPr>
          <w:sz w:val="28"/>
          <w:szCs w:val="28"/>
        </w:rPr>
        <w:fldChar w:fldCharType="end"/>
      </w:r>
    </w:p>
    <w:p w14:paraId="0FB3F7DA" w14:textId="77777777" w:rsidR="00B63224" w:rsidRDefault="00B63224" w:rsidP="0083789D">
      <w:pPr>
        <w:jc w:val="center"/>
        <w:rPr>
          <w:rFonts w:ascii="Arial" w:hAnsi="Arial" w:cs="Arial"/>
          <w:b/>
        </w:rPr>
      </w:pPr>
    </w:p>
    <w:p w14:paraId="06381794" w14:textId="77777777" w:rsidR="003C33EF" w:rsidRPr="00B63224" w:rsidRDefault="002E34DC" w:rsidP="0083789D">
      <w:pPr>
        <w:jc w:val="center"/>
        <w:rPr>
          <w:rFonts w:ascii="Arial" w:hAnsi="Arial" w:cs="Arial"/>
          <w:b/>
          <w:u w:val="single"/>
        </w:rPr>
      </w:pPr>
      <w:r w:rsidRPr="00B63224">
        <w:rPr>
          <w:rFonts w:ascii="Arial" w:hAnsi="Arial" w:cs="Arial"/>
          <w:b/>
          <w:u w:val="single"/>
        </w:rPr>
        <w:t xml:space="preserve">Tenant Purchase Scheme – South Dublin County Council </w:t>
      </w:r>
    </w:p>
    <w:p w14:paraId="30ED30C7" w14:textId="08CE2565" w:rsidR="002E34DC" w:rsidRPr="00941998" w:rsidRDefault="009153A3" w:rsidP="009153A3">
      <w:pPr>
        <w:jc w:val="both"/>
        <w:rPr>
          <w:rFonts w:ascii="Arial" w:hAnsi="Arial" w:cs="Arial"/>
        </w:rPr>
      </w:pPr>
      <w:r>
        <w:rPr>
          <w:rFonts w:ascii="Arial" w:hAnsi="Arial" w:cs="Arial"/>
        </w:rPr>
        <w:t>The</w:t>
      </w:r>
      <w:r w:rsidR="002E34DC" w:rsidRPr="00941998">
        <w:rPr>
          <w:rFonts w:ascii="Arial" w:hAnsi="Arial" w:cs="Arial"/>
        </w:rPr>
        <w:t xml:space="preserve"> Incremental Tenant Purchase Scheme in South Dublin County </w:t>
      </w:r>
      <w:r w:rsidR="00017B5B" w:rsidRPr="00941998">
        <w:rPr>
          <w:rFonts w:ascii="Arial" w:hAnsi="Arial" w:cs="Arial"/>
        </w:rPr>
        <w:t>Council (</w:t>
      </w:r>
      <w:r w:rsidR="002E34DC" w:rsidRPr="00941998">
        <w:rPr>
          <w:rFonts w:ascii="Arial" w:hAnsi="Arial" w:cs="Arial"/>
        </w:rPr>
        <w:t xml:space="preserve">SDCC) will allow social housing tenants to purchase a dwelling in which they reside from the Council.  This scheme replaces all previous expired schemes. </w:t>
      </w:r>
    </w:p>
    <w:p w14:paraId="16751BFC" w14:textId="77777777" w:rsidR="006B46EF" w:rsidRPr="00941998" w:rsidRDefault="002E34DC" w:rsidP="009153A3">
      <w:pPr>
        <w:jc w:val="both"/>
        <w:rPr>
          <w:rFonts w:ascii="Arial" w:hAnsi="Arial" w:cs="Arial"/>
        </w:rPr>
      </w:pPr>
      <w:r w:rsidRPr="00941998">
        <w:rPr>
          <w:rFonts w:ascii="Arial" w:hAnsi="Arial" w:cs="Arial"/>
        </w:rPr>
        <w:t>This s</w:t>
      </w:r>
      <w:r w:rsidR="00076025" w:rsidRPr="00941998">
        <w:rPr>
          <w:rFonts w:ascii="Arial" w:hAnsi="Arial" w:cs="Arial"/>
        </w:rPr>
        <w:t>cheme involves a discount for the tenant purchaser linked to his or her income and that of his or her spouse etc., and a discount-relat</w:t>
      </w:r>
      <w:r w:rsidR="003A1280" w:rsidRPr="00941998">
        <w:rPr>
          <w:rFonts w:ascii="Arial" w:hAnsi="Arial" w:cs="Arial"/>
        </w:rPr>
        <w:t>ed incremental purchase charge o</w:t>
      </w:r>
      <w:r w:rsidR="00076025" w:rsidRPr="00941998">
        <w:rPr>
          <w:rFonts w:ascii="Arial" w:hAnsi="Arial" w:cs="Arial"/>
        </w:rPr>
        <w:t xml:space="preserve">n the property that reduces to nil over a period of years, unless the tenant purchaser resells the house or fails to comply with conditions of the sale during that period.  Where the tenant purchaser resells the property before the end of the charge period, he or she must pay back to </w:t>
      </w:r>
      <w:r w:rsidR="003A1280" w:rsidRPr="00941998">
        <w:rPr>
          <w:rFonts w:ascii="Arial" w:hAnsi="Arial" w:cs="Arial"/>
        </w:rPr>
        <w:t>SDCC</w:t>
      </w:r>
      <w:r w:rsidR="00076025" w:rsidRPr="00941998">
        <w:rPr>
          <w:rFonts w:ascii="Arial" w:hAnsi="Arial" w:cs="Arial"/>
        </w:rPr>
        <w:t xml:space="preserve"> a portion of any profits arising from the sale, </w:t>
      </w:r>
      <w:r w:rsidR="00CC4DEC" w:rsidRPr="00941998">
        <w:rPr>
          <w:rFonts w:ascii="Arial" w:hAnsi="Arial" w:cs="Arial"/>
        </w:rPr>
        <w:t>thereby generating funds for this</w:t>
      </w:r>
      <w:r w:rsidR="00076025" w:rsidRPr="00941998">
        <w:rPr>
          <w:rFonts w:ascii="Arial" w:hAnsi="Arial" w:cs="Arial"/>
        </w:rPr>
        <w:t xml:space="preserve"> local authority to invest in new social housing or the refurbishment of existing housing.</w:t>
      </w:r>
    </w:p>
    <w:p w14:paraId="25BF5649" w14:textId="77777777" w:rsidR="00941998" w:rsidRPr="00941998" w:rsidRDefault="00941998"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Who is eligible?</w:t>
      </w:r>
    </w:p>
    <w:p w14:paraId="385DE9CA"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The person must be the tenant of the house to be sold by the housing authority and the house must be available for sale under the scheme.</w:t>
      </w:r>
    </w:p>
    <w:p w14:paraId="05DEB7DD" w14:textId="3AF9194A"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w:t>
      </w:r>
      <w:r w:rsidR="009153A3">
        <w:rPr>
          <w:rFonts w:ascii="Arial" w:eastAsia="Times New Roman" w:hAnsi="Arial" w:cs="Arial"/>
          <w:color w:val="333333"/>
          <w:lang w:val="en" w:eastAsia="en-IE"/>
        </w:rPr>
        <w:t>,</w:t>
      </w:r>
      <w:r w:rsidRPr="00941998">
        <w:rPr>
          <w:rFonts w:ascii="Arial" w:eastAsia="Times New Roman" w:hAnsi="Arial" w:cs="Arial"/>
          <w:color w:val="333333"/>
          <w:lang w:val="en" w:eastAsia="en-IE"/>
        </w:rPr>
        <w:t xml:space="preserve"> </w:t>
      </w:r>
      <w:r w:rsidR="009153A3">
        <w:rPr>
          <w:rFonts w:ascii="Arial" w:eastAsia="Times New Roman" w:hAnsi="Arial" w:cs="Arial"/>
          <w:color w:val="333333"/>
          <w:lang w:val="en" w:eastAsia="en-IE"/>
        </w:rPr>
        <w:t>or joint tenants</w:t>
      </w:r>
      <w:r w:rsidRPr="00941998">
        <w:rPr>
          <w:rFonts w:ascii="Arial" w:eastAsia="Times New Roman" w:hAnsi="Arial" w:cs="Arial"/>
          <w:color w:val="333333"/>
          <w:lang w:val="en" w:eastAsia="en-IE"/>
        </w:rPr>
        <w:t xml:space="preserve">, must have been in receipt of social housing support for a minimum period of </w:t>
      </w:r>
      <w:r w:rsidR="009153A3">
        <w:rPr>
          <w:rFonts w:ascii="Arial" w:eastAsia="Times New Roman" w:hAnsi="Arial" w:cs="Arial"/>
          <w:color w:val="333333"/>
          <w:lang w:val="en" w:eastAsia="en-IE"/>
        </w:rPr>
        <w:t>ten</w:t>
      </w:r>
      <w:r w:rsidRPr="00941998">
        <w:rPr>
          <w:rFonts w:ascii="Arial" w:eastAsia="Times New Roman" w:hAnsi="Arial" w:cs="Arial"/>
          <w:color w:val="333333"/>
          <w:lang w:val="en" w:eastAsia="en-IE"/>
        </w:rPr>
        <w:t xml:space="preserve"> year</w:t>
      </w:r>
      <w:r w:rsidR="009153A3">
        <w:rPr>
          <w:rFonts w:ascii="Arial" w:eastAsia="Times New Roman" w:hAnsi="Arial" w:cs="Arial"/>
          <w:color w:val="333333"/>
          <w:lang w:val="en" w:eastAsia="en-IE"/>
        </w:rPr>
        <w:t>s</w:t>
      </w:r>
      <w:r w:rsidRPr="00941998">
        <w:rPr>
          <w:rFonts w:ascii="Arial" w:eastAsia="Times New Roman" w:hAnsi="Arial" w:cs="Arial"/>
          <w:color w:val="333333"/>
          <w:lang w:val="en" w:eastAsia="en-IE"/>
        </w:rPr>
        <w:t>.</w:t>
      </w:r>
    </w:p>
    <w:p w14:paraId="4C4045B8" w14:textId="19EE3FE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 must have a minimum reckonable income of €</w:t>
      </w:r>
      <w:r w:rsidR="009153A3">
        <w:rPr>
          <w:rFonts w:ascii="Arial" w:eastAsia="Times New Roman" w:hAnsi="Arial" w:cs="Arial"/>
          <w:color w:val="333333"/>
          <w:lang w:val="en" w:eastAsia="en-IE"/>
        </w:rPr>
        <w:t>12,500</w:t>
      </w:r>
      <w:r w:rsidRPr="00941998">
        <w:rPr>
          <w:rFonts w:ascii="Arial" w:eastAsia="Times New Roman" w:hAnsi="Arial" w:cs="Arial"/>
          <w:color w:val="333333"/>
          <w:lang w:val="en" w:eastAsia="en-IE"/>
        </w:rPr>
        <w:t xml:space="preserve"> per annum</w:t>
      </w:r>
    </w:p>
    <w:p w14:paraId="58BF72AB"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 xml:space="preserve">A tenant may be disqualified from purchasing a house for a number of different reasons including rent arrears and anti-social </w:t>
      </w:r>
      <w:r w:rsidR="00017B5B" w:rsidRPr="00941998">
        <w:rPr>
          <w:rFonts w:ascii="Arial" w:eastAsia="Times New Roman" w:hAnsi="Arial" w:cs="Arial"/>
          <w:color w:val="333333"/>
          <w:lang w:val="en" w:eastAsia="en-IE"/>
        </w:rPr>
        <w:t>behavior</w:t>
      </w:r>
      <w:r w:rsidRPr="00941998">
        <w:rPr>
          <w:rFonts w:ascii="Arial" w:eastAsia="Times New Roman" w:hAnsi="Arial" w:cs="Arial"/>
          <w:color w:val="333333"/>
          <w:lang w:val="en" w:eastAsia="en-IE"/>
        </w:rPr>
        <w:t xml:space="preserve"> (See full scheme for details)</w:t>
      </w:r>
    </w:p>
    <w:p w14:paraId="439EE742"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Certain properties may not be purchased under this scheme including but not exclusively the following:</w:t>
      </w:r>
    </w:p>
    <w:p w14:paraId="421AA059"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Houses designed for occupation by elderly persons,</w:t>
      </w:r>
    </w:p>
    <w:p w14:paraId="12865A37"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 xml:space="preserve">Group </w:t>
      </w:r>
      <w:proofErr w:type="spellStart"/>
      <w:r w:rsidRPr="00941998">
        <w:rPr>
          <w:rFonts w:ascii="Arial" w:eastAsia="Times New Roman" w:hAnsi="Arial" w:cs="Arial"/>
          <w:color w:val="333333"/>
          <w:lang w:val="en" w:eastAsia="en-IE"/>
        </w:rPr>
        <w:t>traveller</w:t>
      </w:r>
      <w:proofErr w:type="spellEnd"/>
      <w:r w:rsidRPr="00941998">
        <w:rPr>
          <w:rFonts w:ascii="Arial" w:eastAsia="Times New Roman" w:hAnsi="Arial" w:cs="Arial"/>
          <w:color w:val="333333"/>
          <w:lang w:val="en" w:eastAsia="en-IE"/>
        </w:rPr>
        <w:t xml:space="preserve"> housing,</w:t>
      </w:r>
    </w:p>
    <w:p w14:paraId="473FA854" w14:textId="77777777" w:rsidR="00941998" w:rsidRP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Part V dwellings provided in private estates,</w:t>
      </w:r>
    </w:p>
    <w:p w14:paraId="702968C4" w14:textId="77777777" w:rsidR="00941998" w:rsidRDefault="00941998" w:rsidP="009153A3">
      <w:pPr>
        <w:numPr>
          <w:ilvl w:val="0"/>
          <w:numId w:val="10"/>
        </w:num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Other properties the Council do not wish to include in the scheme</w:t>
      </w:r>
    </w:p>
    <w:p w14:paraId="7FA527A0" w14:textId="77777777" w:rsidR="00C1728B" w:rsidRDefault="00C1728B"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Pr>
          <w:rFonts w:ascii="Arial" w:eastAsia="Times New Roman" w:hAnsi="Arial" w:cs="Arial"/>
          <w:color w:val="333333"/>
          <w:lang w:val="en" w:eastAsia="en-IE"/>
        </w:rPr>
        <w:t xml:space="preserve">Please see exclusions under the Tenant Purchase Scheme for </w:t>
      </w:r>
      <w:r w:rsidRPr="00C1728B">
        <w:rPr>
          <w:rFonts w:ascii="Arial" w:eastAsia="Times New Roman" w:hAnsi="Arial" w:cs="Arial"/>
          <w:color w:val="333333"/>
          <w:lang w:val="en" w:eastAsia="en-IE"/>
        </w:rPr>
        <w:t>South Dublin County Council</w:t>
      </w:r>
    </w:p>
    <w:p w14:paraId="7DEE3236" w14:textId="77777777" w:rsidR="007A464F" w:rsidRPr="007A464F" w:rsidRDefault="007A464F" w:rsidP="007A464F">
      <w:pPr>
        <w:shd w:val="clear" w:color="auto" w:fill="FFFFFF" w:themeFill="background1"/>
        <w:spacing w:before="100" w:beforeAutospacing="1" w:after="100" w:afterAutospacing="1" w:line="240" w:lineRule="auto"/>
        <w:rPr>
          <w:rFonts w:ascii="Arial" w:eastAsia="Times New Roman" w:hAnsi="Arial" w:cs="Arial"/>
          <w:color w:val="333333"/>
          <w:lang w:eastAsia="en-IE"/>
        </w:rPr>
      </w:pPr>
      <w:r w:rsidRPr="007A464F">
        <w:rPr>
          <w:rFonts w:ascii="Arial" w:eastAsia="Times New Roman" w:hAnsi="Arial" w:cs="Arial"/>
          <w:b/>
          <w:bCs/>
          <w:color w:val="333333"/>
          <w:lang w:eastAsia="en-IE"/>
        </w:rPr>
        <w:t>Calculation of Reckonable Income</w:t>
      </w:r>
    </w:p>
    <w:p w14:paraId="36094305" w14:textId="77777777" w:rsidR="007A464F" w:rsidRPr="007A464F" w:rsidRDefault="007A464F"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eastAsia="en-IE"/>
        </w:rPr>
      </w:pPr>
      <w:r w:rsidRPr="007A464F">
        <w:rPr>
          <w:rFonts w:ascii="Arial" w:eastAsia="Times New Roman" w:hAnsi="Arial" w:cs="Arial"/>
          <w:color w:val="333333"/>
          <w:lang w:eastAsia="en-IE"/>
        </w:rPr>
        <w:t>SDCC will include the reckonable income of all joint tenants and any tenant’s spouse, civil partner or cohabitant who is resident in the house when calculating reckonable tenant income for the purposes of the scheme;</w:t>
      </w:r>
    </w:p>
    <w:p w14:paraId="1C5CE4F8" w14:textId="77777777" w:rsidR="007A464F" w:rsidRPr="007A464F" w:rsidRDefault="007A464F"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eastAsia="en-IE"/>
        </w:rPr>
      </w:pPr>
      <w:r w:rsidRPr="007A464F">
        <w:rPr>
          <w:rFonts w:ascii="Arial" w:eastAsia="Times New Roman" w:hAnsi="Arial" w:cs="Arial"/>
          <w:color w:val="333333"/>
          <w:lang w:eastAsia="en-IE"/>
        </w:rPr>
        <w:t xml:space="preserve">Reckonable income will be calculated as </w:t>
      </w:r>
      <w:r w:rsidRPr="007A464F">
        <w:rPr>
          <w:rFonts w:ascii="Arial" w:eastAsia="Times New Roman" w:hAnsi="Arial" w:cs="Arial"/>
          <w:b/>
          <w:bCs/>
          <w:color w:val="333333"/>
          <w:u w:val="single"/>
          <w:lang w:eastAsia="en-IE"/>
        </w:rPr>
        <w:t>gross</w:t>
      </w:r>
      <w:r w:rsidRPr="007A464F">
        <w:rPr>
          <w:rFonts w:ascii="Arial" w:eastAsia="Times New Roman" w:hAnsi="Arial" w:cs="Arial"/>
          <w:color w:val="333333"/>
          <w:lang w:eastAsia="en-IE"/>
        </w:rPr>
        <w:t xml:space="preserve"> income, i.e. before deduction of income tax, USC, pension contributions, pension-related reductions and PRSI, etc.,</w:t>
      </w:r>
    </w:p>
    <w:p w14:paraId="32C8C2E1" w14:textId="77777777" w:rsidR="007A464F" w:rsidRPr="007A464F" w:rsidRDefault="007A464F"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eastAsia="en-IE"/>
        </w:rPr>
      </w:pPr>
      <w:r w:rsidRPr="007A464F">
        <w:rPr>
          <w:rFonts w:ascii="Arial" w:eastAsia="Times New Roman" w:hAnsi="Arial" w:cs="Arial"/>
          <w:color w:val="333333"/>
          <w:lang w:eastAsia="en-IE"/>
        </w:rPr>
        <w:t>Social welfare payments (including pensions) by DSP may be included in reckonable income where they constitute a secondary source of income, i.e. a social welfare payment to a tenant in receipt of income from employment is reckonable income, as is a social welfare payment to the spouse, civil partner or cohabitant of a tenant in employment;</w:t>
      </w:r>
    </w:p>
    <w:p w14:paraId="5AE901D6" w14:textId="77777777" w:rsidR="007A464F" w:rsidRPr="007A464F" w:rsidRDefault="007A464F"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eastAsia="en-IE"/>
        </w:rPr>
      </w:pPr>
      <w:r w:rsidRPr="007A464F">
        <w:rPr>
          <w:rFonts w:ascii="Arial" w:eastAsia="Times New Roman" w:hAnsi="Arial" w:cs="Arial"/>
          <w:color w:val="333333"/>
          <w:lang w:eastAsia="en-IE"/>
        </w:rPr>
        <w:lastRenderedPageBreak/>
        <w:t>Certain types of payments will be disregarded for the purposes of calculating reckonable income, including Child Benefit, Carer’s Allowance and Benefit and Family Income Supplement.</w:t>
      </w:r>
    </w:p>
    <w:p w14:paraId="37F84F40" w14:textId="77777777" w:rsidR="007A464F" w:rsidRPr="00941998" w:rsidRDefault="007A464F" w:rsidP="00C1728B">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p>
    <w:p w14:paraId="4C05224A"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What is the purchase price of the house?</w:t>
      </w:r>
    </w:p>
    <w:p w14:paraId="7C015B21"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 xml:space="preserve">The purchase price of a house is the market value of the house for the purposes of calculating the applicable discount and will be determined by </w:t>
      </w:r>
      <w:r w:rsidR="00017B5B">
        <w:rPr>
          <w:rFonts w:ascii="Arial" w:eastAsia="Times New Roman" w:hAnsi="Arial" w:cs="Arial"/>
          <w:color w:val="333333"/>
          <w:lang w:val="en" w:eastAsia="en-IE"/>
        </w:rPr>
        <w:t xml:space="preserve">South Dublin </w:t>
      </w:r>
      <w:r w:rsidRPr="00941998">
        <w:rPr>
          <w:rFonts w:ascii="Arial" w:eastAsia="Times New Roman" w:hAnsi="Arial" w:cs="Arial"/>
          <w:color w:val="333333"/>
          <w:lang w:val="en" w:eastAsia="en-IE"/>
        </w:rPr>
        <w:t>County Council.</w:t>
      </w:r>
    </w:p>
    <w:p w14:paraId="5B11F08E"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What is the price discount?</w:t>
      </w:r>
    </w:p>
    <w:p w14:paraId="5A466342"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housing authority will give the tenant a discount of 60%, 50% or 40% off the purchase price of the house, depending on reckonable tenant income:</w:t>
      </w:r>
    </w:p>
    <w:p w14:paraId="595AB57D" w14:textId="77777777"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60% off the purchase price applies where reckonable tenant income is between €15,000 and €20,000;</w:t>
      </w:r>
    </w:p>
    <w:p w14:paraId="07F16670" w14:textId="77777777"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50% off the purchase price applies where reckonable tenant income is between €20,001 and €29,999;</w:t>
      </w:r>
    </w:p>
    <w:p w14:paraId="52F38AFD" w14:textId="77777777"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40% off the purchase price applies where reckonable income is equal to or greater than €30,000.</w:t>
      </w:r>
    </w:p>
    <w:p w14:paraId="6427DD81"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How do I pay for the house?</w:t>
      </w:r>
    </w:p>
    <w:p w14:paraId="686996A5" w14:textId="77777777" w:rsidR="00941998" w:rsidRPr="00941998" w:rsidRDefault="00941998" w:rsidP="00941998">
      <w:pPr>
        <w:numPr>
          <w:ilvl w:val="0"/>
          <w:numId w:val="12"/>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 is not required to pay a deposit to the housing authority as part</w:t>
      </w:r>
      <w:r w:rsidR="00B110BD">
        <w:rPr>
          <w:rFonts w:ascii="Arial" w:eastAsia="Times New Roman" w:hAnsi="Arial" w:cs="Arial"/>
          <w:color w:val="333333"/>
          <w:lang w:val="en" w:eastAsia="en-IE"/>
        </w:rPr>
        <w:t xml:space="preserve"> of the tenant purchase process if they are funding the purchase of the property through a loan from a private lending institution.  </w:t>
      </w:r>
    </w:p>
    <w:p w14:paraId="35C530A7" w14:textId="77777777" w:rsidR="00941998" w:rsidRPr="009711FD" w:rsidRDefault="00B110BD" w:rsidP="00941998">
      <w:pPr>
        <w:numPr>
          <w:ilvl w:val="0"/>
          <w:numId w:val="12"/>
        </w:numPr>
        <w:shd w:val="clear" w:color="auto" w:fill="FFFFFF" w:themeFill="background1"/>
        <w:spacing w:before="100" w:beforeAutospacing="1" w:after="100" w:afterAutospacing="1" w:line="240" w:lineRule="auto"/>
        <w:rPr>
          <w:rFonts w:ascii="Arial" w:eastAsia="Times New Roman" w:hAnsi="Arial" w:cs="Arial"/>
          <w:lang w:val="en" w:eastAsia="en-IE"/>
        </w:rPr>
      </w:pPr>
      <w:r>
        <w:rPr>
          <w:rFonts w:ascii="Arial" w:eastAsia="Times New Roman" w:hAnsi="Arial" w:cs="Arial"/>
          <w:lang w:val="en" w:eastAsia="en-IE"/>
        </w:rPr>
        <w:t>However, if you require to apply for a House Purchase Loan through South Dublin County Council you will require a 3% deposit of the purchase price.</w:t>
      </w:r>
    </w:p>
    <w:p w14:paraId="68E8420B"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Is there a charge placed on the property?</w:t>
      </w:r>
    </w:p>
    <w:p w14:paraId="313A95DC" w14:textId="77777777" w:rsidR="00941998" w:rsidRPr="00941998" w:rsidRDefault="00941998" w:rsidP="009153A3">
      <w:pPr>
        <w:shd w:val="clear" w:color="auto" w:fill="FFFFFF" w:themeFill="background1"/>
        <w:spacing w:before="100" w:beforeAutospacing="1" w:after="100" w:afterAutospacing="1" w:line="240" w:lineRule="auto"/>
        <w:jc w:val="both"/>
        <w:rPr>
          <w:rFonts w:ascii="Arial" w:eastAsia="Times New Roman" w:hAnsi="Arial" w:cs="Arial"/>
          <w:color w:val="333333"/>
          <w:lang w:val="en" w:eastAsia="en-IE"/>
        </w:rPr>
      </w:pPr>
      <w:r w:rsidRPr="00941998">
        <w:rPr>
          <w:rFonts w:ascii="Arial" w:eastAsia="Times New Roman" w:hAnsi="Arial" w:cs="Arial"/>
          <w:color w:val="333333"/>
          <w:lang w:val="en" w:eastAsia="en-IE"/>
        </w:rPr>
        <w:t>On the sale of a house under the scheme, the council will place an incremental purchase charge on the house equivalent to the discount granted to the tenant off the purchase price.  Thus, if the council gives a 50% discount to the purchaser, the incremental purchase charge will be 50% of the value of the house.  The period for which the charge applies to the house (i.e. the charged period) depends on the level of the charge.  The incremental purchase charge will wither away to nothing over the charged period in annual incremental releases of 2% of the value of the house, provided that the purchaser complies with the terms and conditions of the transfer order.  The incremental releases for the first 5 years of occupancy will not be applied until that period has expired;</w:t>
      </w:r>
    </w:p>
    <w:p w14:paraId="2F93E80C" w14:textId="77777777"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Can I sell my house during the charge period?</w:t>
      </w:r>
    </w:p>
    <w:p w14:paraId="5839E701" w14:textId="77777777" w:rsidR="00941998" w:rsidRPr="00941998" w:rsidRDefault="00941998" w:rsidP="00941998">
      <w:pPr>
        <w:numPr>
          <w:ilvl w:val="0"/>
          <w:numId w:val="13"/>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Housing Authority will have first refusal on buy-back of tenant purchased houses resold during the charging period, in which case the resale price is the current market value of the house less the value of the outstanding charge on the property.</w:t>
      </w:r>
    </w:p>
    <w:p w14:paraId="405FF89D" w14:textId="77777777" w:rsidR="00941998" w:rsidRPr="00941998" w:rsidRDefault="00941998" w:rsidP="00941998">
      <w:pPr>
        <w:numPr>
          <w:ilvl w:val="0"/>
          <w:numId w:val="13"/>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If the house is resold within 5 years of purchase the tenant purchaser must pay the current value of the total charge back to the Council. If later it will be the current value of the outstanding charge.</w:t>
      </w:r>
    </w:p>
    <w:p w14:paraId="3CD1846A" w14:textId="77777777" w:rsidR="00B63224" w:rsidRPr="007A464F" w:rsidRDefault="00941998" w:rsidP="007A464F">
      <w:pPr>
        <w:shd w:val="clear" w:color="auto" w:fill="FFFFFF" w:themeFill="background1"/>
        <w:spacing w:before="100" w:beforeAutospacing="1" w:after="100" w:afterAutospacing="1" w:line="240" w:lineRule="auto"/>
        <w:rPr>
          <w:rFonts w:ascii="Arial" w:eastAsia="Times New Roman" w:hAnsi="Arial" w:cs="Arial"/>
          <w:lang w:val="en" w:eastAsia="en-IE"/>
        </w:rPr>
      </w:pPr>
      <w:r w:rsidRPr="00941998">
        <w:rPr>
          <w:rFonts w:ascii="Arial" w:eastAsia="Times New Roman" w:hAnsi="Arial" w:cs="Arial"/>
          <w:color w:val="333333"/>
          <w:lang w:val="en" w:eastAsia="en-IE"/>
        </w:rPr>
        <w:lastRenderedPageBreak/>
        <w:t>This is a summary of the scheme for information purposes only and does not include all the terms and conditions</w:t>
      </w:r>
      <w:r w:rsidRPr="009711FD">
        <w:rPr>
          <w:rFonts w:ascii="Arial" w:eastAsia="Times New Roman" w:hAnsi="Arial" w:cs="Arial"/>
          <w:lang w:val="en" w:eastAsia="en-IE"/>
        </w:rPr>
        <w:t xml:space="preserve">.  A brochure </w:t>
      </w:r>
      <w:r w:rsidR="00954BAA" w:rsidRPr="009711FD">
        <w:rPr>
          <w:rFonts w:ascii="Arial" w:eastAsia="Times New Roman" w:hAnsi="Arial" w:cs="Arial"/>
          <w:lang w:val="en" w:eastAsia="en-IE"/>
        </w:rPr>
        <w:t xml:space="preserve">is available by download </w:t>
      </w:r>
      <w:r w:rsidRPr="009711FD">
        <w:rPr>
          <w:rFonts w:ascii="Arial" w:eastAsia="Times New Roman" w:hAnsi="Arial" w:cs="Arial"/>
          <w:lang w:val="en" w:eastAsia="en-IE"/>
        </w:rPr>
        <w:t>with the full conditions of the scheme.</w:t>
      </w:r>
    </w:p>
    <w:p w14:paraId="4CD1A721" w14:textId="77777777" w:rsidR="007A7411" w:rsidRPr="007A7411" w:rsidRDefault="007A7411" w:rsidP="007A7411">
      <w:pPr>
        <w:spacing w:before="100" w:beforeAutospacing="1" w:after="100" w:afterAutospacing="1" w:line="240" w:lineRule="auto"/>
        <w:rPr>
          <w:rFonts w:ascii="Arial" w:eastAsia="Times New Roman" w:hAnsi="Arial" w:cs="Arial"/>
          <w:b/>
          <w:lang w:eastAsia="en-IE"/>
        </w:rPr>
      </w:pPr>
      <w:r w:rsidRPr="007A7411">
        <w:rPr>
          <w:rFonts w:ascii="Arial" w:eastAsia="Times New Roman" w:hAnsi="Arial" w:cs="Arial"/>
          <w:b/>
          <w:lang w:eastAsia="en-IE"/>
        </w:rPr>
        <w:t>Exclusions under the Tenant Purchase Scheme</w:t>
      </w:r>
    </w:p>
    <w:p w14:paraId="220587EA" w14:textId="77777777" w:rsidR="007A7411" w:rsidRPr="007A7411" w:rsidRDefault="007A7411"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A tenant is not entitled to purchase under the scheme if he or she –</w:t>
      </w:r>
    </w:p>
    <w:p w14:paraId="493BD733" w14:textId="77777777"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previously purchased a dwelling under a tenant purchase scheme, </w:t>
      </w:r>
    </w:p>
    <w:p w14:paraId="17BBAC67" w14:textId="77777777"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has significant rent arrears and is not complying with arrangements agreed with the Council to pay off those arrears, </w:t>
      </w:r>
    </w:p>
    <w:p w14:paraId="15D19BF9" w14:textId="77777777"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has failed to pay all outstanding water charges due and owing to Irish Water; or </w:t>
      </w:r>
    </w:p>
    <w:p w14:paraId="25596DE9" w14:textId="014C0FD7" w:rsidR="007A7411"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has or is engaged in anti-social behaviour (this prohib</w:t>
      </w:r>
      <w:r w:rsidRPr="007A7411">
        <w:rPr>
          <w:rFonts w:ascii="Arial" w:eastAsia="Times New Roman" w:hAnsi="Arial" w:cs="Arial"/>
          <w:lang w:eastAsia="en-IE"/>
        </w:rPr>
        <w:t>ition also applies to household members)</w:t>
      </w:r>
    </w:p>
    <w:p w14:paraId="5E086A6B" w14:textId="4920A749" w:rsidR="009153A3" w:rsidRPr="00F645F0" w:rsidRDefault="009153A3" w:rsidP="007A7411">
      <w:pPr>
        <w:numPr>
          <w:ilvl w:val="0"/>
          <w:numId w:val="14"/>
        </w:numPr>
        <w:spacing w:before="100" w:beforeAutospacing="1" w:after="100" w:afterAutospacing="1" w:line="240" w:lineRule="auto"/>
        <w:rPr>
          <w:rFonts w:ascii="Arial" w:eastAsia="Times New Roman" w:hAnsi="Arial" w:cs="Arial"/>
          <w:lang w:eastAsia="en-IE"/>
        </w:rPr>
      </w:pPr>
      <w:r>
        <w:rPr>
          <w:rFonts w:ascii="Arial" w:eastAsia="Times New Roman" w:hAnsi="Arial" w:cs="Arial"/>
          <w:lang w:eastAsia="en-IE"/>
        </w:rPr>
        <w:t>has had the tenancy for a period less than ten years.</w:t>
      </w:r>
    </w:p>
    <w:p w14:paraId="72DA3DF0" w14:textId="77777777" w:rsidR="007A7411" w:rsidRPr="007A7411" w:rsidRDefault="00C1728B"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C1728B">
        <w:rPr>
          <w:rFonts w:ascii="Arial" w:eastAsia="Times New Roman" w:hAnsi="Arial" w:cs="Arial"/>
          <w:bCs/>
          <w:iCs/>
          <w:lang w:eastAsia="en-IE"/>
        </w:rPr>
        <w:t>South Dublin County Council</w:t>
      </w:r>
      <w:r>
        <w:rPr>
          <w:rFonts w:ascii="Arial" w:eastAsia="Times New Roman" w:hAnsi="Arial" w:cs="Arial"/>
          <w:bCs/>
          <w:iCs/>
          <w:lang w:eastAsia="en-IE"/>
        </w:rPr>
        <w:t xml:space="preserve"> </w:t>
      </w:r>
      <w:r w:rsidR="007A7411" w:rsidRPr="007A7411">
        <w:rPr>
          <w:rFonts w:ascii="Arial" w:eastAsia="Times New Roman" w:hAnsi="Arial" w:cs="Arial"/>
          <w:bCs/>
          <w:iCs/>
          <w:lang w:eastAsia="en-IE"/>
        </w:rPr>
        <w:t>also exclude the following:</w:t>
      </w:r>
    </w:p>
    <w:p w14:paraId="3987062A" w14:textId="77777777" w:rsidR="007A7411" w:rsidRPr="00F645F0" w:rsidRDefault="007A7411" w:rsidP="007A7411">
      <w:pPr>
        <w:numPr>
          <w:ilvl w:val="0"/>
          <w:numId w:val="15"/>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iCs/>
          <w:lang w:eastAsia="en-IE"/>
        </w:rPr>
        <w:t>Tenant (or one of the joint tenants) subject to a Debt Relief Notice which is inclusive of rent arrears</w:t>
      </w:r>
      <w:r w:rsidRPr="00F645F0">
        <w:rPr>
          <w:rFonts w:ascii="Arial" w:eastAsia="Times New Roman" w:hAnsi="Arial" w:cs="Arial"/>
          <w:lang w:eastAsia="en-IE"/>
        </w:rPr>
        <w:t xml:space="preserve"> </w:t>
      </w:r>
    </w:p>
    <w:p w14:paraId="0C045B58" w14:textId="77777777" w:rsidR="007A7411" w:rsidRPr="00F645F0" w:rsidRDefault="007A7411" w:rsidP="007A7411">
      <w:pPr>
        <w:numPr>
          <w:ilvl w:val="0"/>
          <w:numId w:val="15"/>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iCs/>
          <w:lang w:eastAsia="en-IE"/>
        </w:rPr>
        <w:t>Tenant who has not submitted all relevant income details for an up-to-date Rent Assessment (this applies to all household members)</w:t>
      </w:r>
      <w:r w:rsidRPr="00F645F0">
        <w:rPr>
          <w:rFonts w:ascii="Arial" w:eastAsia="Times New Roman" w:hAnsi="Arial" w:cs="Arial"/>
          <w:lang w:eastAsia="en-IE"/>
        </w:rPr>
        <w:br/>
        <w:t xml:space="preserve">  </w:t>
      </w:r>
    </w:p>
    <w:p w14:paraId="1E30E988" w14:textId="77777777" w:rsidR="007A7411" w:rsidRPr="007A7411" w:rsidRDefault="007A7411"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lang w:eastAsia="en-IE"/>
        </w:rPr>
        <w:t>Properties that cannot be sold under the scheme</w:t>
      </w:r>
    </w:p>
    <w:p w14:paraId="557BC07A" w14:textId="77777777" w:rsidR="007A7411" w:rsidRPr="007A7411" w:rsidRDefault="007A7411" w:rsidP="007A7411">
      <w:pPr>
        <w:pStyle w:val="ListParagraph"/>
        <w:spacing w:before="100" w:beforeAutospacing="1" w:after="100" w:afterAutospacing="1" w:line="240" w:lineRule="auto"/>
        <w:ind w:left="502"/>
        <w:rPr>
          <w:rFonts w:ascii="Arial" w:eastAsia="Times New Roman" w:hAnsi="Arial" w:cs="Arial"/>
          <w:lang w:eastAsia="en-IE"/>
        </w:rPr>
      </w:pPr>
    </w:p>
    <w:p w14:paraId="0793D966"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Affordable Housing;</w:t>
      </w:r>
    </w:p>
    <w:p w14:paraId="4E07BFB2"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Houses designed for occupation by elderly persons;</w:t>
      </w:r>
    </w:p>
    <w:p w14:paraId="1A51FEDC"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Houses provided for persons with disabilities making the transition from congregated settings to community based living under the National De-institutionalisation Programme,</w:t>
      </w:r>
    </w:p>
    <w:p w14:paraId="56AB06AD"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Group traveller housing,</w:t>
      </w:r>
    </w:p>
    <w:p w14:paraId="7A2C02FF"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Caravans, mobile homes, etc.,</w:t>
      </w:r>
    </w:p>
    <w:p w14:paraId="057BDCE9"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Part V dwellings provided in private estates,</w:t>
      </w:r>
    </w:p>
    <w:p w14:paraId="7BD69C40" w14:textId="77777777"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Local authority apartments and other dwellings (including maisonettes) that require regular upkeep and management of common areas etc., in conjunction with other dwellings or properties are excluded from sale under the scheme</w:t>
      </w:r>
    </w:p>
    <w:p w14:paraId="733539A2" w14:textId="77777777" w:rsidR="007A7411" w:rsidRPr="007A7411" w:rsidRDefault="007A7411" w:rsidP="007A7411">
      <w:pPr>
        <w:pStyle w:val="ListParagraph"/>
        <w:spacing w:before="100" w:beforeAutospacing="1" w:after="100" w:afterAutospacing="1" w:line="240" w:lineRule="auto"/>
        <w:ind w:left="1080"/>
        <w:rPr>
          <w:rFonts w:ascii="Arial" w:eastAsia="Times New Roman" w:hAnsi="Arial" w:cs="Arial"/>
          <w:lang w:eastAsia="en-IE"/>
        </w:rPr>
      </w:pPr>
    </w:p>
    <w:p w14:paraId="5BF0FBC1" w14:textId="77777777" w:rsidR="007A7411" w:rsidRPr="007A7411" w:rsidRDefault="00C1728B"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C1728B">
        <w:rPr>
          <w:rFonts w:ascii="Arial" w:eastAsia="Times New Roman" w:hAnsi="Arial" w:cs="Arial"/>
          <w:bCs/>
          <w:iCs/>
          <w:lang w:eastAsia="en-IE"/>
        </w:rPr>
        <w:t>South Dublin County Council</w:t>
      </w:r>
      <w:r w:rsidR="007A7411" w:rsidRPr="007A7411">
        <w:rPr>
          <w:rFonts w:ascii="Arial" w:eastAsia="Times New Roman" w:hAnsi="Arial" w:cs="Arial"/>
          <w:bCs/>
          <w:iCs/>
          <w:lang w:eastAsia="en-IE"/>
        </w:rPr>
        <w:t xml:space="preserve"> in the interest of proper estate management or on account of their structural condition exclude: </w:t>
      </w:r>
    </w:p>
    <w:p w14:paraId="46F6F75A" w14:textId="6969776D"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Houses that are under-</w:t>
      </w:r>
      <w:r w:rsidR="00792899">
        <w:rPr>
          <w:rFonts w:ascii="Arial" w:eastAsia="Times New Roman" w:hAnsi="Arial" w:cs="Arial"/>
          <w:lang w:eastAsia="en-IE"/>
        </w:rPr>
        <w:t>occupied</w:t>
      </w:r>
      <w:r w:rsidRPr="00C1728B">
        <w:rPr>
          <w:rFonts w:ascii="Arial" w:eastAsia="Times New Roman" w:hAnsi="Arial" w:cs="Arial"/>
          <w:lang w:eastAsia="en-IE"/>
        </w:rPr>
        <w:t xml:space="preserve"> </w:t>
      </w:r>
    </w:p>
    <w:p w14:paraId="0B7C022D" w14:textId="77777777"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 xml:space="preserve">Unsold Affordable Houses </w:t>
      </w:r>
    </w:p>
    <w:p w14:paraId="2F6C40F4" w14:textId="77777777"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 xml:space="preserve">Remedial works proposed </w:t>
      </w:r>
    </w:p>
    <w:p w14:paraId="6704AADA" w14:textId="77777777"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Tenant subject to Debt Relief</w:t>
      </w:r>
    </w:p>
    <w:p w14:paraId="391B61B6" w14:textId="77777777"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Tenant who has not submitted all relevant income details</w:t>
      </w:r>
    </w:p>
    <w:p w14:paraId="6A8047E6" w14:textId="77777777"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All one bed units</w:t>
      </w:r>
    </w:p>
    <w:p w14:paraId="56533904" w14:textId="77777777" w:rsidR="00C1728B" w:rsidRPr="00C1728B" w:rsidRDefault="00C1728B" w:rsidP="00C1728B">
      <w:pPr>
        <w:spacing w:after="100" w:afterAutospacing="1" w:line="240" w:lineRule="auto"/>
        <w:ind w:left="1080"/>
        <w:rPr>
          <w:rFonts w:ascii="Arial" w:eastAsia="Times New Roman" w:hAnsi="Arial" w:cs="Arial"/>
          <w:lang w:eastAsia="en-IE"/>
        </w:rPr>
      </w:pPr>
    </w:p>
    <w:p w14:paraId="51BF2EF6" w14:textId="77777777" w:rsidR="007A7411" w:rsidRPr="00F645F0" w:rsidRDefault="007A7411" w:rsidP="007A7411">
      <w:p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w:t>
      </w:r>
    </w:p>
    <w:p w14:paraId="2E796B69" w14:textId="77777777" w:rsidR="007A7411" w:rsidRPr="007A7411" w:rsidRDefault="007A7411"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p>
    <w:sectPr w:rsidR="007A7411" w:rsidRPr="007A7411" w:rsidSect="0039080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BB27" w14:textId="77777777" w:rsidR="00F14328" w:rsidRDefault="00F14328" w:rsidP="00F14328">
      <w:pPr>
        <w:spacing w:after="0" w:line="240" w:lineRule="auto"/>
      </w:pPr>
      <w:r>
        <w:separator/>
      </w:r>
    </w:p>
  </w:endnote>
  <w:endnote w:type="continuationSeparator" w:id="0">
    <w:p w14:paraId="2926E5E4" w14:textId="77777777" w:rsidR="00F14328" w:rsidRDefault="00F14328" w:rsidP="00F1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ACAD" w14:textId="77777777" w:rsidR="00F14328" w:rsidRDefault="00F1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091699"/>
      <w:docPartObj>
        <w:docPartGallery w:val="Page Numbers (Bottom of Page)"/>
        <w:docPartUnique/>
      </w:docPartObj>
    </w:sdtPr>
    <w:sdtEndPr>
      <w:rPr>
        <w:noProof/>
      </w:rPr>
    </w:sdtEndPr>
    <w:sdtContent>
      <w:p w14:paraId="0E001B44" w14:textId="77777777" w:rsidR="00F14328" w:rsidRDefault="00F14328">
        <w:pPr>
          <w:pStyle w:val="Footer"/>
          <w:jc w:val="right"/>
        </w:pPr>
        <w:r>
          <w:fldChar w:fldCharType="begin"/>
        </w:r>
        <w:r>
          <w:instrText xml:space="preserve"> PAGE   \* MERGEFORMAT </w:instrText>
        </w:r>
        <w:r>
          <w:fldChar w:fldCharType="separate"/>
        </w:r>
        <w:r w:rsidR="007A464F">
          <w:rPr>
            <w:noProof/>
          </w:rPr>
          <w:t>3</w:t>
        </w:r>
        <w:r>
          <w:rPr>
            <w:noProof/>
          </w:rPr>
          <w:fldChar w:fldCharType="end"/>
        </w:r>
      </w:p>
    </w:sdtContent>
  </w:sdt>
  <w:p w14:paraId="3522B5CD" w14:textId="77777777" w:rsidR="00F14328" w:rsidRDefault="00F14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8B2B" w14:textId="77777777" w:rsidR="00F14328" w:rsidRDefault="00F1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C7F1D" w14:textId="77777777" w:rsidR="00F14328" w:rsidRDefault="00F14328" w:rsidP="00F14328">
      <w:pPr>
        <w:spacing w:after="0" w:line="240" w:lineRule="auto"/>
      </w:pPr>
      <w:r>
        <w:separator/>
      </w:r>
    </w:p>
  </w:footnote>
  <w:footnote w:type="continuationSeparator" w:id="0">
    <w:p w14:paraId="0672B01E" w14:textId="77777777" w:rsidR="00F14328" w:rsidRDefault="00F14328" w:rsidP="00F1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7BD8" w14:textId="77777777" w:rsidR="00F14328" w:rsidRDefault="00F1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4F1BE" w14:textId="77777777" w:rsidR="00F14328" w:rsidRDefault="00F1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AC2A" w14:textId="77777777" w:rsidR="00F14328" w:rsidRDefault="00F1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A6D"/>
    <w:multiLevelType w:val="multilevel"/>
    <w:tmpl w:val="09C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1483"/>
    <w:multiLevelType w:val="hybridMultilevel"/>
    <w:tmpl w:val="58B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E208F1"/>
    <w:multiLevelType w:val="hybridMultilevel"/>
    <w:tmpl w:val="5638F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356BA9"/>
    <w:multiLevelType w:val="hybridMultilevel"/>
    <w:tmpl w:val="9AD42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AE26049"/>
    <w:multiLevelType w:val="multilevel"/>
    <w:tmpl w:val="1F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202BA"/>
    <w:multiLevelType w:val="multilevel"/>
    <w:tmpl w:val="875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94ED1"/>
    <w:multiLevelType w:val="hybridMultilevel"/>
    <w:tmpl w:val="EB20B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900B7B"/>
    <w:multiLevelType w:val="multilevel"/>
    <w:tmpl w:val="3A46EF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0DA3117"/>
    <w:multiLevelType w:val="multilevel"/>
    <w:tmpl w:val="FB1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674AC"/>
    <w:multiLevelType w:val="hybridMultilevel"/>
    <w:tmpl w:val="51E8B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28339DB"/>
    <w:multiLevelType w:val="hybridMultilevel"/>
    <w:tmpl w:val="8236F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D96252"/>
    <w:multiLevelType w:val="hybridMultilevel"/>
    <w:tmpl w:val="4AB678F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2018" w:hanging="360"/>
      </w:pPr>
    </w:lvl>
    <w:lvl w:ilvl="2" w:tplc="1809001B" w:tentative="1">
      <w:start w:val="1"/>
      <w:numFmt w:val="lowerRoman"/>
      <w:lvlText w:val="%3."/>
      <w:lvlJc w:val="right"/>
      <w:pPr>
        <w:ind w:left="2738" w:hanging="180"/>
      </w:pPr>
    </w:lvl>
    <w:lvl w:ilvl="3" w:tplc="1809000F" w:tentative="1">
      <w:start w:val="1"/>
      <w:numFmt w:val="decimal"/>
      <w:lvlText w:val="%4."/>
      <w:lvlJc w:val="left"/>
      <w:pPr>
        <w:ind w:left="3458" w:hanging="360"/>
      </w:pPr>
    </w:lvl>
    <w:lvl w:ilvl="4" w:tplc="18090019" w:tentative="1">
      <w:start w:val="1"/>
      <w:numFmt w:val="lowerLetter"/>
      <w:lvlText w:val="%5."/>
      <w:lvlJc w:val="left"/>
      <w:pPr>
        <w:ind w:left="4178" w:hanging="360"/>
      </w:pPr>
    </w:lvl>
    <w:lvl w:ilvl="5" w:tplc="1809001B" w:tentative="1">
      <w:start w:val="1"/>
      <w:numFmt w:val="lowerRoman"/>
      <w:lvlText w:val="%6."/>
      <w:lvlJc w:val="right"/>
      <w:pPr>
        <w:ind w:left="4898" w:hanging="180"/>
      </w:pPr>
    </w:lvl>
    <w:lvl w:ilvl="6" w:tplc="1809000F" w:tentative="1">
      <w:start w:val="1"/>
      <w:numFmt w:val="decimal"/>
      <w:lvlText w:val="%7."/>
      <w:lvlJc w:val="left"/>
      <w:pPr>
        <w:ind w:left="5618" w:hanging="360"/>
      </w:pPr>
    </w:lvl>
    <w:lvl w:ilvl="7" w:tplc="18090019" w:tentative="1">
      <w:start w:val="1"/>
      <w:numFmt w:val="lowerLetter"/>
      <w:lvlText w:val="%8."/>
      <w:lvlJc w:val="left"/>
      <w:pPr>
        <w:ind w:left="6338" w:hanging="360"/>
      </w:pPr>
    </w:lvl>
    <w:lvl w:ilvl="8" w:tplc="1809001B" w:tentative="1">
      <w:start w:val="1"/>
      <w:numFmt w:val="lowerRoman"/>
      <w:lvlText w:val="%9."/>
      <w:lvlJc w:val="right"/>
      <w:pPr>
        <w:ind w:left="7058" w:hanging="180"/>
      </w:pPr>
    </w:lvl>
  </w:abstractNum>
  <w:abstractNum w:abstractNumId="13" w15:restartNumberingAfterBreak="0">
    <w:nsid w:val="61973093"/>
    <w:multiLevelType w:val="hybridMultilevel"/>
    <w:tmpl w:val="66C40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8B4280"/>
    <w:multiLevelType w:val="hybridMultilevel"/>
    <w:tmpl w:val="86362D92"/>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5730839"/>
    <w:multiLevelType w:val="hybridMultilevel"/>
    <w:tmpl w:val="6524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4B4D24"/>
    <w:multiLevelType w:val="hybridMultilevel"/>
    <w:tmpl w:val="4306AD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BB823B7"/>
    <w:multiLevelType w:val="hybridMultilevel"/>
    <w:tmpl w:val="E2824E8C"/>
    <w:lvl w:ilvl="0" w:tplc="D54681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761884"/>
    <w:multiLevelType w:val="multilevel"/>
    <w:tmpl w:val="4A7CFF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1"/>
  </w:num>
  <w:num w:numId="3">
    <w:abstractNumId w:val="3"/>
  </w:num>
  <w:num w:numId="4">
    <w:abstractNumId w:val="17"/>
  </w:num>
  <w:num w:numId="5">
    <w:abstractNumId w:val="7"/>
  </w:num>
  <w:num w:numId="6">
    <w:abstractNumId w:val="10"/>
  </w:num>
  <w:num w:numId="7">
    <w:abstractNumId w:val="2"/>
  </w:num>
  <w:num w:numId="8">
    <w:abstractNumId w:val="13"/>
  </w:num>
  <w:num w:numId="9">
    <w:abstractNumId w:val="16"/>
  </w:num>
  <w:num w:numId="10">
    <w:abstractNumId w:val="6"/>
  </w:num>
  <w:num w:numId="11">
    <w:abstractNumId w:val="0"/>
  </w:num>
  <w:num w:numId="12">
    <w:abstractNumId w:val="9"/>
  </w:num>
  <w:num w:numId="13">
    <w:abstractNumId w:val="5"/>
  </w:num>
  <w:num w:numId="14">
    <w:abstractNumId w:val="8"/>
  </w:num>
  <w:num w:numId="15">
    <w:abstractNumId w:val="18"/>
  </w:num>
  <w:num w:numId="16">
    <w:abstractNumId w:val="4"/>
  </w:num>
  <w:num w:numId="17">
    <w:abstractNumId w:val="1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EF"/>
    <w:rsid w:val="00017B5B"/>
    <w:rsid w:val="00076025"/>
    <w:rsid w:val="00077171"/>
    <w:rsid w:val="00094291"/>
    <w:rsid w:val="000B13C0"/>
    <w:rsid w:val="001B54E2"/>
    <w:rsid w:val="00213EF1"/>
    <w:rsid w:val="00230D5E"/>
    <w:rsid w:val="002E34DC"/>
    <w:rsid w:val="0039080D"/>
    <w:rsid w:val="003A1280"/>
    <w:rsid w:val="003C33EF"/>
    <w:rsid w:val="00402346"/>
    <w:rsid w:val="00655EAD"/>
    <w:rsid w:val="006A321F"/>
    <w:rsid w:val="006B46EF"/>
    <w:rsid w:val="00727581"/>
    <w:rsid w:val="0074695D"/>
    <w:rsid w:val="00792899"/>
    <w:rsid w:val="007A464F"/>
    <w:rsid w:val="007A7411"/>
    <w:rsid w:val="0083789D"/>
    <w:rsid w:val="008F77E6"/>
    <w:rsid w:val="009054A5"/>
    <w:rsid w:val="009153A3"/>
    <w:rsid w:val="00941998"/>
    <w:rsid w:val="00954BAA"/>
    <w:rsid w:val="009711FD"/>
    <w:rsid w:val="009C7112"/>
    <w:rsid w:val="00A52AF7"/>
    <w:rsid w:val="00AC0B6F"/>
    <w:rsid w:val="00AC337A"/>
    <w:rsid w:val="00B110BD"/>
    <w:rsid w:val="00B26FCF"/>
    <w:rsid w:val="00B63224"/>
    <w:rsid w:val="00BB2ADB"/>
    <w:rsid w:val="00C1728B"/>
    <w:rsid w:val="00C56F25"/>
    <w:rsid w:val="00C959BD"/>
    <w:rsid w:val="00CC4DEC"/>
    <w:rsid w:val="00CD69BF"/>
    <w:rsid w:val="00DA5615"/>
    <w:rsid w:val="00DE0915"/>
    <w:rsid w:val="00F14328"/>
    <w:rsid w:val="00F311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BDAF47"/>
  <w15:chartTrackingRefBased/>
  <w15:docId w15:val="{032CDA93-5BAC-4441-8D84-F99D3128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25"/>
    <w:pPr>
      <w:ind w:left="720"/>
      <w:contextualSpacing/>
    </w:pPr>
  </w:style>
  <w:style w:type="character" w:styleId="Strong">
    <w:name w:val="Strong"/>
    <w:basedOn w:val="DefaultParagraphFont"/>
    <w:uiPriority w:val="22"/>
    <w:qFormat/>
    <w:rsid w:val="00941998"/>
    <w:rPr>
      <w:b/>
      <w:bCs/>
    </w:rPr>
  </w:style>
  <w:style w:type="character" w:styleId="Hyperlink">
    <w:name w:val="Hyperlink"/>
    <w:basedOn w:val="DefaultParagraphFont"/>
    <w:uiPriority w:val="99"/>
    <w:unhideWhenUsed/>
    <w:rsid w:val="00077171"/>
    <w:rPr>
      <w:color w:val="0563C1" w:themeColor="hyperlink"/>
      <w:u w:val="single"/>
    </w:rPr>
  </w:style>
  <w:style w:type="paragraph" w:styleId="BalloonText">
    <w:name w:val="Balloon Text"/>
    <w:basedOn w:val="Normal"/>
    <w:link w:val="BalloonTextChar"/>
    <w:uiPriority w:val="99"/>
    <w:semiHidden/>
    <w:unhideWhenUsed/>
    <w:rsid w:val="007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581"/>
    <w:rPr>
      <w:rFonts w:ascii="Segoe UI" w:hAnsi="Segoe UI" w:cs="Segoe UI"/>
      <w:sz w:val="18"/>
      <w:szCs w:val="18"/>
    </w:rPr>
  </w:style>
  <w:style w:type="paragraph" w:styleId="Header">
    <w:name w:val="header"/>
    <w:basedOn w:val="Normal"/>
    <w:link w:val="HeaderChar"/>
    <w:uiPriority w:val="99"/>
    <w:unhideWhenUsed/>
    <w:rsid w:val="00F1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28"/>
  </w:style>
  <w:style w:type="paragraph" w:styleId="Footer">
    <w:name w:val="footer"/>
    <w:basedOn w:val="Normal"/>
    <w:link w:val="FooterChar"/>
    <w:uiPriority w:val="99"/>
    <w:unhideWhenUsed/>
    <w:rsid w:val="00F1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010876">
      <w:bodyDiv w:val="1"/>
      <w:marLeft w:val="0"/>
      <w:marRight w:val="0"/>
      <w:marTop w:val="0"/>
      <w:marBottom w:val="0"/>
      <w:divBdr>
        <w:top w:val="none" w:sz="0" w:space="0" w:color="auto"/>
        <w:left w:val="none" w:sz="0" w:space="0" w:color="auto"/>
        <w:bottom w:val="none" w:sz="0" w:space="0" w:color="auto"/>
        <w:right w:val="none" w:sz="0" w:space="0" w:color="auto"/>
      </w:divBdr>
      <w:divsChild>
        <w:div w:id="2076006179">
          <w:marLeft w:val="0"/>
          <w:marRight w:val="0"/>
          <w:marTop w:val="0"/>
          <w:marBottom w:val="0"/>
          <w:divBdr>
            <w:top w:val="none" w:sz="0" w:space="0" w:color="auto"/>
            <w:left w:val="none" w:sz="0" w:space="0" w:color="auto"/>
            <w:bottom w:val="none" w:sz="0" w:space="0" w:color="auto"/>
            <w:right w:val="none" w:sz="0" w:space="0" w:color="auto"/>
          </w:divBdr>
          <w:divsChild>
            <w:div w:id="2106724506">
              <w:marLeft w:val="0"/>
              <w:marRight w:val="0"/>
              <w:marTop w:val="0"/>
              <w:marBottom w:val="0"/>
              <w:divBdr>
                <w:top w:val="none" w:sz="0" w:space="0" w:color="auto"/>
                <w:left w:val="none" w:sz="0" w:space="0" w:color="auto"/>
                <w:bottom w:val="single" w:sz="6" w:space="15" w:color="006699"/>
                <w:right w:val="none" w:sz="0" w:space="0" w:color="auto"/>
              </w:divBdr>
              <w:divsChild>
                <w:div w:id="18965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sdcc.ie/templates/sdcc_index/images/headerlogo.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7F90-2A7E-421A-BDAC-137696A5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Fitzgerald</dc:creator>
  <cp:keywords/>
  <dc:description/>
  <cp:lastModifiedBy>Eamon Conlon</cp:lastModifiedBy>
  <cp:revision>2</cp:revision>
  <cp:lastPrinted>2018-06-26T07:53:00Z</cp:lastPrinted>
  <dcterms:created xsi:type="dcterms:W3CDTF">2022-02-02T14:53:00Z</dcterms:created>
  <dcterms:modified xsi:type="dcterms:W3CDTF">2022-02-02T14:53:00Z</dcterms:modified>
</cp:coreProperties>
</file>